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RESOLUCIÓN EXENTA N° 0 03138 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VALPARAÍSO, 13 SET.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artículo 1° del Decreto con fuerza de Ley Nº30, de 2004 que aprueba el texto refundido,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coordinado y sistematizado del Decreto con Fuerza de Ley N°213, de 1953, sobre Ordenanza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Aduanas, ambos del Ministerio de Hacienda, en virtud del cual corresponde al Servicio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Nacional de Aduanas, la función de vigilar y fiscalizar el paso de mercancías por las costas,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fronteras y aeropuertos de la República, intervenir en el tráfico internacional para los efectos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la recaudación de los impuestos a la importación, exportación y otros que determinen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 leyes, y de generar las estadísticas de ese tráfico por las fronteras, sin perjuicio de las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demás funciones que le encomienden las leyes.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artículo 55° de la Ordenanza de Aduanas que indica que toda mercancía presentada a 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Aduana permanecerá en los recintos de depósito aduanero hasta el momento del retiro para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 importación, exportación u otra destinación aduanera.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artículo 77° del mismo cuerpo legal donde establece que el Director Nacional de Aduanas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señalará los documentos, visaciones o exigencias que se requieran para la tramitación 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 destinaciones aduaneras de acuerdo con las normas legales y reglamentarias.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Asimismo, podrá establecer trámites simplificados y formularios comunes para todas 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algunas de las declaraciones de destinación aduanera.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Capítulo 3, de la Resolución N°1.300, de 14.03.2006, del Director Nacional de Aduanas,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 fijó el texto del Compendio de Normas Aduaneras y sus modificaciones, denominado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"Ingreso de Mercancías" y el Apéndice VIII de dicho Compendio, sobre Operadores 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Contenedores.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Resolución N°2.808 de 12.04.1995 y sus modificaciones, que estableció un procedimiento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 autocontrol computacional por parte de los Operadores de Contenedores para el ingreso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salida de contenedores del país.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Resolución Nº3.964 del 31.07.2007 que estableció un plan piloto en el puerto 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Valparaíso, el procedimiento de control de ingreso al país de los contenedores con carga 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importación como así mismo el ingreso a la zona primaria de los contenedores con carga 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exportación.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Resolución Nº4.620 de 04.06.2008 que modificó el Apéndice VIIII el Capítulo III 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Compendio de Normas Aduaneras, respecto de la tramitación de importación 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contenedores vacios.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Resolución Nº8.563 del 30.10.2012 que sustituyó el numeral 6.9 de la Resolución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Nº3.964 del 31.07.2007.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ACIONAL 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Resolución Nº5.660 del 20.12.2018 del Director Nacional de Aduanas, que reemplazó los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numerales 1 y 3 del Apéndice VIII del Capítulo III del Compendio de Normas Aduaneros.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Resolución N°506 del 02.02.2024 de la Directora Nacional de Aduanas que incorpora 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obligación de informar todos los puertos en los que los contenedores fueron objeto 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transbordo, antes de llegar al puerto chileno de destino.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CONSIDERANDO: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Que, producto de la constante revisión, actualización y mejora continua de los procesos 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normas aduaneras se identificó la necesidad de complementar el actual mecanismo 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autocontrol que mantienen, los Operadores de Contenedores a través sus sistemas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informáticos, mediante mensajería electrónica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Que, con el objetivo de agilizar, mejorar y anticipar los controles se desarrolló el proyecto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la trazabilidad de contenedores denominado "Hermes", el cual contempla el desarrollo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 mensajería electrónica para el control del movimiento y trazabilidad de los contenedores,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 forma anticipada y en línea, permitiendo a los funcionarios mejorar el control y la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fiscalización, involucrando a Terminales Portuarios, Almacenistas, Operadores 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Contenedores y Depósitos de Contenedores.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Que, se requiere establecer un procedimiento para que la información relativa al arribo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previo y estadía en el país de los contenedores amparados en un Título de Admisión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Temporal de Contenedores (TATC), sea traspasada desde el Operador de Contendores 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Servicio de Aduanas, conforme a los mensajes electrónicos que se especifican, cuyo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contenido se encuentra en el documento "Definiciones Servicios Web para Nuevo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Procedimiento de Trazabilidad de Contenedores-2024", publicado en la página web 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Aduana, opción Trámites en Línea, sección Manual Tramitaciones Electrónicas.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Que, mediante la Resolución Nº506/2024 se incorpora la información anticipada sobre 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itinerario previo de los contenedores antes de su arribo al país.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Que, en virtud de lo establecido en la Resolución Nº223, de 2022, de la Dirección Nacional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 Aduana, que aprueba la actualización al Procedimiento de Publicación Anticipada, esta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resolución fue puesta a disposición de los operadores del comercio internacional y de la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ciudadanía, a través de la página web institucional, entre los días 01.08.2024 y 12.08.2024,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objeto de ser conocida con anticipación, recibir preguntas, comentarios y observaciones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para minimizar errores o dificultades prácticas de aplicación antes de su adopción definitiva.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TENIENDO PRESENTE: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 dispuesto en el artículo 4°, números 7, 8 y 29, del D.F.L Nº329, de 1979, del Ministerio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 Hacienda -Ley Orgánica del Servicio Nacional de Aduanas-; y, las Resoluciones N°7, 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2019 y Nº16, de 2020, ambas de la Contraloría General de la República, sobre exención del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trámite de Toma de Razón, dicto la siguiente: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RESOLUCIÓN: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PÓNGASE EN MARCHA, A contar de la fecha de publicación de la presente y hasta 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31.12.2024, el período de "pruebas de conectividad", donde se dispondrá de las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especificaciones de la transmisión de datos, mensajería, y del ambiente de pruebas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para ello.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ESTABLECESE, a contar del 01.01.2025, como Plan Piloto, por un período de 90 días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corridos para ajustes y familiarización por parte de Operadores de Contenedores,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Almacenistas, Terminales Portuarios, Extraportuarios y Depósitos de Contenedores, del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nuevo procedimiento de control aduanero HERMES. El cual consiste en el control 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ingreso al pais de los contenedores, con y sin carga, en el proceso de importación,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como, asimismo, el ingreso a la zona primaria de los contenedores, con carga y sin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carga, en el proceso de exportación, de conformidad con lo siguiente: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PROCEDIMIENTO GENERAL: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 Plan piloto será aplicado dentro del periodo comprendido entre el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01.01.2025 y el 31.03.2025 ambas fechas incluidas, instancia donde los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Operadores de Contenedores, Almacenistas, Terminales Portuarios,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Extraportuarios y Depósitos de Contenedores deberán desarrollar la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mensajería electrónica y lograr la interconexión con el sistema Hermes.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Aquellos Operadores de contenedores, Terminales Portuarios-Almacenistas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Intra - Extraportuarios que no se encuentren actualmente con conexión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computacional en línea entre sí, tendrán un plazo máximo para lograr la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integración hasta el 31 de diciembre de 2024.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Este procedimiento de pruebas de conectividad y plan piloto contempla que,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los operadores y todos los Recintos Depósitos Aduaneros deberán transmitir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 línea todos los eventos indicados en el "Definiciones Servicios Web para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Nuevo Procedimiento de comunicación Trazabilidad de Contenedores-2024"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 se ejecuten al contenedor desde su arribo al país y durante toda su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estadía en él al Servicio Nacional de Aduanas.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 información relativa a las especificaciones de la transmisión de datos,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mensajería y operativa del sistema Hermes, se detallarán en el apartado C.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 esta misma Resolución.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AGIONAL 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Una vez cumplido el plazo del 31.03.2025 correspondientes al plan piloto, de no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haber mayores dificultades en esta implementación, la utilización de la mensajería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electrónica al sistema Hermes, entrará en pleno funcionamiento.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 el caso que algún operador de contenedores no logre la interconexión con el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Sistema Hermes, en los plazos establecidos precedentemente, los antecedentes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serán enviados al Departamento de Fiscalización de Agentes Especiales de la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Subdirección de Fiscalización de la Dirección Nacional de Aduanas, al objeto 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revisar el incumplimiento de requisitos y sus consecuencias.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REEMPLÁZASE; el Apéndice VIII: Operadores de Contenedores, del Capítulo III, del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Compendio de Normas Aduaneras, según se indica a continuación: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A. REQUISITOS PARA SER DESIGNADO OPERADOR DE CONTENEDORES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Solicitud d e Registro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1.1. El interesado deberá requerir, por escrito, ante el Departamento 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Fiscalización de Agentes Especiales de la Subdirección de Fiscalización de la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Dirección Nacional de Aduanas, el registro como Operador de Contenedores,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mediante la presentación del formulario que la Subdirección de Fiscalización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determine al efecto. El solicitante deberá proporcionar toda la información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requerida en el formulario destinado al efecto.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1.2. La solicitud, deberá proporcionar la siguiente información: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• Nombre o Razón Social y Rol Único Tributario del peticionario.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• Domicilio del peticionario.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• Aduana(s) ante la(s) cual(es) tramitará.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Tipo de Contenedores, conforme al Anexo 51-23 del Compendio de Normas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Aduaneras.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Cantidad de contenedores.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 Valor aproximado de los contenedores, separado por tipo, expresado en dólares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 los Estados Unidos de América.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• Año de fabricación de los contenedores.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• Identificación de los contenedores, cuando éstos sean nacionales 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Nacionalizados.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1.4. Requisitos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1.4.1. Los Operadores de Contenedores deberán corresponder a personas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naturales o jurídicas con domicilio en Chile, cuyo objeto social, entre otros, debe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contemplar el transporte de carga internacional de mercancías y/o la provisión 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contenedores para ese tipo de transporte.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1.4.2. Los Operadores de Contenedores, deberán contar con integración 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mensajería electrónica hacia el Servicio Nacional de Aduanas y con el Sistema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Hermes, de acuerdo con lo indicado en el apartado "C. Sistema de Trazabilidad 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Contenedores (HERMES)", numeral 2 y siguientes, de la presente resolución.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AGIONAL 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1.4.3 Los Operadores de Contenedores que soliciten su inscripción en el Registro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Nacional de Operadores a contar de la fecha de vigencia de esta resolución,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deberán contar con un sistema computacional de control autorizado por el Servicio,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el cual deberá cumplir con los requerimientos establecidos por el Director Nacional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 Aduanas y a su vez, con integración de mensajería electrónica con el Sistema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Hermes, de acuerdo con lo indicado en el apartado "C. Sistema de Trazabilidad 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Contenedores (HERMES)", numeral 2 y siguientes, de la presente resolución.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Además de lo anterior, deberá adjuntar la siguiente documentación: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Copia autorizada de escritura pública de constitución y de modificación de la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sociedad, tratándose de personas jurídicas.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 Copia autorizada de inscripción social con anotaciones marginales de no más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 90 días y copia de inscripción de todas las modificaciones sociales.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 Certificado de vigencia de la sociedad de no más de 90 días, tratándose de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personas jurídicas.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• Personería del o los representantes legales de la sociedad, en copias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autorizadas con la debida inscripción si correspondiere, tratándose de personas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jurídicas.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• Fotocopia de RUT de la empresa y de la cédula nacional de identidad del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representante legal, tratándose de personas jurídicas.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• Acreditación de la propiedad o tenencia de los contenedores a través del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contrato o título respectivo.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• Certificado de Deudas, emitido por el Servicio de Tesorería, con una antigüedad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 superior a 30 días.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• Manual de usuario del sistema informático de control.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1.5 Cumplimiento de los requisitos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1.5.1. Con el objeto de verificar el cumplimiento de los requisitos tecnológicos y 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funcionamiento del sistema computacional, la Subdirección de Informática del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Servicio Nacional de Aduanas validará el correcto funcionamiento de la mensajería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electrónica. Adicionalmente, corresponderá al Departamento de Fiscalización de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Agentes Especiales, de la Subdirección de Fiscalización, validar el resto de la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documentación exigida precedentemente.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1.5.2. Si el solicitante cumple con los requisitos, el Director Nacional de Aduanas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dictará la Resolución de Registro, y el Operador de Contenedores quedará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habilitado para operar ante el Servicio.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1.5.3. Si no cumple con los requisitos necesarios para ser registrado ante el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Servicio, se le indicarán las observaciones y reparos. Una vez subsanadas las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observaciones, se procederá de conformidad con el numeral anterior.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1.5.4. Cumplidas las etapas señaladas, el Director Nacional de Aduanas dictará una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Resolución fundada autorizando al Operador para que actúe como tal ante el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Servicio, en la que además se indicará: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Cantidad de contenedores autorizados a operar.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• Identificación y tipo de contenedores.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• Valor en US$ por tipo de contenedores.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• Valor Total en US$.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1.5.5. Dictada la Resolución, deberá remitir copia de esta al Departamento 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Procesos y Normas Aduaneras para la incorporación del Operador en el Compendio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 Normas Aduaneras.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1.5.6. Asimismo, la dictación de la Resolución permitirá al operador: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Ingresar al país contenedores, según se trate de admisión temporal.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• Sacar del país contenedor, según se trate de salida temporal.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Para el efecto anterior, el Operador de Contenedores estará autorizado para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tramitar TATC y TSTC en forma electrónica, conforme los parámetros que al efecto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establezca el Servicio de Aduanas.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1.6. Cualquier modificación o situación sobreviniente que afecte el cumplimiento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 los requisitos establecidos para registrarse como Operador de Contenedores,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deberá ser comunicada oportunamente al Departamento de Fiscalización de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Agentes Especiales de la Subdirección de Fiscalización.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La pérdida sobreviniente de alguno de los requisitos establecidos para que el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operador de contenedores cuente con autorización de inicio de actividades,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acarreará la exclusión inmediata del registro mediante resolución fundada del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Director Nacional de Aduanas, previa notificación del incumplimiento. Lo anterior,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es sin perjuicio de las infracciones reglamentarias que puedan proceder.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1.7. La misma obligación regirá respecto de los antecedentes de acreditación del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 e r s o n a l a u t o r i z a d o para actuar en representación de los Operadores d 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contenedores y los cambios posteriores de los mismos.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1.8 Corresponderá a la Subdirección de Fiscalización, a través del Departamento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 Fiscalización de Agentes Especiales, llevar el registro centralizado de los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Operadores de Contenedores autorizados por el Servicio Nacional de Aduanas. -El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mismo Departamento deber deberá fiscalizar eel desempeño de los operadores y x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 funcionamiento del registro, ya sea directamente o a través de las Unidades de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Fiscalización de las Direcciones Regionales o Administraciones de Aduanas.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2. Obligaciones de los Operadores de Contenedores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2.1 El Operador deberá estar reconocido por la Dirección Nacional de Aduanas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mediante resolución, en la cual se autoriza la cantidad y el tipo de contenedores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que opera en el país bajo el régimen simplificado de admisión temporal de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contenedores TATC. Asimismo, deberá contar con un código de identificación y el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respectivo set numérico asignado.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2.1.1 La asignación del código de identificación del Operador de Contenedores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y del set numérico estará a cargo de la Subdirección de Fiscalización 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través del Departamento de Fiscalización de Agentes Especiales y de la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Subdirección de Informática.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2.1.2 Una vez asignados el código de operador y el set numérico, será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informado mediante resolución y ambos consignados en el Anexo 51-36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del Compendio de Normas Aduaneras.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2.2 El Operador de Contenedores deberá mantener un sistema informático para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el registro y emisión de los TATC y TSTC electrónicos, control de los plazos de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vigencia y cancelación/prórrogas de los respectivos títulos y un archivo con todos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los antecedentes relativos a los títulos y sus movimientos. Este sistema informático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deberá estar acreditado por el Director Nacional de Aduanas, de acuerdo con las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instrucciones que emita para estos efectos la Subdirección de Informática del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Servicio Nacional d e Aduanas.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2.3 En este sistema informático de control se deberán registrar y respaldar los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títulos que amparen la entrada, permanencia, traspaso y salida de los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contenedores, así como sus respectivas prórrogas.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2.4 En caso de nacionalización del contenedor, deberá mantener archivada por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cinco años la DIN con la constancia del pago.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2.5 Cualquier cambio, corrección, mejora o nueva funcionalidad del sistema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informático de control de contenedores, deberá ser informado por el Operador de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Contenedores, a través de la Subdirección de Fiscalización y se someterá a la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acreditación señalada en el punto 2.2.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2.6 El Sistema informático de Control de Contenedores deberá contener los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siguientes datos y funcionalidades mínimas que permitan identificar las operaciones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realizadas de ingreso, salida y traspaso del contenedor del país, movimientos,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fechas y la trazabilidad de las operaciones: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Documento de ingreso (T.A.T.C)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Registro de Entrada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 operador (O.C).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 del O.C, con dígito verificador.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Prefijo y número del contenedor.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contenedor.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del contenedor.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u m e r o TATC.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Fecha emisión del TATC.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Valor CIF del contenedor.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Fecha y hora de ingreso al país del contenedor.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Fecha de Ingreso al recinto de depósito aduanero.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Transporte del contenedor.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Rut chofer.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Patente camión.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Empresa transportista.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Código Aduana de ingreso.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Documento de transporte.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Código tipo de Bulto.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Documento de salida (T.S.T.C)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Registro de Salida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 operador (O.C).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 del O.C, con digito verificador.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Prefijo y número del contenedor.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contenedor.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del contenedor.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TSTC.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FOB del contenedor.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emisión del TSCT. #ST C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de Ingreso al recinto de depósito aduanero.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y hora de salida del país del contenedor.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 del contenedor.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Rut chofer.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Patente camión.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Empresa transportista.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Código Aduana de Salida.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Documento de transporte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Código tipo de Bulto.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Destino del contenedor.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Documento de Traspaso de contenedores.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Registro de traspaso: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Prefijo y número contenedor.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contenedor.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del contenedor.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 operador de origen (O.C).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del contenedor (traspaso)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del TATC.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del traspaso.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 operador de destino (O.C).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Código de tipo de bulto.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Lugar de depósito del contenedor (origen)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Lugar de depósito del contenedor (destino)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Número de TATC emitido por el Operador de destino.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- Módulos para el control de plazos de vigencia, cancelaciones y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prórrogas. Este módulo deberá ser capaz de registrar las fechas de emisión de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los respectivos títulos, asociar y calcular fechas de vencimiento de acuerdo con la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normativa aduanera, incorporar prórrogas a tales fechas y registrar las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cancelaciones de los títulos, de acuerdo con las distintas formas de cancelación.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Por tanto, deberá contener las siguientes funcionalidades mínimas.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plazos de vigencia de los títulos.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Control de los plazos de cancelación/prórrogas.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cancelación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prórrogas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vigencia.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Traspasos y nuevos títulos emitidos.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Módulo para el Control d e Inventarios</w:t>
      </w:r>
      <w:r w:rsidDel="00000000" w:rsidR="00000000" w:rsidRPr="00000000">
        <w:rPr>
          <w:rtl w:val="0"/>
        </w:rPr>
        <w:t xml:space="preserve">. En este módulo se deberá mantener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un control de la existencia física del contenedor, asociándolo a los títulos emitidos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y lugar de depósito de los contenedores. Este módulo deberá contener al menos la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Siguiente información: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i. Prefijo y Número de Contenedor.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i. Tipo de contenedor.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iii. Tamaño del contenedor.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iv. Numero TATC.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v. Fecha emisión del TACT.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vi. Valor CIF del contenedor.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vii. Ubicación física del contenedor.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viii. Contador de contenedores vigentes en stock.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ix. Estado de contenedor.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Módulos de Consultas para efectos de control y fiscalización. En este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módulo se deberá considerar la consulta y extracción de datos en formato Excel,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para efectos que el Servicio Nacional de Aduanas puede obtener información de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manera periódica para el ejercicio de sus funciones.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i. Informes estadísticos de movimiento de contenedores por: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1. Tipos de títulos.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2. Traspasos.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3. Fechas de ingreso/salida.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4. Por aduanas de ingreso/salida.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5. Por lugar de depósito.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ii. Búsqueda para generar y exportar informes por: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1. Títulos.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2. Prefijo y Número de contenedor.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3. Vigencia de títulos.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4. Fechas de vencimiento.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5. Prórrogas.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6. Traspasos.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7. Lugar de depósito.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8. Aduana de ingreso/salida.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 Documentación de operación. Se deberá disponer de la siguiente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documentación del sistema.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i. Manuales de usuario de todos los módulos, incluyendo consultas para Aduana.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ii. Procedimiento de operación del sistema.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iii. Procedimiento de respaldo de la información.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iv. Procedimiento de cambio de claves.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B. PROCEDIMIENTO DE CONTROL DE CONTENEDORES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1. Retiro del contenedor del recinto de depósito aduanero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1.1 El ingreso de cada contenedor al país se verificará mediante el Título de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Admisión Temporal de Contenedores (TATC). El TATC deberá emitirse según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corresponda a la Aduana donde se haya descargado el contenedor.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1.2 En forma anticipada al arribo de la nave con los contenedores, el Operador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deberá emitir en su sistema computacional, los respectivos TATC-Electrónicos, para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lo cual deberá asociar la identificación del contenedor con este documento de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admisión temporal simplificado, en base a la información recibida de las Compañías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Transportistas.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1.3 El Operador deberá identificar estos TATC-Electrónicos con una numeración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compuesta de doce (12) caracteres. Los dos primeros dígitos corresponderán al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código de la Aduana de tramitación. Los tres números siguientes corresponderán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al código del Operador (Anexo 51-36), y los siete números siguientes al número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correlativo e indefinido.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1.4 Lo indicado en el punto anterior, es sin perjuicio de las "Disposiciones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Transitorias" sobre la numeración de los TATC y que están señaladas en el numeral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III de la presente resolución.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1.5 Una vez que el Operador de Contenedores haya recepcionado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computacionalmente la información de la salida efectiva del contenedor desde la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zona primaria por parte del Terminal-Almacenista, deberá registrar en su sistema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esta fecha de ingreso al país, para los efectos de computar el plazo de vigencia del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contenedor bajo este régimen de admisión temporal.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1.6 El TATC-Electrónico, quedará en el sistema computacional del Operador, el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que deberá registrar todas las operaciones y movimientos del contenedor mientras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permanezca en el país.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1.7 Una vez que el Agente de Aduana o usuario haya regularizado el proceso del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contenedor con su operador, éste último enviará por vía electrónica al Terminal-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Almacenista la respectiva liberación del contenedor y en forma paralela, deberá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transmitir al Servicio Nacional de Aduanas dicho envío.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1.8 Para este efecto, todo Terminal Portuario-Almacenista desarrollará y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habilitará en su aplicación un web service para la recepción del mensaje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correspondiente a la liberación del contenedor.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2. Cancelación del Régimen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2.1 I n g r e s o a Z o n a P r i m a r i a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2.1.1 Los contenedores que transporten mercancías o aquellos sin carga sólo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podrán ser entregados al Recinto de Depósito Aduanero cuando, se presenten con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el ejemplar del DUS, guía de despacho o factura de exportación o la constancia de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haber transmitido a la Aduana la guía de despacho electrónica y que el número de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booking, haya sido aceptado por el operador de contenedores e informado al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Terminal Portuario.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ACIONAL DE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En los casos de traslados de contenedores vacíos a través de operaciones de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cabotaje, en el evento de ingreso a zona primaria de origen, se deberá presentar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la guía de despacho en soporte papel. En el mismo tenor, al tratarse de operaciones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de cabotaje, no será necesaria la cancelación del TATC y la vigencia del mismo,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corresponderá a la fecha originalmente tramitada.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Para la recepción de las unidades en cabotaje por parte del almacenista en destino,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bastará con que el operador de contenedores transmita el TATC que se emitió al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almacenista original.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2.1.2 El Operador del Terminal Portuario ingresará en su base de datos la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identificación del contenedor, asociándolo al número del booking que se encuentra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previamente registrado.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2.1.3 La información computacional del ingreso del contenedor a la zona primaria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será entregada por el Terminal Portuario a cada uno de los Operadores de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Contenedores electrónicamente.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2.1.4 Con la información registrada en el sistema computacional del Operador de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Contenedores, la Aduana considerará como cancelado el TATC, y en forma paralela,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deberá poner a disposición del Servicio Nacional de Aduanas dicho envío.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2.1.5 Entregado el contenedor al Terminal Portuario o Almacén Extraportuario, la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unidad quedará bajo régimen de depósito general, pudiendo este mismo volver a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salir de la Zona Primaria, para lo cual, el Operador de Contenedores deberá tramitar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un nuevo TATC.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2.1.6 En caso de que se presente un contenedor vacío sin documento de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destinación aduanera, la Aduana se reserva el derecho de examinar el contenedor.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2.2 Importación o Reexportación de Contenedores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2.2.1 En caso de que el contenedor fuese importado (nacionalizado), el Operador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de Contenedores o su representante deberán mantener en su poder,, copia de la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declaración de ingreso debidamente cancelada por un período de cinco años. Esta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importación debe efectuarse a nombre del titular del TATC, en caso contrario, la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cancelación del régimen suspensivo se realiza con la entrega física del contenedor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 la zona primaria, a través de un SEM.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2.2.2 Para aquellos contenedores vacíos que hayan ingresado a la zona primaria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sin TATC, se deberá tramitar la respectiva DUS Reexportación. En caso de ser más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de un contenedor, se adjuntará un listado donde se identifique a los contenedores.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2.2.3 En caso de contenedores vacíos que no hayan salido de la zona primaria al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amparo de un TATC, la Compañía Transportista deberá tramitar una declaración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de tránsito conforme al numeral 19.6 del Capítulo III del Compendio de Normas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Aduaneras.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2.2.4 Cuando el contenedor haya sido objeto de una importación (nacionalización),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deberá salir del país al amparo de un Título Salida Temporal de Contenedores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(TSTC), según Anexo 69 del Capítulo III del Compendio de Normas Aduaneras, 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al momento del reingreso deberá ser cancelado dicho régimen suspensivo. De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acuerdo con el artículo 114 de la Ordenanza de Aduanas, el plazo es de dos años.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2.2.5 En caso de que un contenedor nacionalizado salga del país sin un Título Salida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Temporal de Contenedores (TSTC), al retorno al país, deberá solicitarse el libre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reingreso a la Aduana, a través de una Declaración de Reingreso tramitada por un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Agente de Aduana.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2.2.6 Tratándose de contenedores que ingresan a Terminales Portuarios o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Almacenistas Extraportuarios, para consolidar carga, se aceptará su ingreso sólo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con el TATC-Electrónico, y su salida del país quedará sujeta e informada a la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Aduana mediante la respectiva DUS y Manifiesto de Salida que ampara la carga.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2.2.7 Cuando un contenedor haya ingresado (importación) al país al amparo de un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TATC-Electrónico, al momento de la salida (exportación) por vía marítima, la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Aduana al menos podrá exigir alguno de los documentos señalados en el numeral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2.1.1 de esta resolución. (ejemplar de DUS, Guía de Despacho o Factura de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Exportación en soporte papel o la constancia de haber transmitido la Guía de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Despacho Electrónica).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2.3 Ingreso d e Contenedores Vacíos por una avanzada terrestre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2.3.1 Cuando un contenedor vacío ingrese al país por una Avanzada Aduanera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Fronteriza, el Operador de Contenedores respectivo, deberá emitir en su sistema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computacional un TATC-Electrónico, asociándolo al número de identificación del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contenedor, con la información previamente recibida por parte del transportista, 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 conformidad a la vía que acuerden entre las partes.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Al momento de confeccionar el MIC/DTA el transportista deberá consignar el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número del TATC en el campo 36 de dicho documento.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De igual forma, el Operador de Contenedores también podrá asignar en forma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anticipada el número del TATC-Electrónico a un determinado contenedor, que salga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del país por carretera con carga y regrese vacío al territorio nacional, al objeto de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que este número sea consignado al momento de la confección del MIC/DTA en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el campo 36.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La Avanzada Aduanera de Frontera al momento de ingresar el MIC/DTA en el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SIROTE, deberá registrar la cancelación del manifiesto con la información del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número del TATC-Electrónico consignado en el MIC/DTA, por lo tanto, no se exigirá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el TATC en soporte papel.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El Operador de Contenedores deberá ingresar al sistema computacional la fecha de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ingreso al país del contenedor, para efectos del cómputo del plazo de un año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calendario bajo este régimen suspensivo, a través de la información registrada en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el respectivo MIC/DTA.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En forma selectiva y cuando la situación lo amerite, los fiscalizadores podrán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ingresar directamente al Sistema Hermes, para verificar la existencia del TATC-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Electrónico, como, asimismo, las diferentes etapas durante la permanencia de la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admisión temporal. En caso de que no se encuentre registrada la operación de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ingreso y/o salida del contenedor, la Aduana deberá suspender el desaduanamiento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del contenedor vacío, y notificar al Operador para que regule la operación.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El Operador debe enviar el evento TATC correspondiente a la "Liberación", cuando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ingrese a territorio nacional, según mensajería electrónica Hermes definida para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ello.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2.3.2 En caso que un contenedor vacío haya ingresado al país con un TATC-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Electrónico y solicite salir por una Avanzada Aduanera de Frontera, bajo esta misma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condición (vacío), previamente el transportista, antes de tramitar el MIC/DTA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electrónico, deberá solicitar la autorización al Operador de Contenedores y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consignar en el campo 36 de dicho documento, el número del TATC, a objeto de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que el Operador de Contenedores ingrese en su sistema computacional la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información de salida del contenedor del país. Los MIC/DTA que no cuenten con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esta información del TATC serán rechazados por el sistema.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Mientras la Aduana no cuente con una aplicación informática en la WEB que permita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 los Operadores de Contenedores rescatar directamente la información de la salida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efectiva del país del contenedor, el Operador deberá registrar en su sistema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computacional la cancelación, con la fecha del MIC/DTA.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EL Operador de Contenedores debe enviar el evento TATC correspondiente a la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"Cancelación", cuando salga de territorio nacional, según mensajería electrónica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Hermes definida para ello.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2.3.3 Al tratarse de operaciones de cabotaje por la vía terrestre, en el denominado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flujo "Chile-Chile", no será necesaria la cancelación del TATC y la vigencia del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mismo, corresponderá a la fecha originalmente tramitada.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2.4 Traspaso de Contenedores entre Operadores reconocidos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AGIONAL DES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2.4.1 Un Operador de Contenedores reconocido podrá traspasar contenedores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ingresados al país bajo régimen simplificado de admisión temporal a otro Operador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reconocido.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2.4.2 El Operador de Contenedores antes de efectuar un traspaso de contenedor a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otro operador, deberá verificar en la página web del Servicio (www.aduana.cl) que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éste se encuentra vigente.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2.4.3 El traspaso de contenedores entre los Operadores de Contenedores deberá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efectuarse en forma electrónica, es decir, de acuerdo con el set numérico.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2.4.4 El Operador de Contenedores que transfiere deberá mantener archivada la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solicitud de requerimiento del Operador que recibe, para la constancia de la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operación de traspaso. En forma paralela, deberá transmitir dicha información al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Servicio Nacional de Aduanas dicho envío a más tardar al día hábil siguiente de la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transferencia efectiva.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2.4.5 El Operador que recibe un contenedor a través de una operación de traspaso,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deberá emitir un nuevo TATC-Electrónico con la respectiva numeración del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Operador-receptor, e ingresarlo en su sistema computacional hasta su cancelación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y en forma paralela, deberá transmitir dicha información al Servicio Nacional de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Aduanas dicho envío a más tardar al día hábil siguiente de la transferencia efectiva.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2.4.6 El nuevo TATC-Electrónico emitido por el Operador-receptor, mantendrá la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continuidad de la vigencia del título, según el plazo original otorgado al Operador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de Contenedores que transfiere.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3. Traslado d e contenedores d e una Zona Primaria a otra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ACIONAL DE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3.1 El caso de contenedores vacíos que provienen de zona secundaria y tienen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asociado un TATC, el traslado vía marítima deberá verificarse al amparo del título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de admisión temporal de contenedores. Para la recepción de las unidades en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cabotaje por parte del almacenista en destino, bastará con que el operador de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contenedores transmita el TATC que se emitió al almacenista original.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En caso de que el contenedor contuviere mercancías nacionales o nacionalizadas,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su traslado deberá verificarse mediante una Orden de Embarque.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En caso de que el contenedor contuviere mercancías extranjeras, su traslado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deberá verificarse mediante la declaración de transbordo, tránsito o redestinación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que ampara las mercancías según corresponda, debiendo individualizarlo en la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respectiva declaración.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3.2 El traslado vía terrestre de contenedores vacíos o con mercancías nacionales o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nacionalizadas, desde una zona primaria a otra, deberá verificarse al amparo del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título de admisión temporal de contenedores.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En caso de que el contenedor contuviere mercancías extranjeras, su traslado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deberá verificarse mediante la declaración de transbordo, tránsito o redestinación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que ampara las mercancías, según corresponda, debiendo individualizarlo en la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respectiva declaración.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3.3 Las personas naturales o jurídicas que deseen ingresar mercancías en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contenedores al amparo del régimen de admisión temporal, deberán obtener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autorización ante cualquier Aduana del país.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Para estos efectos deberán presentar una solicitud simple, en la que se deberá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indicar: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 Nombre o razón social y número Rol Único Tributario o pasaporte del peticionario.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 Domicilio Legal del Peticionario.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 Identificación del Contenedor.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Además, deberán acreditar que el propietario del contenedor, el arrendatario o el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representante de uno de ellos o de ambos, es una persona natural o jurídica no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reconocida como operador por el Servicio y que dicha persona autoriza al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peticionario para retirar el contenedor desde la zona primaria.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3.4 Aceptada la solicitud, el jefe de la Unidad de Control y Tránsito de la Aduana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o unidad encargada, emitirá una autorización para el ingreso temporal del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contenedor por el plazo de 20 días corridos, contados desde la fecha de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autorización del título de admisión temporal de contenedores, individualizándolo.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3 . 5 La p e r s o n a n a t u r a l o juridica p r e s e n t a r a la a u t o r i z a c i ó n a q u e s e r e fi e r e el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número anterior ante la Unidad de Control y Tránsito de la Aduana, o ante la unidad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encargada. La unidad procederá a emitir un título de admisión temporal de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contenedores.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.6 La U n i d a d d e Control y Tr á n s i t o d e la A d u a n a o la u n i d a d e n c a rg a d 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utorizará el retiro del contenedor desde el recinto de depósito, fechand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timbrando y numerando el título de admisión temporal de contenedores y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reteniendo un ejemplar del citado documento.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3.7 El retiro del contenedor desde el recinto de depósito queda sujeto a lo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indicado en los números 1.4 a 1.7 precedentes.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4. Ingreso y Salida de contenedores a Zona Franca o desde Zona Franca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ACIONAL DE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JACION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GERU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4.1 El ingreso de contenedores extranjeros a Zona Franca desde la zona portuaria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de la Aduana, bajo cuya jurisdicción se encuentra la Zona Franca, se efectuará bajo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el amparo de un TATC, emitido por el Operador de Contenedores y con envío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mediante mensaje electrónico de una copia de éste al Servicio Nacional de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Aduanas.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4.2 El ingreso desde otra Zona Franca o desde el resto del país, se efectuará al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amparo de un TATC, conforme al cual se autorizó su ingreso en la Aduana de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origen. En caso de que el contenedor contuviera mercancías se deberá presentar,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además, el documento conforme al cual se autoriza el ingreso de las mercancías a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Zona Franca. Este evento, deberá ser transmitido al Servicio Nacional de Aduanas.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4.3 La salida d e contenedores extranjeros de Zona Franca a Zona Franca de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extensión, al exterior, al resto del país o a otra Zona Franca, se efectuará al amparo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del TATC, conforme al cual ingresaron a dicha zona. Sólo en caso de que el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contenedor salga al exterior, se cancelará el título en base al documento de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destinación tramitado y, para ello será necesario que el terminal portuario cuente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con la habilitación del operador del contenedor para el despacho. Este evento,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deberá ser transmitido al Servicio Nacional de Aduanas.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C. SISTEMA DE TRAZABILIDAD DE CONTENEDORES (HERMES)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1. Generalidades sobre la Transmisión d e datos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1.1. El sistema de trazabilidad de contenedores, HERMES, es un Sistema de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Fiscalización con escalamiento modular para obtener en línea el control y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trazabilidad de contenedores y mercancías a nivel Nacional.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Para ello, el Servicio solicitará contar con la totalidad de los eventos y movimientos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por parte de los Operadores de Contenedores, Almacenistas, Terminales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Portuarios, Extraportuarios y Depósitos de Contenedores, respectivamente,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entregando datos en forma anticipada y en línea de los contenedores desde su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arribo al país y durante toda su estadía en él.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1.2. El envío de los movimientos de los contenedores por parte de los operadores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de comercio exterior señalados en el numeral anterior hacia el Servicio deberá ser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en línea, es decir, al momento que se lleve a cabo el evento o movimiento gatillante.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1.3. Todos los Recintos de Depósito Aduanero y los de Depósito de Contenedores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deberán comunicar en línea, tanto el ingreso como la salida de contenedores desde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sus instalaciones a los Operadores de Contenedores y al Servicio Nacional de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Aduanas.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1.4. El incumplimiento de estas obligaciones por parte de los Recintos de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Depósitos Aduaneros dará lugar a las sanciones establecidas en la ley, sin perjuicio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del ejercicio de la jurisdicción disciplinaria en los casos que proceda.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2. Definición d e estructura d e datos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2.1. La estructura de datos a transmitir por parte de los operadores de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contenedores se encontrará en el Anexo N°2 del presente Apéndice.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3. Fiscalización por parte del Servicio Nacional de Aduanas.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3.1. La Administración del Sistema HERMES corresponderá a la Subdirección de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Fiscalización.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3.2. El ingreso de cada contenedor al país se verificará mediante el Título de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Admisión Temporal de Contenedores (TATC), el cual, solo para efectos del sistema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Hermes se denominará "Cumplido-Liberación del TATC". La vigencia del Título de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Admisión Temporal de Contenedores (TATC) será de un año calendario desde su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ingreso al país (365 días).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3.3. En caso de que el contenedor no efectué su salida de zona primaria antes del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período general de depósito, esto es, los 90 días corridos, el Operador de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Contenedores deberá seguir las instrucciones normadas en el numeral 17.10.4.13.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del Capítulo III del Compendio de Normas Aduaneras.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3.4. El Departamento de Fiscalización de cada Aduana de control, deberá efectuar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una fiscalización mensual del cumplimiento de los plazos de vigencia de los TATC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y TSTC para cada Operador de Contenedores que haya emitido los títulos bajo su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jurisdicción. Para ello se deberá acceder al sistema Hermes y consultar el módulo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de reporte "TATC VIGENTES - FUERA DE PLAZO".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3.5. Asimismo, deberá realizar un control mensual, sobre los registros de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traspasos de contenedores que efectúen los Operadores de Contenedores,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verificando la correspondiente cancelación del título en el sistema Hermes por parte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del Operador que efectúa el traspaso y que se haya emitido un nuevo título por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parte del Operador receptor y que este nuevo título haya sido transmitido al sistema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Hermes.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3.6. El incumplimiento de estas obligaciones dará lugar a las denuncias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pertinentes, sin perjuicio del ejercicio de la jurisdicción disciplinaria en los casos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que proceda.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3.7. El Departamento de Fiscalización de cada Aduana de control, de detectar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incumplimientos normativos por parte del Operador de Contenedores, procederá a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efectuar las denuncias que correspondan de tipo reglamentaria o de origen penal,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notificando al Operador de Contenedores de acuerdo con las normas 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instrucciones que le resulten aplicables.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3.8. En el caso de que en el control periódico realizado, se detectara un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incumplimiento habitual u otros antecedentes de riesgos del Operador de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Contenedores, la Aduana de control remitirá los antecedentes a la Subdirección de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Fiscalización, con el objeto de que se evalúen otras acciones pertinentes.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3.9. El Departamento de Fiscalización de cada Aduana de control deberá generar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un plan regular de fiscalización anual a los Operadores de Contenedores, que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incorpore distintas instancias de fiscalización como revisiones documentales,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fiscalización selectiva a operaciones en zona primaria o secundaria y/o auditorías,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atendiendo las evaluaciones de riesgos realizadas. Para lo anterior, deberá efectuar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una debida coordinación con otras Aduanas bajo cuya jurisdicción también efectué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operaciones el Operador de Contenedores a fiscalizar, resguardando el adecuado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uso de los recursos del Servicio.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ARCIONAL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4. Vencimiento del plazo de vigencia del TATC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4.1 Los contenedores que permanezcan en el país por más de un año bajo este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régimen simplificado de admisión temporal y no hayan tramitado la prórroga que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establece el numeral siguiente, se les aplicará la presunción de abandono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establecida en el numeral 3 del artículo 140 de la Ordenanza de Aduanas.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4.2 En caso de que un TATC este próximo al vencimiento de su plazo de estadía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de un año en el país, el Operador de Contenedor podrá generar una prórroga por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un periodo igual al establecido en su ingreso inicial, es decir un año adicional (365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días), desde la fecha del vencimiento original. Esta acción sólo se podrá realizar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por una vez para cada contenedor.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4.3 La solicitud de prórroga se deberá realizar en forma previa al vencimiento del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TATC. Para ello, el Operador de Contenedores deberá emitir y transmitir al Servicio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el evento denominado "prórroga TATC". Dicha solicitud corresponderá a cada TATC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en forma individual.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4.4. En caso de que al vencimiento del plazo de la prórroga el contenedor aún se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encuentre en el país, el Operador de Contenedores deberá nacionalizar el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contenedor, de acuerdo con lo instruido en el Anexo Nº1 "Instrucciones para la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importación de contenedores vacíos, que se encuentren en el país al amparo de un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TATC o depositados en una zona primaria aduanera" de este Apéndice VIII 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proceder a su reexportación. En caso contrario, quedará en presunción de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abandono corriendo en su contra el respectivo recargo establecido en el artículo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154 de la Ordenanza de Aduanas.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5. Contingencia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5.1 Ante la eventualidad de caídas o intermitencias del sistema Hermes, que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imposibiliten recibir la transmisión de datos de parte de los operadores de comercio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exterior, se deberán regularizar en la medida que el sistema reestablezca sus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funcionalidades.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5.2 En caso de que los Operadores de Contenedores, Recintos Depósitos Aduaneros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y Depósitos de Contenedores, no transmitan algún movimiento al Servicio, deberá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regularizarlo en un plazo máximo de 24 horas desde ocurrido el evento.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5.3 En el caso de caídas de los sistemas de los Operadores de Contenedores o de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los Terminales Portuarios, Almacenistas o Extraportuarios, se aceptará el envío de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los TATC mediante correo electrónico habilitado entre las partes. Una vez subsanada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la contingencia, todo evento deberá ser regularizado a tan pronto como se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restablezca la comunicación.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IV. DISPOSICIONES TRANSITORIAS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1. A partir del 01 de enero de 2025, los Operadores de Contenedores, deberán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utilizar la nueva codificación para todos aquellos TATC que se tramiten desde la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fecha indicada.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2. Esta codificación estará conformada por 16 dígitos, de acuerdo con la siguiente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estructura, "año-aduana-operador-correlativo", donde: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a. Los 4 primeros dígitos corresponden al año de tramitación.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b. Los siguientes 2 dígitos corresponden a la Aduana de tramitación del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TATC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c. Los siguientes 3 dígitos corresponden al código del Operador (set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numérico) según Anexo 51-36.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d. Los últimos 7 dígitos corresponden al número correlativo anual.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A modo de ejemplo, tendremos: "2025341170000001".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a. 2025 = año de tramitación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b. 34 = Aduana de tramitación del TATC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c. 117 = Código (set numérico) del Operador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d. 0000001 = número correlativo anual.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V. REEMPLÁCESE; el Anexo 51-36, del Compendio de Normas Aduaneras, por el que se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acompaña en la presente resolución.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VI. ELIMÍNASE; El Apéndice IV: Plan piloto de control de salida de contenedores con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carga de exportación y el Apéndice V: Procedimiento de control de ingreso de los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contenedores con carga de exportación, ambos del Capítulo IV, del Compendio de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Normas Aduaneras.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VII. DÉJANSE SIN EFECTO las Resoluciones Exentas Nº2808/1995, Nº3964/2007,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N°6326/2010, N°8563/2012 y Nº5660/2018 y el Oficio Circular N°124 de 2016, todos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de esta Dirección Nacional.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VIII. Las referidas instrucciones entrarán en vigor desde la publicación del extracto de esta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en el Diario Oficial.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ANÓTESE, COMUNIQUESE Y PUBLÍQUESE EN EXTRACTO EN EL DIARIO OFICIAL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Y EN LA PÁGINA WEB DEL SERVICIO.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Anexo Nº1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"Instrucciones para la importación de contenedores vacíos, que se encuentren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en el país al amparo de un TATC o depositados en una zona primaria aduanera."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Indicaciones Generales: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 En caso de que el importador de un contenedor sea una persona distinta al titular del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TATC, deberá cancelarse el régimen de admisión temporal con la entrega del contenedor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 la zona primaria, a través de una Solicitud de Entrega de Mercancías denominada SEM,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y posteriormente, proceder a la importación del contenedor. Sin embargo, si el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importador es el titular del TATC (Operador de Contenedores), deberá tramitarse la DIN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ante la Aduana de jurisdicción en la cual se encuentra el contenedor al momento de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tramitar la importación.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 Cada DIN podrá amparar más de un contenedor, debiendo declararse en ITEM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separados.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- El contenedor usado, al ser considerado bien de capital, queda exento del recargo por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uso, conforme lo señala la letra a) de la Regla General Complementaria N 3 del Arancel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Aduanero.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 En caso de que el valor del contenedor sea de hasta US$ 1.000 FOB facturado, podrá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tramitarse una Declaración de Importación de Pago Simultáneo (DIPS), acogiéndose a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las instrucciones para este tipo de documento del Capítulo III y Anexo N 18 del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Compendio de Normas Aduaneras.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Para efectos del llenado de la Declaración de Ingreso que ampara la importación de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contenedores vacíos que se encuentren en el país al amparo de un TATC, o bien,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depositados en la zona primaria, se deben seguir las siguientes instrucciones: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LLENADO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OPERACIÓN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Glosa: IMPOR.CTDO/NORMAL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Código: 101</w:t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RECUADRO ORIGEN, TRANSPORTE Y ALMACENAJE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PUERTO DE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EMBARQUE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Glosa: Solo CNT Vacíos, Código 997.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PUERTO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DESEMBARQUE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Glosa y código según Anexo N 51-11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CIA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TRANSPORTADORA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Glosa: NO EXISTE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Código: 997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33.333.333-3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MANIFIESTO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607200 (Este dato es buzón)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MANIFIESTO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7/12/2005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DOC.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Consignar el número del TATC, en el caso de encontrarse en un depósito de contenedores. En caso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que la DIN ampare más de un contenedor deberá señalar el número del TATC del primer item.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Consigne el número de la Papeleta de Recepción, en caso de haber sido entregado a la zona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Consignar la fecha de emisión del TATC o de la Papeleta de Recepción de carga, en formato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dd/mm/aaaa, según corresponda.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EMISOR DOC.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TRANSPORTE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Consigne el nombre del Operador de Contenedores, en el caso de encontrarse en un depósito de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contenedores. En caso de haber sido entregado a la zona primaria, consigne el nombre del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Consigne el RUT del Operador de Contenedores del TATC, en el caso de encontrarse en un depósito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contenedores. Consigne el RUT del almacenista, en el caso de haber sido entregado a la zona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de haber sido entregado a la zona primaria, señale el Nombre del Almacenista y su código,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según Anexo N 51-15 del Compendio de Normas Aduaneras.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de encontrarse el contenedor en un depósito de contenedores, señalar la Glosa: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PARTICULAR Y CODIGO A03.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RECEPCION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Señale la fecha de recepción, según formato dd/mm/aaaa.</w:t>
            </w:r>
          </w:p>
        </w:tc>
      </w:tr>
    </w:tbl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RECUADRO DESCRIPCION DE MERCANCIAS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dentificación contenedor (serie-número)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Contenedor de carga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corresponda o nombre emisor Factura-F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o 40 pies, según corresponda; metálico; tipo (DRY, REEFER, FLAT, OPENTOP, TANK, etc)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COMPLEMENTARIA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Usado o nuevo, año fabricación, utilización (ej: mercancías, líquido, etc.). En caso de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la Declaración ampare más de un contenedor y que éste se encuentre en un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depósito de contenedores, consignar el número del TATC del primer ítem.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CLASIFICACION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ARANCELARIA 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8609.0000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RECUADRO OBSERV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Asociación código 99 Unidad de Venta Ej: 00000001,000000 UNIDAD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BULTOS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y glosa según Anexo N°51-23 del Compendio de Normas Aduaneras.</w:t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RECUADRO IDENTIFICACION DE BULTOS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Serie y número del contenedor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La información de los otros recuadros de la DIN debe completarse de acuerdo con las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instrucciones generales de llenado del Anexo Nº18 del Compendio de Normas Aduaneras.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Anexo N°2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"Definición de estructura de datos"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Revisar el siguiente LINK al documento: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http://www.aduana.cl/manual-tramitaciones-electronicas/aduana/2007-02-27/173330.html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ANEXO 51-36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OPERADOR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ADUANA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ULTRAMAR AGENCIA MARITIMA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AGENCIAS UNIVERSALES S.A.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IAN TAYLOR Y CIA.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MARITIMA VALPARAISO CHILE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SERVICIOS SERVICON Y TRANSPORTE S.A.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DEPOSITO Y CONTENEDORES S.A.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MAERSK CHILE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PUERTO VALPARAISO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MEDITERRANEAN SHIPPING COMPANY CHILE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CONTENEDORES PATAGONIA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RPP CONTENEDORES SPA.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CONTEMAR LTDA. (CAMBIO RAZON SOCIAL SERVICIOS INTEGRALES A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CONTENEDORES) 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SOCIEDAD SERVICIOS COMERCIALES Y MARITIMOS SERCOMEX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COMERCIAL MOVILHOME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RIO PUELO SPA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FELTON TRADE CONTAINERS CHILE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SOC. MARITIMA Y COMERCIAL SOMARCO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SOC. COMERCIAL E-CONTAINERS CHILE SPA.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CONTEKNER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SOCIEDAD COMERCIAL MATHY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SCL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STORE CHILE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CONTENEDORES Y MODULOS AMERICA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MODULOS PATAGONIA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COMERCIAL BOXTAIMER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CONTENEDORES TOMAS DAGNINO VICENCIO E.I.R.L.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SOCIEDAD DE SERVICIOS CONTENEDORES RO-MA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HAPAG-LLOYD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VMC CONTAINER Y TRANSPORTES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TRASPORTES JIREH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ARRIENDO AL CONTENEDOR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LOGISTICA CYA SPA.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TRANSPORTES SANTA FLORENCIA LTDA.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CAMBER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INTERMODAL TANK TRANSPORT CHILE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COMERCIALIZADORA DE SERVICIOS Y CONTAINERS YA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CONTENEDORES PACÍFICO SUR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SPACEWISE SOLUCIONES CREATIVAS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INTEGRAL DE CONTENEDORES WORLDTAINER SPA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COMERCIALIZADORA, TRANSPORTES Y CONTAINERS DRM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CONTENEDORES SPA 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LOGÍSTICA INTEGRAL S.P.A.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THL IMPORTACIONES Y TRANSPORTES S.A.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</w:tr>
    </w:tbl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