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00" w:after="200" w:line="240" w:lineRule="auto"/>
        <w:ind w:firstLine="0"/>
        <w:jc w:val="both"/>
      </w:pPr>
      <w:r>
        <w:rPr>
          <w:rFonts w:ascii="Century Gothic" w:hAnsi="Century Gothic" w:cs="Century Gothic" w:eastAsia="Century Gothic"/>
          <w:b/>
          <w:sz w:val="22"/>
        </w:rPr>
        <w:t>EXCELENTÍSSIMO(A) SENHOR(A) JUIZ(A) DE DIREITO DA VARA DE FAMÍLIA DA COMARCA DE PARAUAPEBAS — ESTADO DO PARÁ</w:t>
      </w:r>
    </w:p>
    <w:p>
      <w:pPr>
        <w:spacing w:before="400" w:after="200" w:line="240" w:lineRule="auto"/>
        <w:ind w:firstLine="0"/>
        <w:jc w:val="both"/>
      </w:pPr>
      <w:r>
        <w:rPr>
          <w:rFonts w:ascii="Century Gothic" w:hAnsi="Century Gothic" w:cs="Century Gothic" w:eastAsia="Century Gothic"/>
          <w:b/>
          <w:sz w:val="22"/>
        </w:rPr>
        <w:t>PROCESSO EM SEGREDO DE JUSTIÇA</w:t>
      </w:r>
      <w:r>
        <w:rPr>
          <w:rFonts w:ascii="Century Gothic" w:hAnsi="Century Gothic" w:cs="Century Gothic" w:eastAsia="Century Gothic"/>
          <w:sz w:val="22"/>
        </w:rPr>
        <w:t xml:space="preserve"> — Tramitação reservada por versar a causa sobre alimentos e guarda de crianças e adolescentes, na forma do art. 189, II, do Código de Processo Civil, restringindo-se a consulta aos autos às partes e a seus procuradores (art. 189, § 1º).</w:t>
      </w:r>
    </w:p>
    <w:p>
      <w:pPr>
        <w:spacing w:before="400" w:after="200" w:line="240" w:lineRule="auto"/>
        <w:ind w:firstLine="0"/>
        <w:jc w:val="both"/>
      </w:pPr>
      <w:r>
        <w:rPr>
          <w:rFonts w:ascii="Century Gothic" w:hAnsi="Century Gothic" w:cs="Century Gothic" w:eastAsia="Century Gothic"/>
          <w:b/>
          <w:sz w:val="22"/>
        </w:rPr>
        <w:t>TÂNIA SILVA RODRIGUES</w:t>
      </w:r>
      <w:r>
        <w:rPr>
          <w:rFonts w:ascii="Century Gothic" w:hAnsi="Century Gothic" w:cs="Century Gothic" w:eastAsia="Century Gothic"/>
          <w:sz w:val="22"/>
        </w:rPr>
        <w:t xml:space="preserve">, brasileira, recepcionista, portadora do CPF n.º 028.405.932-38, nascida em 15/09/1993, residente e domiciliada na Rua Quatro, n.º 46, Bairro Primavera, Parauapebas/PA, CEP 68.515-000, endereço declarado sob responsabilidade da parte — a conta de consumo do imóvel encontra-se em nome de co-residente —, por seu advogado que esta subscreve, </w:t>
      </w:r>
      <w:r>
        <w:rPr>
          <w:rFonts w:ascii="Century Gothic" w:hAnsi="Century Gothic" w:cs="Century Gothic" w:eastAsia="Century Gothic"/>
          <w:b/>
          <w:sz w:val="22"/>
        </w:rPr>
        <w:t>Herbeth Matheus Mendonça do Nascimento</w:t>
      </w:r>
      <w:r>
        <w:rPr>
          <w:rFonts w:ascii="Century Gothic" w:hAnsi="Century Gothic" w:cs="Century Gothic" w:eastAsia="Century Gothic"/>
          <w:sz w:val="22"/>
        </w:rPr>
        <w:t xml:space="preserve">, brasileiro, solteiro, inscrito na OAB/PA sob o n.º 39.261, com escritório profissional na Rua D, n.º 410-B, Bairro Cidade Nova, Parauapebas/PA, CEP 68.515-000, e-mail herbethmatheus.adv@gmail.com, telefone (94) 98412-8321, onde recebe intimações, vem, respeitosamente, à presença de Vossa Excelência, em nome próprio e na qualidade de representante legal de seus filhos menores </w:t>
      </w:r>
      <w:r>
        <w:rPr>
          <w:rFonts w:ascii="Century Gothic" w:hAnsi="Century Gothic" w:cs="Century Gothic" w:eastAsia="Century Gothic"/>
          <w:b/>
          <w:sz w:val="22"/>
        </w:rPr>
        <w:t>JULLIA CECILIA SILVA DE ARAUJO</w:t>
      </w:r>
      <w:r>
        <w:rPr>
          <w:rFonts w:ascii="Century Gothic" w:hAnsi="Century Gothic" w:cs="Century Gothic" w:eastAsia="Century Gothic"/>
          <w:sz w:val="22"/>
        </w:rPr>
        <w:t xml:space="preserve"> e </w:t>
      </w:r>
      <w:r>
        <w:rPr>
          <w:rFonts w:ascii="Century Gothic" w:hAnsi="Century Gothic" w:cs="Century Gothic" w:eastAsia="Century Gothic"/>
          <w:b/>
          <w:sz w:val="22"/>
        </w:rPr>
        <w:t>CÍCERO SILVA DE ARAUJO JUNIOR</w:t>
      </w:r>
      <w:r>
        <w:rPr>
          <w:rFonts w:ascii="Century Gothic" w:hAnsi="Century Gothic" w:cs="Century Gothic" w:eastAsia="Century Gothic"/>
          <w:sz w:val="22"/>
        </w:rPr>
        <w:t>, propor a presente</w:t>
      </w:r>
    </w:p>
    <w:p>
      <w:pPr>
        <w:spacing w:before="400" w:after="200" w:line="240" w:lineRule="auto"/>
        <w:ind w:firstLine="0"/>
        <w:jc w:val="center"/>
      </w:pPr>
      <w:r>
        <w:rPr>
          <w:rFonts w:ascii="Century Gothic" w:hAnsi="Century Gothic" w:cs="Century Gothic" w:eastAsia="Century Gothic"/>
          <w:b/>
          <w:sz w:val="22"/>
        </w:rPr>
        <w:t>AÇÃO DE ALIMENTOS C/C REGULAMENTAÇÃO DE GUARDA COMPARTILHADA E DE CONVIVÊNCIA, COM PEDIDO DE TUTELA DE URGÊNCIA PARA FIXAÇÃO DE ALIMENTOS PROVISÓRIOS</w:t>
      </w:r>
    </w:p>
    <w:p>
      <w:pPr>
        <w:spacing w:before="400" w:after="200" w:line="240" w:lineRule="auto"/>
        <w:ind w:firstLine="0"/>
        <w:jc w:val="both"/>
      </w:pPr>
      <w:r>
        <w:rPr>
          <w:rFonts w:ascii="Century Gothic" w:hAnsi="Century Gothic" w:cs="Century Gothic" w:eastAsia="Century Gothic"/>
          <w:sz w:val="22"/>
        </w:rPr>
        <w:t xml:space="preserve">em face de </w:t>
      </w:r>
      <w:r>
        <w:rPr>
          <w:rFonts w:ascii="Century Gothic" w:hAnsi="Century Gothic" w:cs="Century Gothic" w:eastAsia="Century Gothic"/>
          <w:b/>
          <w:sz w:val="22"/>
        </w:rPr>
        <w:t>CÍCERO SILVA DE ARAUJO</w:t>
      </w:r>
      <w:r>
        <w:rPr>
          <w:rFonts w:ascii="Century Gothic" w:hAnsi="Century Gothic" w:cs="Century Gothic" w:eastAsia="Century Gothic"/>
          <w:sz w:val="22"/>
        </w:rPr>
        <w:t>, brasileiro, natural de Timbiras/MA, portador do CPF n.º 014.640.832-23 e do RG n.º 7213033, expedido pela SSP/PA, nascido em 02/04/1992, atualmente residente no Município do Rio de Janeiro/RJ, em endereço desconhecido pela Autora — razão pela qual se requer, com fundamento no art. 319, §§ 1º a 3º, do CPC, as diligências necessárias à sua localização, na forma do capítulo IV —, pelos fatos e fundamentos a seguir expostos.</w:t>
      </w:r>
    </w:p>
    <w:p>
      <w:pPr>
        <w:spacing w:before="400" w:after="200" w:line="240" w:lineRule="auto"/>
        <w:ind w:firstLine="0"/>
        <w:jc w:val="left"/>
      </w:pPr>
      <w:r>
        <w:rPr>
          <w:rFonts w:ascii="Century Gothic" w:hAnsi="Century Gothic" w:cs="Century Gothic" w:eastAsia="Century Gothic"/>
          <w:b/>
          <w:sz w:val="22"/>
        </w:rPr>
        <w:t>I) DOS FATOS</w:t>
      </w:r>
    </w:p>
    <w:p>
      <w:pPr>
        <w:spacing w:before="400" w:after="200" w:line="240" w:lineRule="auto"/>
        <w:ind w:firstLine="0"/>
        <w:jc w:val="both"/>
      </w:pPr>
      <w:r>
        <w:rPr>
          <w:rFonts w:ascii="Century Gothic" w:hAnsi="Century Gothic" w:cs="Century Gothic" w:eastAsia="Century Gothic"/>
          <w:b/>
          <w:sz w:val="22"/>
          <w:u w:val="single"/>
        </w:rPr>
        <w:t>1.1. Da união entre os genitores e da filiação dos menores</w:t>
      </w:r>
    </w:p>
    <w:p>
      <w:pPr>
        <w:spacing w:before="400" w:after="200" w:line="240" w:lineRule="auto"/>
        <w:ind w:firstLine="0"/>
        <w:jc w:val="both"/>
      </w:pPr>
      <w:r>
        <w:rPr>
          <w:rFonts w:ascii="Century Gothic" w:hAnsi="Century Gothic" w:cs="Century Gothic" w:eastAsia="Century Gothic"/>
          <w:sz w:val="22"/>
        </w:rPr>
        <w:t xml:space="preserve">A Autora e o Réu mantiveram união estável por alguns anos, da qual nasceram dois filhos comuns: </w:t>
      </w:r>
      <w:r>
        <w:rPr>
          <w:rFonts w:ascii="Century Gothic" w:hAnsi="Century Gothic" w:cs="Century Gothic" w:eastAsia="Century Gothic"/>
          <w:b/>
          <w:sz w:val="22"/>
        </w:rPr>
        <w:t>JULLIA CECILIA SILVA DE ARAUJO</w:t>
      </w:r>
      <w:r>
        <w:rPr>
          <w:rFonts w:ascii="Century Gothic" w:hAnsi="Century Gothic" w:cs="Century Gothic" w:eastAsia="Century Gothic"/>
          <w:sz w:val="22"/>
        </w:rPr>
        <w:t xml:space="preserve">, nascida em 15 de setembro de 2014, em Parauapebas/PA, portadora do CPF n.º 079.215.852-05 (DOC-01), e </w:t>
      </w:r>
      <w:r>
        <w:rPr>
          <w:rFonts w:ascii="Century Gothic" w:hAnsi="Century Gothic" w:cs="Century Gothic" w:eastAsia="Century Gothic"/>
          <w:b/>
          <w:sz w:val="22"/>
        </w:rPr>
        <w:t>CÍCERO SILVA DE ARAUJO JUNIOR</w:t>
      </w:r>
      <w:r>
        <w:rPr>
          <w:rFonts w:ascii="Century Gothic" w:hAnsi="Century Gothic" w:cs="Century Gothic" w:eastAsia="Century Gothic"/>
          <w:sz w:val="22"/>
        </w:rPr>
        <w:t>, nascido em 11 de junho de 2018, portador do CPF n.º 074.003.542-80 (DOC-02).</w:t>
      </w:r>
    </w:p>
    <w:p>
      <w:pPr>
        <w:spacing w:before="400" w:after="200" w:line="240" w:lineRule="auto"/>
        <w:ind w:firstLine="0"/>
        <w:jc w:val="both"/>
      </w:pPr>
      <w:r>
        <w:rPr>
          <w:rFonts w:ascii="Century Gothic" w:hAnsi="Century Gothic" w:cs="Century Gothic" w:eastAsia="Century Gothic"/>
          <w:sz w:val="22"/>
        </w:rPr>
        <w:t>A filiação paterna e materna de ambos os menores encontra-se formalmente reconhecida nas respectivas certidões de nascimento (DOC-01 e DOC-02), documentos públicos dotados de fé.</w:t>
      </w:r>
    </w:p>
    <w:p>
      <w:pPr>
        <w:spacing w:before="400" w:after="200" w:line="240" w:lineRule="auto"/>
        <w:ind w:firstLine="0"/>
        <w:jc w:val="both"/>
      </w:pPr>
      <w:r>
        <w:rPr>
          <w:rFonts w:ascii="Century Gothic" w:hAnsi="Century Gothic" w:cs="Century Gothic" w:eastAsia="Century Gothic"/>
          <w:b/>
          <w:sz w:val="22"/>
          <w:u w:val="single"/>
        </w:rPr>
        <w:t>1.2. Da separação e da situação atual dos menores</w:t>
      </w:r>
    </w:p>
    <w:p>
      <w:pPr>
        <w:spacing w:before="400" w:after="200" w:line="240" w:lineRule="auto"/>
        <w:ind w:firstLine="0"/>
        <w:jc w:val="both"/>
      </w:pPr>
      <w:r>
        <w:rPr>
          <w:rFonts w:ascii="Century Gothic" w:hAnsi="Century Gothic" w:cs="Century Gothic" w:eastAsia="Century Gothic"/>
          <w:sz w:val="22"/>
        </w:rPr>
        <w:t>No ano de 2024, os genitores encerraram a convivência. Desde então, os menores residem exclusivamente com a Autora, em Parauapebas/PA, sob sua guarda de fato, sem que jamais tenha sido formalizado qualquer acordo de guarda ou homologado qualquer ajuste judicial a respeito. As crianças frequentam escola pública no Município e não possuem plano de saúde privado.</w:t>
      </w:r>
    </w:p>
    <w:p>
      <w:pPr>
        <w:spacing w:before="400" w:after="200" w:line="240" w:lineRule="auto"/>
        <w:ind w:firstLine="0"/>
        <w:jc w:val="both"/>
      </w:pPr>
      <w:r>
        <w:rPr>
          <w:rFonts w:ascii="Century Gothic" w:hAnsi="Century Gothic" w:cs="Century Gothic" w:eastAsia="Century Gothic"/>
          <w:sz w:val="22"/>
        </w:rPr>
        <w:t>O Réu, após a separação, transferiu-se para o Município do Rio de Janeiro/RJ, onde passou a residir com novo(a) companheiro(a), mantendo com os filhos contato esporádico e sem periodicidade regular.</w:t>
      </w:r>
    </w:p>
    <w:p>
      <w:pPr>
        <w:spacing w:before="400" w:after="200" w:line="240" w:lineRule="auto"/>
        <w:ind w:firstLine="0"/>
        <w:jc w:val="both"/>
      </w:pPr>
      <w:r>
        <w:rPr>
          <w:rFonts w:ascii="Century Gothic" w:hAnsi="Century Gothic" w:cs="Century Gothic" w:eastAsia="Century Gothic"/>
          <w:b/>
          <w:sz w:val="22"/>
          <w:u w:val="single"/>
        </w:rPr>
        <w:t>1.3. Da contribuição alimentar irregular do Réu</w:t>
      </w:r>
    </w:p>
    <w:p>
      <w:pPr>
        <w:spacing w:before="400" w:after="200" w:line="240" w:lineRule="auto"/>
        <w:ind w:firstLine="0"/>
        <w:jc w:val="both"/>
      </w:pPr>
      <w:r>
        <w:rPr>
          <w:rFonts w:ascii="Century Gothic" w:hAnsi="Century Gothic" w:cs="Century Gothic" w:eastAsia="Century Gothic"/>
          <w:sz w:val="22"/>
        </w:rPr>
        <w:t>Conforme relata a Autora, desde a separação o Réu tem prestado alimentos de forma irregular, sem periodicidade definida e em valores insuficientes para atender às necessidades dos menores. Segundo a Autora, o valor máximo por ele pago em uma única oportunidade foi de R$ 500,00 (quinhentos reais), sem que tenha havido regularidade nos repasses. Não existe acordo formal, extrajudicial ou judicial, que estabeleça obrigação alimentar exigível.</w:t>
      </w:r>
    </w:p>
    <w:p>
      <w:pPr>
        <w:spacing w:before="400" w:after="200" w:line="240" w:lineRule="auto"/>
        <w:ind w:firstLine="0"/>
        <w:jc w:val="both"/>
      </w:pPr>
      <w:r>
        <w:rPr>
          <w:rFonts w:ascii="Century Gothic" w:hAnsi="Century Gothic" w:cs="Century Gothic" w:eastAsia="Century Gothic"/>
          <w:sz w:val="22"/>
        </w:rPr>
        <w:t>A irregularidade, nesta fase inicial, sustenta-se na declaração da Autora, sujeita a complementação probatória: a Autora diligencia a obtenção do extrato bancário dos últimos doze meses da conta na qual costumava receber os valores enviados pelo Réu, e requer, desde logo, a exibição, pelo Réu, dos comprovantes dos depósitos que alegue haver efetuado (capítulo V, alínea "d").</w:t>
      </w:r>
    </w:p>
    <w:p>
      <w:pPr>
        <w:spacing w:before="400" w:after="200" w:line="240" w:lineRule="auto"/>
        <w:ind w:firstLine="0"/>
        <w:jc w:val="both"/>
      </w:pPr>
      <w:r>
        <w:rPr>
          <w:rFonts w:ascii="Century Gothic" w:hAnsi="Century Gothic" w:cs="Century Gothic" w:eastAsia="Century Gothic"/>
          <w:b/>
          <w:sz w:val="22"/>
          <w:u w:val="single"/>
        </w:rPr>
        <w:t>1.4. Das necessidades dos menores</w:t>
      </w:r>
    </w:p>
    <w:p>
      <w:pPr>
        <w:spacing w:before="400" w:after="200" w:line="240" w:lineRule="auto"/>
        <w:ind w:firstLine="0"/>
        <w:jc w:val="both"/>
      </w:pPr>
      <w:r>
        <w:rPr>
          <w:rFonts w:ascii="Century Gothic" w:hAnsi="Century Gothic" w:cs="Century Gothic" w:eastAsia="Century Gothic"/>
          <w:sz w:val="22"/>
        </w:rPr>
        <w:t>A Autora declara ser a provedora exclusiva dos dois filhos desde a separação, arcando integralmente com as despesas necessárias à sua manutenção, educação e desenvolvimento. Segundo declara, entre as despesas mensais regulares da família figuram alimentação (mercado, açougue, hortifrúti), transporte, vestuário dos filhos e serviço de internet residencial.</w:t>
      </w:r>
    </w:p>
    <w:p>
      <w:pPr>
        <w:spacing w:before="400" w:after="200" w:line="240" w:lineRule="auto"/>
        <w:ind w:firstLine="0"/>
        <w:jc w:val="both"/>
      </w:pPr>
      <w:r>
        <w:rPr>
          <w:rFonts w:ascii="Century Gothic" w:hAnsi="Century Gothic" w:cs="Century Gothic" w:eastAsia="Century Gothic"/>
          <w:sz w:val="22"/>
        </w:rPr>
        <w:t>Tais valores derivam de declaração da Autora constante de anotação informal (DOC-07), sem comprovante formal individual por item, e serão objeto de complementação probatória no curso da instrução. Consigna-se que os menores frequentam escola pública, não gerando despesa escolar mensal, e não possuem plano de saúde privado — circunstâncias que concentram na alimentação, vestuário, transporte e cuidados cotidianos o núcleo das necessidades a prover.</w:t>
      </w:r>
    </w:p>
    <w:p>
      <w:pPr>
        <w:spacing w:before="400" w:after="200" w:line="240" w:lineRule="auto"/>
        <w:ind w:firstLine="0"/>
        <w:jc w:val="both"/>
      </w:pPr>
      <w:r>
        <w:rPr>
          <w:rFonts w:ascii="Century Gothic" w:hAnsi="Century Gothic" w:cs="Century Gothic" w:eastAsia="Century Gothic"/>
          <w:b/>
          <w:sz w:val="22"/>
          <w:u w:val="single"/>
        </w:rPr>
        <w:t>1.5. Da situação econômica da Autora</w:t>
      </w:r>
    </w:p>
    <w:p>
      <w:pPr>
        <w:spacing w:before="400" w:after="200" w:line="240" w:lineRule="auto"/>
        <w:ind w:firstLine="0"/>
        <w:jc w:val="both"/>
      </w:pPr>
      <w:r>
        <w:rPr>
          <w:rFonts w:ascii="Century Gothic" w:hAnsi="Century Gothic" w:cs="Century Gothic" w:eastAsia="Century Gothic"/>
          <w:sz w:val="22"/>
        </w:rPr>
        <w:t xml:space="preserve">A Autora exerce a função de Recepcionista na empresa URM SERVICE ALOJAMENTOS E ALIMENTOS LTDA (CNPJ n.º 29.565.523/0004-00), situada em Parauapebas/PA, percebendo salário mensal de </w:t>
      </w:r>
      <w:r>
        <w:rPr>
          <w:rFonts w:ascii="Century Gothic" w:hAnsi="Century Gothic" w:cs="Century Gothic" w:eastAsia="Century Gothic"/>
          <w:b/>
          <w:sz w:val="22"/>
        </w:rPr>
        <w:t>R$ 1.621,00</w:t>
      </w:r>
      <w:r>
        <w:rPr>
          <w:rFonts w:ascii="Century Gothic" w:hAnsi="Century Gothic" w:cs="Century Gothic" w:eastAsia="Century Gothic"/>
          <w:sz w:val="22"/>
        </w:rPr>
        <w:t xml:space="preserve"> (um mil seiscentos e vinte e um reais), conforme demonstra a Carteira de Trabalho e Previdência Social Digital emitida pela Dataprev (DOC-10).</w:t>
      </w:r>
    </w:p>
    <w:p>
      <w:pPr>
        <w:spacing w:before="400" w:after="200" w:line="240" w:lineRule="auto"/>
        <w:ind w:firstLine="0"/>
        <w:jc w:val="both"/>
      </w:pPr>
      <w:r>
        <w:rPr>
          <w:rFonts w:ascii="Century Gothic" w:hAnsi="Century Gothic" w:cs="Century Gothic" w:eastAsia="Century Gothic"/>
          <w:sz w:val="22"/>
        </w:rPr>
        <w:t xml:space="preserve">O vínculo empregatício da Autora é </w:t>
      </w:r>
      <w:r>
        <w:rPr>
          <w:rFonts w:ascii="Century Gothic" w:hAnsi="Century Gothic" w:cs="Century Gothic" w:eastAsia="Century Gothic"/>
          <w:b/>
          <w:sz w:val="22"/>
        </w:rPr>
        <w:t>por prazo determinado</w:t>
      </w:r>
      <w:r>
        <w:rPr>
          <w:rFonts w:ascii="Century Gothic" w:hAnsi="Century Gothic" w:cs="Century Gothic" w:eastAsia="Century Gothic"/>
          <w:sz w:val="22"/>
        </w:rPr>
        <w:t xml:space="preserve">: o contrato documentado no DOC-10 teve termo final em 11/06/2026, tendo a Autora informado a sua renovação, cujo comprovante será juntado oportunamente. A sucessão de contratos a termo — típica do setor de alojamentos e facilities em que a Autora atua — revela renda formal, porém </w:t>
      </w:r>
      <w:r>
        <w:rPr>
          <w:rFonts w:ascii="Century Gothic" w:hAnsi="Century Gothic" w:cs="Century Gothic" w:eastAsia="Century Gothic"/>
          <w:b/>
          <w:sz w:val="22"/>
        </w:rPr>
        <w:t>estruturalmente precária e sujeita a interrupções periódicas</w:t>
      </w:r>
      <w:r>
        <w:rPr>
          <w:rFonts w:ascii="Century Gothic" w:hAnsi="Century Gothic" w:cs="Century Gothic" w:eastAsia="Century Gothic"/>
          <w:sz w:val="22"/>
        </w:rPr>
        <w:t>, circunstância que torna imprescindível a constituição de obrigação alimentar estável em favor dos menores, hoje integralmente dependentes da mãe.</w:t>
      </w:r>
    </w:p>
    <w:p>
      <w:pPr>
        <w:spacing w:before="400" w:after="200" w:line="240" w:lineRule="auto"/>
        <w:ind w:firstLine="0"/>
        <w:jc w:val="both"/>
      </w:pPr>
      <w:r>
        <w:rPr>
          <w:rFonts w:ascii="Century Gothic" w:hAnsi="Century Gothic" w:cs="Century Gothic" w:eastAsia="Century Gothic"/>
          <w:sz w:val="22"/>
        </w:rPr>
        <w:t>Ainda que documentada, a renda da Autora é insuficiente para fazer frente, sozinha, a todas as necessidades de dois filhos em desenvolvimento — de 11 e de 7 anos de idade —, sem qualquer contribuição regular do genitor. Registre-se que a remuneração da Autora corresponde exatamente a um salário mínimo nacional vigente (R$ 1.621,00 — Decreto n.º 12.797/2025).</w:t>
      </w:r>
    </w:p>
    <w:p>
      <w:pPr>
        <w:spacing w:before="400" w:after="200" w:line="240" w:lineRule="auto"/>
        <w:ind w:firstLine="0"/>
        <w:jc w:val="both"/>
      </w:pPr>
      <w:r>
        <w:rPr>
          <w:rFonts w:ascii="Century Gothic" w:hAnsi="Century Gothic" w:cs="Century Gothic" w:eastAsia="Century Gothic"/>
          <w:b/>
          <w:sz w:val="22"/>
          <w:u w:val="single"/>
        </w:rPr>
        <w:t>1.6. Da capacidade contributiva indiciária do Réu</w:t>
      </w:r>
    </w:p>
    <w:p>
      <w:pPr>
        <w:spacing w:before="400" w:after="200" w:line="240" w:lineRule="auto"/>
        <w:ind w:firstLine="0"/>
        <w:jc w:val="both"/>
      </w:pPr>
      <w:r>
        <w:rPr>
          <w:rFonts w:ascii="Century Gothic" w:hAnsi="Century Gothic" w:cs="Century Gothic" w:eastAsia="Century Gothic"/>
          <w:sz w:val="22"/>
        </w:rPr>
        <w:t xml:space="preserve">A renda atual do Réu é desconhecida pela Autora, razão pela qual se requer a expedição de ofícios para sua apuração. Registra-se, a título de indício objetivo, que o Réu é titular de Carteira Nacional de Habilitação na </w:t>
      </w:r>
      <w:r>
        <w:rPr>
          <w:rFonts w:ascii="Century Gothic" w:hAnsi="Century Gothic" w:cs="Century Gothic" w:eastAsia="Century Gothic"/>
          <w:b/>
          <w:sz w:val="22"/>
        </w:rPr>
        <w:t>categoria D</w:t>
      </w:r>
      <w:r>
        <w:rPr>
          <w:rFonts w:ascii="Century Gothic" w:hAnsi="Century Gothic" w:cs="Century Gothic" w:eastAsia="Century Gothic"/>
          <w:sz w:val="22"/>
        </w:rPr>
        <w:t xml:space="preserve"> (DOC-03), habilitação para condução de veículo de transporte coletivo de passageiros, o que sugere aptidão para exercício de atividade laboral remunerada. A última profissão declarada em documento público (certidão de 2014 — DOC-01) era a de técnico em refrigeração.</w:t>
      </w:r>
    </w:p>
    <w:p>
      <w:pPr>
        <w:spacing w:before="400" w:after="200" w:line="240" w:lineRule="auto"/>
        <w:ind w:firstLine="0"/>
        <w:jc w:val="both"/>
      </w:pPr>
      <w:r>
        <w:rPr>
          <w:rFonts w:ascii="Century Gothic" w:hAnsi="Century Gothic" w:cs="Century Gothic" w:eastAsia="Century Gothic"/>
          <w:sz w:val="22"/>
        </w:rPr>
        <w:t>Não se afirma valor de renda sem base documental. Requer-se investigação judicial pelos meios previstos em lei.</w:t>
      </w:r>
    </w:p>
    <w:p>
      <w:pPr>
        <w:spacing w:before="400" w:after="200" w:line="240" w:lineRule="auto"/>
        <w:ind w:firstLine="0"/>
        <w:jc w:val="both"/>
      </w:pPr>
      <w:r>
        <w:rPr>
          <w:rFonts w:ascii="Century Gothic" w:hAnsi="Century Gothic" w:cs="Century Gothic" w:eastAsia="Century Gothic"/>
          <w:b/>
          <w:sz w:val="22"/>
          <w:u w:val="single"/>
        </w:rPr>
        <w:t>1.7. Da ausência de título executivo anterior</w:t>
      </w:r>
    </w:p>
    <w:p>
      <w:pPr>
        <w:spacing w:before="400" w:after="200" w:line="240" w:lineRule="auto"/>
        <w:ind w:firstLine="0"/>
        <w:jc w:val="both"/>
      </w:pPr>
      <w:r>
        <w:rPr>
          <w:rFonts w:ascii="Century Gothic" w:hAnsi="Century Gothic" w:cs="Century Gothic" w:eastAsia="Century Gothic"/>
          <w:sz w:val="22"/>
        </w:rPr>
        <w:t>Não existe sentença, acordo homologado judicialmente ou instrumento extrajudicial com força executiva que estabeleça obrigação alimentar em favor dos menores. A presente ação visa à constituição de obrigação nova, exigível a partir da decisão judicial que a fixar.</w:t>
      </w:r>
    </w:p>
    <w:p>
      <w:pPr>
        <w:spacing w:before="400" w:after="200" w:line="240" w:lineRule="auto"/>
        <w:ind w:firstLine="0"/>
        <w:jc w:val="left"/>
      </w:pPr>
      <w:r>
        <w:rPr>
          <w:rFonts w:ascii="Century Gothic" w:hAnsi="Century Gothic" w:cs="Century Gothic" w:eastAsia="Century Gothic"/>
          <w:b/>
          <w:sz w:val="22"/>
        </w:rPr>
        <w:t>II) DO DIREITO</w:t>
      </w:r>
    </w:p>
    <w:p>
      <w:pPr>
        <w:spacing w:before="400" w:after="200" w:line="240" w:lineRule="auto"/>
        <w:ind w:firstLine="0"/>
        <w:jc w:val="both"/>
      </w:pPr>
      <w:r>
        <w:rPr>
          <w:rFonts w:ascii="Century Gothic" w:hAnsi="Century Gothic" w:cs="Century Gothic" w:eastAsia="Century Gothic"/>
          <w:b/>
          <w:sz w:val="22"/>
          <w:u w:val="single"/>
        </w:rPr>
        <w:t>2.1. Da obrigação alimentar</w:t>
      </w:r>
    </w:p>
    <w:p>
      <w:pPr>
        <w:spacing w:before="400" w:after="200" w:line="240" w:lineRule="auto"/>
        <w:ind w:firstLine="0"/>
        <w:jc w:val="both"/>
      </w:pPr>
      <w:r>
        <w:rPr>
          <w:rFonts w:ascii="Century Gothic" w:hAnsi="Century Gothic" w:cs="Century Gothic" w:eastAsia="Century Gothic"/>
          <w:sz w:val="22"/>
        </w:rPr>
        <w:t>Dispõe o art. 1.694 do Código Civil que "podem os parentes, os cônjuges ou companheiros pedir uns aos outros os alimentos de que necessitem para viver de modo compatível com a sua condição social, inclusive para atender às necessidades de sua educação", devendo os alimentos ser fixados "na proporção das necessidades do reclamante e dos recursos da pessoa obrigada" (§ 1º) — o binômio necessidade-possibilidade, temperado pela proporcionalidade. O direito é recíproco entre pais e filhos (art. 1.696 do CC).</w:t>
      </w:r>
    </w:p>
    <w:p>
      <w:pPr>
        <w:spacing w:before="400" w:after="200" w:line="240" w:lineRule="auto"/>
        <w:ind w:firstLine="0"/>
        <w:jc w:val="both"/>
      </w:pPr>
      <w:r>
        <w:rPr>
          <w:rFonts w:ascii="Century Gothic" w:hAnsi="Century Gothic" w:cs="Century Gothic" w:eastAsia="Century Gothic"/>
          <w:sz w:val="22"/>
        </w:rPr>
        <w:t xml:space="preserve">No mesmo sentido, o art. 22 do Estatuto da Criança e do Adolescente, </w:t>
      </w:r>
      <w:r>
        <w:rPr>
          <w:rFonts w:ascii="Century Gothic" w:hAnsi="Century Gothic" w:cs="Century Gothic" w:eastAsia="Century Gothic"/>
          <w:b/>
          <w:sz w:val="22"/>
        </w:rPr>
        <w:t>na redação dada pela Lei n.º 15.240/2025</w:t>
      </w:r>
      <w:r>
        <w:rPr>
          <w:rFonts w:ascii="Century Gothic" w:hAnsi="Century Gothic" w:cs="Century Gothic" w:eastAsia="Century Gothic"/>
          <w:sz w:val="22"/>
        </w:rPr>
        <w:t>, impõe: "Aos pais incumbe o dever de sustento, guarda, convivência, assistência material e afetiva e educação dos filhos menores, cabendo-lhes ainda, no interesse destes, a obrigação de cumprir e fazer cumprir as determinações judiciais."</w:t>
      </w:r>
    </w:p>
    <w:p>
      <w:pPr>
        <w:spacing w:before="400" w:after="200" w:line="240" w:lineRule="auto"/>
        <w:ind w:firstLine="0"/>
        <w:jc w:val="both"/>
      </w:pPr>
      <w:r>
        <w:rPr>
          <w:rFonts w:ascii="Century Gothic" w:hAnsi="Century Gothic" w:cs="Century Gothic" w:eastAsia="Century Gothic"/>
          <w:sz w:val="22"/>
        </w:rPr>
        <w:t xml:space="preserve">Tratando-se de alimentandos </w:t>
      </w:r>
      <w:r>
        <w:rPr>
          <w:rFonts w:ascii="Century Gothic" w:hAnsi="Century Gothic" w:cs="Century Gothic" w:eastAsia="Century Gothic"/>
          <w:b/>
          <w:sz w:val="22"/>
        </w:rPr>
        <w:t>menores</w:t>
      </w:r>
      <w:r>
        <w:rPr>
          <w:rFonts w:ascii="Century Gothic" w:hAnsi="Century Gothic" w:cs="Century Gothic" w:eastAsia="Century Gothic"/>
          <w:sz w:val="22"/>
        </w:rPr>
        <w:t xml:space="preserve"> (11 e 7 anos), sua necessidade é </w:t>
      </w:r>
      <w:r>
        <w:rPr>
          <w:rFonts w:ascii="Century Gothic" w:hAnsi="Century Gothic" w:cs="Century Gothic" w:eastAsia="Century Gothic"/>
          <w:b/>
          <w:sz w:val="22"/>
        </w:rPr>
        <w:t>presumida</w:t>
      </w:r>
      <w:r>
        <w:rPr>
          <w:rFonts w:ascii="Century Gothic" w:hAnsi="Century Gothic" w:cs="Century Gothic" w:eastAsia="Century Gothic"/>
          <w:sz w:val="22"/>
        </w:rPr>
        <w:t>, decorrendo do poder familiar — entendimento consolidado no Superior Tribunal de Justiça (v.g. REsp 1.312.706/AL): enquanto menor o alimentando, a obrigação decorre do dever de sustento inerente à parentalidade, sendo desnecessária prova específica da necessidade.</w:t>
      </w:r>
    </w:p>
    <w:p>
      <w:pPr>
        <w:spacing w:before="400" w:after="200" w:line="240" w:lineRule="auto"/>
        <w:ind w:firstLine="0"/>
        <w:jc w:val="both"/>
      </w:pPr>
      <w:r>
        <w:rPr>
          <w:rFonts w:ascii="Century Gothic" w:hAnsi="Century Gothic" w:cs="Century Gothic" w:eastAsia="Century Gothic"/>
          <w:b/>
          <w:sz w:val="22"/>
          <w:u w:val="single"/>
        </w:rPr>
        <w:t>2.2. Da tutela de urgência para alimentos provisórios</w:t>
      </w:r>
    </w:p>
    <w:p>
      <w:pPr>
        <w:spacing w:before="400" w:after="200" w:line="240" w:lineRule="auto"/>
        <w:ind w:firstLine="0"/>
        <w:jc w:val="both"/>
      </w:pPr>
      <w:r>
        <w:rPr>
          <w:rFonts w:ascii="Century Gothic" w:hAnsi="Century Gothic" w:cs="Century Gothic" w:eastAsia="Century Gothic"/>
          <w:sz w:val="22"/>
        </w:rPr>
        <w:t xml:space="preserve">Na ação de alimentos sob o rito especial, a lei impõe ao juiz a fixação liminar: "As despachar o pedido, o juiz fixará </w:t>
      </w:r>
      <w:r>
        <w:rPr>
          <w:rFonts w:ascii="Century Gothic" w:hAnsi="Century Gothic" w:cs="Century Gothic" w:eastAsia="Century Gothic"/>
          <w:b/>
          <w:sz w:val="22"/>
        </w:rPr>
        <w:t>desde logo</w:t>
      </w:r>
      <w:r>
        <w:rPr>
          <w:rFonts w:ascii="Century Gothic" w:hAnsi="Century Gothic" w:cs="Century Gothic" w:eastAsia="Century Gothic"/>
          <w:sz w:val="22"/>
        </w:rPr>
        <w:t xml:space="preserve"> alimentos provisórios a serem pagos pelo devedor, salvo se o credor expressamente declarar que deles não necessita" (art. 4º da Lei n.º 5.478/1968). A norma especial cria verdadeira presunção de urgência, dispensando a demonstração autônoma dos requisitos do art. 300 do CPC — que, de todo modo, estão presentes: probabilidade do direito (filiação comprovada por certidões públicas; menoridade; ausência de título anterior) e perigo de dano (inexistência de obrigação exigível; pagamentos irregulares; renda materna limitada a um salário mínimo e estruturalmente precária).</w:t>
      </w:r>
    </w:p>
    <w:p>
      <w:pPr>
        <w:spacing w:before="400" w:after="200" w:line="240" w:lineRule="auto"/>
        <w:ind w:firstLine="0"/>
        <w:jc w:val="both"/>
      </w:pPr>
      <w:r>
        <w:rPr>
          <w:rFonts w:ascii="Century Gothic" w:hAnsi="Century Gothic" w:cs="Century Gothic" w:eastAsia="Century Gothic"/>
          <w:b/>
          <w:sz w:val="22"/>
          <w:u w:val="single"/>
        </w:rPr>
        <w:t>2.3. Da guarda compartilhada</w:t>
      </w:r>
    </w:p>
    <w:p>
      <w:pPr>
        <w:spacing w:before="400" w:after="200" w:line="240" w:lineRule="auto"/>
        <w:ind w:firstLine="0"/>
        <w:jc w:val="both"/>
      </w:pPr>
      <w:r>
        <w:rPr>
          <w:rFonts w:ascii="Century Gothic" w:hAnsi="Century Gothic" w:cs="Century Gothic" w:eastAsia="Century Gothic"/>
          <w:sz w:val="22"/>
        </w:rPr>
        <w:t xml:space="preserve">A guarda compartilhada é a regra legal: "Quando não houver acordo entre a mãe e o pai quanto à guarda do filho, encontrando-se ambos os genitores aptos a exercer o poder familiar, será aplicada a guarda compartilhada, salvo se um dos genitores declarar ao magistrado que não deseja a guarda da criança ou do adolescente </w:t>
      </w:r>
      <w:r>
        <w:rPr>
          <w:rFonts w:ascii="Century Gothic" w:hAnsi="Century Gothic" w:cs="Century Gothic" w:eastAsia="Century Gothic"/>
          <w:b/>
          <w:sz w:val="22"/>
        </w:rPr>
        <w:t>ou quando houver elementos que evidenciem a probabilidade de risco de violência doméstica ou familiar</w:t>
      </w:r>
      <w:r>
        <w:rPr>
          <w:rFonts w:ascii="Century Gothic" w:hAnsi="Century Gothic" w:cs="Century Gothic" w:eastAsia="Century Gothic"/>
          <w:sz w:val="22"/>
        </w:rPr>
        <w:t xml:space="preserve">" (art. 1.584, § 2º, do CC, </w:t>
      </w:r>
      <w:r>
        <w:rPr>
          <w:rFonts w:ascii="Century Gothic" w:hAnsi="Century Gothic" w:cs="Century Gothic" w:eastAsia="Century Gothic"/>
          <w:b/>
          <w:sz w:val="22"/>
        </w:rPr>
        <w:t>na redação dada pela Lei n.º 14.713/2023</w:t>
      </w:r>
      <w:r>
        <w:rPr>
          <w:rFonts w:ascii="Century Gothic" w:hAnsi="Century Gothic" w:cs="Century Gothic" w:eastAsia="Century Gothic"/>
          <w:sz w:val="22"/>
        </w:rPr>
        <w:t xml:space="preserve"> — ressalva final sem incidência no caso concreto, em que não há alegação de violência). Compreende-se por guarda compartilhada "a responsabilização conjunta e o exercício de direitos e deveres do pai e da mãe que não vivam sob o mesmo teto" (art. 1.583, § 1º, do CC), e "a cidade considerada base de moradia dos filhos será aquela que melhor atender aos interesses dos filhos" (art. 1.583, § 3º). O poder familiar é exercido em igualdade de condições por ambos os genitores (art. 21 do ECA).</w:t>
      </w:r>
    </w:p>
    <w:p>
      <w:pPr>
        <w:spacing w:before="400" w:after="200" w:line="240" w:lineRule="auto"/>
        <w:ind w:firstLine="0"/>
        <w:jc w:val="both"/>
      </w:pPr>
      <w:r>
        <w:rPr>
          <w:rFonts w:ascii="Century Gothic" w:hAnsi="Century Gothic" w:cs="Century Gothic" w:eastAsia="Century Gothic"/>
          <w:sz w:val="22"/>
        </w:rPr>
        <w:t>A distância geográfica entre os genitores não é óbice: a Terceira Turma do STJ, no REsp 1.878.041/SP (Rel. Min. Nancy Andrighi, 2021), assentou que a guarda compartilhada "impõe o compartilhamento de responsabilidades, não se confundindo com a custódia física conjunta da prole", inexistindo impedimento à sua fixação "na hipótese em que os genitores residem em cidades, estados, ou, até mesmo, países diferentes", sendo recomendável a definição de residência principal — no caso, Parauapebas/PA, onde os menores têm rotina escolar e o cuidado cotidiano materno.</w:t>
      </w:r>
    </w:p>
    <w:p>
      <w:pPr>
        <w:spacing w:before="400" w:after="200" w:line="240" w:lineRule="auto"/>
        <w:ind w:firstLine="0"/>
        <w:jc w:val="both"/>
      </w:pPr>
      <w:r>
        <w:rPr>
          <w:rFonts w:ascii="Century Gothic" w:hAnsi="Century Gothic" w:cs="Century Gothic" w:eastAsia="Century Gothic"/>
          <w:b/>
          <w:sz w:val="22"/>
          <w:u w:val="single"/>
        </w:rPr>
        <w:t>2.4. Da regulamentação de convivência</w:t>
      </w:r>
    </w:p>
    <w:p>
      <w:pPr>
        <w:spacing w:before="400" w:after="200" w:line="240" w:lineRule="auto"/>
        <w:ind w:firstLine="0"/>
        <w:jc w:val="both"/>
      </w:pPr>
      <w:r>
        <w:rPr>
          <w:rFonts w:ascii="Century Gothic" w:hAnsi="Century Gothic" w:cs="Century Gothic" w:eastAsia="Century Gothic"/>
          <w:sz w:val="22"/>
        </w:rPr>
        <w:t xml:space="preserve">O direito à convivência familiar é garantia fundamental dos menores (art. 19 do ECA), e a redação vigente do art. 22 do ECA inclui expressamente a </w:t>
      </w:r>
      <w:r>
        <w:rPr>
          <w:rFonts w:ascii="Century Gothic" w:hAnsi="Century Gothic" w:cs="Century Gothic" w:eastAsia="Century Gothic"/>
          <w:b/>
          <w:sz w:val="22"/>
        </w:rPr>
        <w:t>convivência</w:t>
      </w:r>
      <w:r>
        <w:rPr>
          <w:rFonts w:ascii="Century Gothic" w:hAnsi="Century Gothic" w:cs="Century Gothic" w:eastAsia="Century Gothic"/>
          <w:sz w:val="22"/>
        </w:rPr>
        <w:t xml:space="preserve"> e a </w:t>
      </w:r>
      <w:r>
        <w:rPr>
          <w:rFonts w:ascii="Century Gothic" w:hAnsi="Century Gothic" w:cs="Century Gothic" w:eastAsia="Century Gothic"/>
          <w:b/>
          <w:sz w:val="22"/>
        </w:rPr>
        <w:t>assistência afetiva</w:t>
      </w:r>
      <w:r>
        <w:rPr>
          <w:rFonts w:ascii="Century Gothic" w:hAnsi="Century Gothic" w:cs="Century Gothic" w:eastAsia="Century Gothic"/>
          <w:sz w:val="22"/>
        </w:rPr>
        <w:t xml:space="preserve"> entre os deveres parentais. Considerando que o Réu reside no Rio de Janeiro/RJ, a regulamentação deve contemplar solução compatível com a realidade das partes: requer-se que a convivência seja inicialmente consensualizada entre as partes, com posterior homologação judicial, abrangendo, no mínimo, períodos de férias escolares, datas comemorativas relevantes e comunicação remota periódica por videoconferência.</w:t>
      </w:r>
    </w:p>
    <w:p>
      <w:pPr>
        <w:spacing w:before="400" w:after="200" w:line="240" w:lineRule="auto"/>
        <w:ind w:firstLine="0"/>
        <w:jc w:val="left"/>
      </w:pPr>
      <w:r>
        <w:rPr>
          <w:rFonts w:ascii="Century Gothic" w:hAnsi="Century Gothic" w:cs="Century Gothic" w:eastAsia="Century Gothic"/>
          <w:b/>
          <w:sz w:val="22"/>
        </w:rPr>
        <w:t>III) DA TUTELA DE URGÊNCIA — ALIMENTOS PROVISÓRIOS</w:t>
      </w:r>
    </w:p>
    <w:p>
      <w:pPr>
        <w:spacing w:before="400" w:after="200" w:line="240" w:lineRule="auto"/>
        <w:ind w:firstLine="0"/>
        <w:jc w:val="both"/>
      </w:pPr>
      <w:r>
        <w:rPr>
          <w:rFonts w:ascii="Century Gothic" w:hAnsi="Century Gothic" w:cs="Century Gothic" w:eastAsia="Century Gothic"/>
          <w:sz w:val="22"/>
        </w:rPr>
        <w:t xml:space="preserve">Com fundamento no art. 4º da Lei n.º 5.478/1968 e, subsidiariamente, no art. 300 do CPC, requer a Autora a fixação imediata de alimentos provisórios em favor dos menores </w:t>
      </w:r>
      <w:r>
        <w:rPr>
          <w:rFonts w:ascii="Century Gothic" w:hAnsi="Century Gothic" w:cs="Century Gothic" w:eastAsia="Century Gothic"/>
          <w:b/>
          <w:sz w:val="22"/>
        </w:rPr>
        <w:t>JULLIA CECILIA SILVA DE ARAUJO</w:t>
      </w:r>
      <w:r>
        <w:rPr>
          <w:rFonts w:ascii="Century Gothic" w:hAnsi="Century Gothic" w:cs="Century Gothic" w:eastAsia="Century Gothic"/>
          <w:sz w:val="22"/>
        </w:rPr>
        <w:t xml:space="preserve"> e </w:t>
      </w:r>
      <w:r>
        <w:rPr>
          <w:rFonts w:ascii="Century Gothic" w:hAnsi="Century Gothic" w:cs="Century Gothic" w:eastAsia="Century Gothic"/>
          <w:b/>
          <w:sz w:val="22"/>
        </w:rPr>
        <w:t>CÍCERO SILVA DE ARAUJO JUNIOR</w:t>
      </w:r>
      <w:r>
        <w:rPr>
          <w:rFonts w:ascii="Century Gothic" w:hAnsi="Century Gothic" w:cs="Century Gothic" w:eastAsia="Century Gothic"/>
          <w:sz w:val="22"/>
        </w:rPr>
        <w:t>.</w:t>
      </w:r>
    </w:p>
    <w:p>
      <w:pPr>
        <w:spacing w:before="400" w:after="200" w:line="240" w:lineRule="auto"/>
        <w:ind w:firstLine="0"/>
        <w:jc w:val="both"/>
      </w:pPr>
      <w:r>
        <w:rPr>
          <w:rFonts w:ascii="Century Gothic" w:hAnsi="Century Gothic" w:cs="Century Gothic" w:eastAsia="Century Gothic"/>
          <w:b/>
          <w:sz w:val="22"/>
        </w:rPr>
        <w:t>Fundamentos da urgência:</w:t>
      </w:r>
    </w:p>
    <w:p>
      <w:pPr>
        <w:spacing w:before="400" w:after="200" w:line="240" w:lineRule="auto"/>
        <w:ind w:firstLine="0"/>
        <w:jc w:val="both"/>
      </w:pPr>
      <w:r>
        <w:rPr>
          <w:rFonts w:ascii="Century Gothic" w:hAnsi="Century Gothic" w:cs="Century Gothic" w:eastAsia="Century Gothic"/>
          <w:sz w:val="22"/>
        </w:rPr>
        <w:t xml:space="preserve">1. </w:t>
      </w:r>
      <w:r>
        <w:rPr>
          <w:rFonts w:ascii="Century Gothic" w:hAnsi="Century Gothic" w:cs="Century Gothic" w:eastAsia="Century Gothic"/>
          <w:sz w:val="22"/>
        </w:rPr>
        <w:t>A filiação dos menores está documentalmente comprovada (DOC-01 e DOC-02);</w:t>
      </w:r>
    </w:p>
    <w:p>
      <w:pPr>
        <w:spacing w:before="400" w:after="200" w:line="240" w:lineRule="auto"/>
        <w:ind w:firstLine="0"/>
        <w:jc w:val="both"/>
      </w:pPr>
      <w:r>
        <w:rPr>
          <w:rFonts w:ascii="Century Gothic" w:hAnsi="Century Gothic" w:cs="Century Gothic" w:eastAsia="Century Gothic"/>
          <w:sz w:val="22"/>
        </w:rPr>
        <w:t xml:space="preserve">2. </w:t>
      </w:r>
      <w:r>
        <w:rPr>
          <w:rFonts w:ascii="Century Gothic" w:hAnsi="Century Gothic" w:cs="Century Gothic" w:eastAsia="Century Gothic"/>
          <w:sz w:val="22"/>
        </w:rPr>
        <w:t>Os menores têm 11 e 7 anos de idade — necessidade presumida (item 2.1);</w:t>
      </w:r>
    </w:p>
    <w:p>
      <w:pPr>
        <w:spacing w:before="400" w:after="200" w:line="240" w:lineRule="auto"/>
        <w:ind w:firstLine="0"/>
        <w:jc w:val="both"/>
      </w:pPr>
      <w:r>
        <w:rPr>
          <w:rFonts w:ascii="Century Gothic" w:hAnsi="Century Gothic" w:cs="Century Gothic" w:eastAsia="Century Gothic"/>
          <w:sz w:val="22"/>
        </w:rPr>
        <w:t xml:space="preserve">3. </w:t>
      </w:r>
      <w:r>
        <w:rPr>
          <w:rFonts w:ascii="Century Gothic" w:hAnsi="Century Gothic" w:cs="Century Gothic" w:eastAsia="Century Gothic"/>
          <w:sz w:val="22"/>
        </w:rPr>
        <w:t>Não existe título executivo anterior que assegure obrigação alimentar exigível;</w:t>
      </w:r>
    </w:p>
    <w:p>
      <w:pPr>
        <w:spacing w:before="400" w:after="200" w:line="240" w:lineRule="auto"/>
        <w:ind w:firstLine="0"/>
        <w:jc w:val="both"/>
      </w:pPr>
      <w:r>
        <w:rPr>
          <w:rFonts w:ascii="Century Gothic" w:hAnsi="Century Gothic" w:cs="Century Gothic" w:eastAsia="Century Gothic"/>
          <w:sz w:val="22"/>
        </w:rPr>
        <w:t xml:space="preserve">4. </w:t>
      </w:r>
      <w:r>
        <w:rPr>
          <w:rFonts w:ascii="Century Gothic" w:hAnsi="Century Gothic" w:cs="Century Gothic" w:eastAsia="Century Gothic"/>
          <w:sz w:val="22"/>
        </w:rPr>
        <w:t>Os pagamentos realizados pelo Réu, segundo declara a Autora, têm sido irregulares e insuficientes, não havendo qualquer garantia de que continuarão;</w:t>
      </w:r>
    </w:p>
    <w:p>
      <w:pPr>
        <w:spacing w:before="400" w:after="200" w:line="240" w:lineRule="auto"/>
        <w:ind w:firstLine="0"/>
        <w:jc w:val="both"/>
      </w:pPr>
      <w:r>
        <w:rPr>
          <w:rFonts w:ascii="Century Gothic" w:hAnsi="Century Gothic" w:cs="Century Gothic" w:eastAsia="Century Gothic"/>
          <w:sz w:val="22"/>
        </w:rPr>
        <w:t xml:space="preserve">5. </w:t>
      </w:r>
      <w:r>
        <w:rPr>
          <w:rFonts w:ascii="Century Gothic" w:hAnsi="Century Gothic" w:cs="Century Gothic" w:eastAsia="Century Gothic"/>
          <w:sz w:val="22"/>
        </w:rPr>
        <w:t xml:space="preserve">A renda da Autora limita-se a um salário mínimo, provém de contrato </w:t>
      </w:r>
      <w:r>
        <w:rPr>
          <w:rFonts w:ascii="Century Gothic" w:hAnsi="Century Gothic" w:cs="Century Gothic" w:eastAsia="Century Gothic"/>
          <w:b/>
          <w:sz w:val="22"/>
        </w:rPr>
        <w:t>por prazo determinado</w:t>
      </w:r>
      <w:r>
        <w:rPr>
          <w:rFonts w:ascii="Century Gothic" w:hAnsi="Century Gothic" w:cs="Century Gothic" w:eastAsia="Century Gothic"/>
          <w:sz w:val="22"/>
        </w:rPr>
        <w:t xml:space="preserve"> sujeito a términos periódicos, e é hoje a única fonte de sustento das crianças;</w:t>
      </w:r>
    </w:p>
    <w:p>
      <w:pPr>
        <w:spacing w:before="400" w:after="200" w:line="240" w:lineRule="auto"/>
        <w:ind w:firstLine="0"/>
        <w:jc w:val="both"/>
      </w:pPr>
      <w:r>
        <w:rPr>
          <w:rFonts w:ascii="Century Gothic" w:hAnsi="Century Gothic" w:cs="Century Gothic" w:eastAsia="Century Gothic"/>
          <w:sz w:val="22"/>
        </w:rPr>
        <w:t xml:space="preserve">6. </w:t>
      </w:r>
      <w:r>
        <w:rPr>
          <w:rFonts w:ascii="Century Gothic" w:hAnsi="Century Gothic" w:cs="Century Gothic" w:eastAsia="Century Gothic"/>
          <w:sz w:val="22"/>
        </w:rPr>
        <w:t>A ausência de fixação imediata compromete a manutenção das necessidades básicas das crianças, que dependem integralmente da mãe para subsistência.</w:t>
      </w:r>
    </w:p>
    <w:p>
      <w:pPr>
        <w:spacing w:before="400" w:after="200" w:line="240" w:lineRule="auto"/>
        <w:ind w:firstLine="0"/>
        <w:jc w:val="both"/>
      </w:pPr>
      <w:r>
        <w:rPr>
          <w:rFonts w:ascii="Century Gothic" w:hAnsi="Century Gothic" w:cs="Century Gothic" w:eastAsia="Century Gothic"/>
          <w:b/>
          <w:sz w:val="22"/>
        </w:rPr>
        <w:t>Critério do pedido:</w:t>
      </w:r>
      <w:r>
        <w:rPr>
          <w:rFonts w:ascii="Century Gothic" w:hAnsi="Century Gothic" w:cs="Century Gothic" w:eastAsia="Century Gothic"/>
          <w:sz w:val="22"/>
        </w:rPr>
        <w:t xml:space="preserve"> requer a Autora a fixação dos alimentos provisórios no valor correspondente, </w:t>
      </w:r>
      <w:r>
        <w:rPr>
          <w:rFonts w:ascii="Century Gothic" w:hAnsi="Century Gothic" w:cs="Century Gothic" w:eastAsia="Century Gothic"/>
          <w:b/>
          <w:sz w:val="22"/>
        </w:rPr>
        <w:t>no mínimo</w:t>
      </w:r>
      <w:r>
        <w:rPr>
          <w:rFonts w:ascii="Century Gothic" w:hAnsi="Century Gothic" w:cs="Century Gothic" w:eastAsia="Century Gothic"/>
          <w:sz w:val="22"/>
        </w:rPr>
        <w:t xml:space="preserve">, a </w:t>
      </w:r>
      <w:r>
        <w:rPr>
          <w:rFonts w:ascii="Century Gothic" w:hAnsi="Century Gothic" w:cs="Century Gothic" w:eastAsia="Century Gothic"/>
          <w:b/>
          <w:sz w:val="22"/>
        </w:rPr>
        <w:t>30% (trinta por cento) da renda líquida mensal do Réu</w:t>
      </w:r>
      <w:r>
        <w:rPr>
          <w:rFonts w:ascii="Century Gothic" w:hAnsi="Century Gothic" w:cs="Century Gothic" w:eastAsia="Century Gothic"/>
          <w:sz w:val="22"/>
        </w:rPr>
        <w:t xml:space="preserve"> para ambos os filhos em conjunto — percentual usualmente praticado na praxe forense para a obrigação alimentar relativa a dois filhos, requerendo-se, em qualquer caso, o arbitramento judicial, observado o piso objetivo indicado a seguir.</w:t>
      </w:r>
    </w:p>
    <w:p>
      <w:pPr>
        <w:spacing w:before="400" w:after="200" w:line="240" w:lineRule="auto"/>
        <w:ind w:firstLine="0"/>
        <w:jc w:val="both"/>
      </w:pPr>
      <w:r>
        <w:rPr>
          <w:rFonts w:ascii="Century Gothic" w:hAnsi="Century Gothic" w:cs="Century Gothic" w:eastAsia="Century Gothic"/>
          <w:sz w:val="22"/>
        </w:rPr>
        <w:t xml:space="preserve">Como a renda do Réu é desconhecida neste momento, requer-se que Vossa Excelência </w:t>
      </w:r>
      <w:r>
        <w:rPr>
          <w:rFonts w:ascii="Century Gothic" w:hAnsi="Century Gothic" w:cs="Century Gothic" w:eastAsia="Century Gothic"/>
          <w:b/>
          <w:sz w:val="22"/>
        </w:rPr>
        <w:t>arbitre o valor dos provisórios com base nos indícios disponíveis nos autos</w:t>
      </w:r>
      <w:r>
        <w:rPr>
          <w:rFonts w:ascii="Century Gothic" w:hAnsi="Century Gothic" w:cs="Century Gothic" w:eastAsia="Century Gothic"/>
          <w:sz w:val="22"/>
        </w:rPr>
        <w:t xml:space="preserve"> — (a) a residência do Réu no Município do Rio de Janeiro/RJ; (b) a titularidade de CNH categoria D (DOC-03), indicativa de aptidão para atividade remunerada; (c) a ausência de qualquer declaração de hipossuficiência por parte do Réu —, tomando-se como </w:t>
      </w:r>
      <w:r>
        <w:rPr>
          <w:rFonts w:ascii="Century Gothic" w:hAnsi="Century Gothic" w:cs="Century Gothic" w:eastAsia="Century Gothic"/>
          <w:b/>
          <w:sz w:val="22"/>
        </w:rPr>
        <w:t>piso objetivo 30% (trinta por cento) do salário mínimo nacional POR FILHO</w:t>
      </w:r>
      <w:r>
        <w:rPr>
          <w:rFonts w:ascii="Century Gothic" w:hAnsi="Century Gothic" w:cs="Century Gothic" w:eastAsia="Century Gothic"/>
          <w:sz w:val="22"/>
        </w:rPr>
        <w:t xml:space="preserve"> — R$ 486,30 para cada um, totalizando </w:t>
      </w:r>
      <w:r>
        <w:rPr>
          <w:rFonts w:ascii="Century Gothic" w:hAnsi="Century Gothic" w:cs="Century Gothic" w:eastAsia="Century Gothic"/>
          <w:b/>
          <w:sz w:val="22"/>
        </w:rPr>
        <w:t>R$ 972,60 mensais</w:t>
      </w:r>
      <w:r>
        <w:rPr>
          <w:rFonts w:ascii="Century Gothic" w:hAnsi="Century Gothic" w:cs="Century Gothic" w:eastAsia="Century Gothic"/>
          <w:sz w:val="22"/>
        </w:rPr>
        <w:t xml:space="preserve"> para os dois filhos (salário mínimo de R$ 1.621,00 — Decreto n.º 12.797/2025) —, até que o contraditório e a instrução permitam fixação definitiva adequada.</w:t>
      </w:r>
    </w:p>
    <w:p>
      <w:pPr>
        <w:spacing w:before="400" w:after="200" w:line="240" w:lineRule="auto"/>
        <w:ind w:firstLine="0"/>
        <w:jc w:val="both"/>
      </w:pPr>
      <w:r>
        <w:rPr>
          <w:rFonts w:ascii="Century Gothic" w:hAnsi="Century Gothic" w:cs="Century Gothic" w:eastAsia="Century Gothic"/>
          <w:sz w:val="22"/>
        </w:rPr>
        <w:t xml:space="preserve">Os alimentos provisórios deverão ser depositados mensalmente, até o dia </w:t>
      </w:r>
      <w:r>
        <w:rPr>
          <w:rFonts w:ascii="Century Gothic" w:hAnsi="Century Gothic" w:cs="Century Gothic" w:eastAsia="Century Gothic"/>
          <w:b/>
          <w:sz w:val="22"/>
        </w:rPr>
        <w:t>5 (cinco) de cada mês</w:t>
      </w:r>
      <w:r>
        <w:rPr>
          <w:rFonts w:ascii="Century Gothic" w:hAnsi="Century Gothic" w:cs="Century Gothic" w:eastAsia="Century Gothic"/>
          <w:sz w:val="22"/>
        </w:rPr>
        <w:t>, na seguinte conta bancária:</w:t>
      </w:r>
    </w:p>
    <w:p>
      <w:pPr>
        <w:spacing w:before="400" w:after="200" w:line="240" w:lineRule="auto"/>
        <w:ind w:firstLine="0"/>
        <w:jc w:val="center"/>
      </w:pPr>
      <w:r>
        <w:rPr>
          <w:rFonts w:ascii="Century Gothic" w:hAnsi="Century Gothic" w:cs="Century Gothic" w:eastAsia="Century Gothic"/>
          <w:b/>
          <w:sz w:val="22"/>
        </w:rPr>
        <w:t>Banco: Itaú Unibanco S/A — Código 341 — Agência: 1019 — Conta Corrente: 33883-7</w:t>
      </w:r>
    </w:p>
    <w:p>
      <w:pPr>
        <w:spacing w:before="400" w:after="200" w:line="240" w:lineRule="auto"/>
        <w:ind w:firstLine="0"/>
        <w:jc w:val="center"/>
      </w:pPr>
      <w:r>
        <w:rPr>
          <w:rFonts w:ascii="Century Gothic" w:hAnsi="Century Gothic" w:cs="Century Gothic" w:eastAsia="Century Gothic"/>
          <w:b/>
          <w:sz w:val="22"/>
        </w:rPr>
        <w:t>Titular: TÂNIA SILVA RODRIGUES — CPF 028.405.932-38</w:t>
      </w:r>
    </w:p>
    <w:p>
      <w:pPr>
        <w:spacing w:before="400" w:after="200" w:line="240" w:lineRule="auto"/>
        <w:ind w:firstLine="0"/>
        <w:jc w:val="left"/>
      </w:pPr>
      <w:r>
        <w:rPr>
          <w:rFonts w:ascii="Century Gothic" w:hAnsi="Century Gothic" w:cs="Century Gothic" w:eastAsia="Century Gothic"/>
          <w:b/>
          <w:sz w:val="22"/>
        </w:rPr>
        <w:t>IV) DOS PEDIDOS</w:t>
      </w:r>
    </w:p>
    <w:p>
      <w:pPr>
        <w:spacing w:before="400" w:after="200" w:line="240" w:lineRule="auto"/>
        <w:ind w:firstLine="0"/>
        <w:jc w:val="both"/>
      </w:pPr>
      <w:r>
        <w:rPr>
          <w:rFonts w:ascii="Century Gothic" w:hAnsi="Century Gothic" w:cs="Century Gothic" w:eastAsia="Century Gothic"/>
          <w:sz w:val="22"/>
        </w:rPr>
        <w:t>Com base nos fatos narrados e nos fundamentos de direito expostos, requer a Autora:</w:t>
      </w:r>
    </w:p>
    <w:p>
      <w:pPr>
        <w:spacing w:before="400" w:after="200" w:line="240" w:lineRule="auto"/>
        <w:ind w:firstLine="0"/>
        <w:jc w:val="both"/>
      </w:pPr>
      <w:r>
        <w:rPr>
          <w:rFonts w:ascii="Century Gothic" w:hAnsi="Century Gothic" w:cs="Century Gothic" w:eastAsia="Century Gothic"/>
          <w:b/>
          <w:sz w:val="22"/>
        </w:rPr>
        <w:t>A) Da Tutela de Urgência (a ser apreciada imediatamente, antes da citação):</w:t>
      </w:r>
    </w:p>
    <w:p>
      <w:pPr>
        <w:spacing w:before="400" w:after="200" w:line="240" w:lineRule="auto"/>
        <w:ind w:firstLine="0"/>
        <w:jc w:val="both"/>
      </w:pPr>
      <w:r>
        <w:rPr>
          <w:rFonts w:ascii="Century Gothic" w:hAnsi="Century Gothic" w:cs="Century Gothic" w:eastAsia="Century Gothic"/>
          <w:b/>
          <w:sz w:val="22"/>
        </w:rPr>
        <w:t>1.</w:t>
      </w:r>
      <w:r>
        <w:rPr>
          <w:rFonts w:ascii="Century Gothic" w:hAnsi="Century Gothic" w:cs="Century Gothic" w:eastAsia="Century Gothic"/>
          <w:sz w:val="22"/>
        </w:rPr>
        <w:t xml:space="preserve"> A </w:t>
      </w:r>
      <w:r>
        <w:rPr>
          <w:rFonts w:ascii="Century Gothic" w:hAnsi="Century Gothic" w:cs="Century Gothic" w:eastAsia="Century Gothic"/>
          <w:b/>
          <w:sz w:val="22"/>
        </w:rPr>
        <w:t>concessão de tutela de urgência</w:t>
      </w:r>
      <w:r>
        <w:rPr>
          <w:rFonts w:ascii="Century Gothic" w:hAnsi="Century Gothic" w:cs="Century Gothic" w:eastAsia="Century Gothic"/>
          <w:sz w:val="22"/>
        </w:rPr>
        <w:t xml:space="preserve">, na forma de alimentos provisórios (art. 4º da Lei n.º 5.478/1968), para fixação imediata do dever alimentar do Réu em relação aos menores JULLIA CECILIA SILVA DE ARAUJO e CÍCERO SILVA DE ARAUJO JUNIOR, no valor mínimo de </w:t>
      </w:r>
      <w:r>
        <w:rPr>
          <w:rFonts w:ascii="Century Gothic" w:hAnsi="Century Gothic" w:cs="Century Gothic" w:eastAsia="Century Gothic"/>
          <w:b/>
          <w:sz w:val="22"/>
        </w:rPr>
        <w:t>30% (trinta por cento) da renda líquida mensal</w:t>
      </w:r>
      <w:r>
        <w:rPr>
          <w:rFonts w:ascii="Century Gothic" w:hAnsi="Century Gothic" w:cs="Century Gothic" w:eastAsia="Century Gothic"/>
          <w:sz w:val="22"/>
        </w:rPr>
        <w:t xml:space="preserve"> do Réu para ambos os filhos em conjunto, ou, desconhecida a renda, no valor a ser arbitrado por Vossa Excelência com base na razoabilidade e nos elementos dos autos, observado o piso objetivo de </w:t>
      </w:r>
      <w:r>
        <w:rPr>
          <w:rFonts w:ascii="Century Gothic" w:hAnsi="Century Gothic" w:cs="Century Gothic" w:eastAsia="Century Gothic"/>
          <w:b/>
          <w:sz w:val="22"/>
        </w:rPr>
        <w:t>30% do salário mínimo nacional por filho — R$ 972,60 mensais no total</w:t>
      </w:r>
      <w:r>
        <w:rPr>
          <w:rFonts w:ascii="Century Gothic" w:hAnsi="Century Gothic" w:cs="Century Gothic" w:eastAsia="Century Gothic"/>
          <w:sz w:val="22"/>
        </w:rPr>
        <w:t xml:space="preserve"> —, a ser depositado até o dia 5 de cada mês na conta bancária indicada no capítulo III, com efeitos a partir da decisão.</w:t>
      </w:r>
    </w:p>
    <w:p>
      <w:pPr>
        <w:spacing w:before="400" w:after="200" w:line="240" w:lineRule="auto"/>
        <w:ind w:firstLine="0"/>
        <w:jc w:val="both"/>
      </w:pPr>
      <w:r>
        <w:rPr>
          <w:rFonts w:ascii="Century Gothic" w:hAnsi="Century Gothic" w:cs="Century Gothic" w:eastAsia="Century Gothic"/>
          <w:b/>
          <w:sz w:val="22"/>
        </w:rPr>
        <w:t>B) Dos Pedidos Principais (mérito):</w:t>
      </w:r>
    </w:p>
    <w:p>
      <w:pPr>
        <w:spacing w:before="400" w:after="200" w:line="240" w:lineRule="auto"/>
        <w:ind w:firstLine="0"/>
        <w:jc w:val="both"/>
      </w:pPr>
      <w:r>
        <w:rPr>
          <w:rFonts w:ascii="Century Gothic" w:hAnsi="Century Gothic" w:cs="Century Gothic" w:eastAsia="Century Gothic"/>
          <w:b/>
          <w:sz w:val="22"/>
        </w:rPr>
        <w:t>2.</w:t>
      </w:r>
      <w:r>
        <w:rPr>
          <w:rFonts w:ascii="Century Gothic" w:hAnsi="Century Gothic" w:cs="Century Gothic" w:eastAsia="Century Gothic"/>
          <w:sz w:val="22"/>
        </w:rPr>
        <w:t xml:space="preserve"> A </w:t>
      </w:r>
      <w:r>
        <w:rPr>
          <w:rFonts w:ascii="Century Gothic" w:hAnsi="Century Gothic" w:cs="Century Gothic" w:eastAsia="Century Gothic"/>
          <w:b/>
          <w:sz w:val="22"/>
        </w:rPr>
        <w:t>condenação definitiva do Réu ao pagamento de alimentos</w:t>
      </w:r>
      <w:r>
        <w:rPr>
          <w:rFonts w:ascii="Century Gothic" w:hAnsi="Century Gothic" w:cs="Century Gothic" w:eastAsia="Century Gothic"/>
          <w:sz w:val="22"/>
        </w:rPr>
        <w:t xml:space="preserve"> em favor dos menores, em valor a ser fixado após instrução probatória e apuração da renda do Réu, com base no binômio necessidade-possibilidade (art. 1.694, § 1º, do CC), retroagindo os efeitos à data da citação, na forma do art. 13, § 2º, da Lei n.º 5.478/1968 ("em qualquer caso, os alimentos fixados retroagem à data da citação"), devidos os provisórios até a decisão final (art. 13, § 3º);</w:t>
      </w:r>
    </w:p>
    <w:p>
      <w:pPr>
        <w:spacing w:before="400" w:after="200" w:line="240" w:lineRule="auto"/>
        <w:ind w:firstLine="0"/>
        <w:jc w:val="both"/>
      </w:pPr>
      <w:r>
        <w:rPr>
          <w:rFonts w:ascii="Century Gothic" w:hAnsi="Century Gothic" w:cs="Century Gothic" w:eastAsia="Century Gothic"/>
          <w:b/>
          <w:sz w:val="22"/>
        </w:rPr>
        <w:t>3.</w:t>
      </w:r>
      <w:r>
        <w:rPr>
          <w:rFonts w:ascii="Century Gothic" w:hAnsi="Century Gothic" w:cs="Century Gothic" w:eastAsia="Century Gothic"/>
          <w:sz w:val="22"/>
        </w:rPr>
        <w:t xml:space="preserve"> O estabelecimento da </w:t>
      </w:r>
      <w:r>
        <w:rPr>
          <w:rFonts w:ascii="Century Gothic" w:hAnsi="Century Gothic" w:cs="Century Gothic" w:eastAsia="Century Gothic"/>
          <w:b/>
          <w:sz w:val="22"/>
        </w:rPr>
        <w:t>guarda compartilhada legal</w:t>
      </w:r>
      <w:r>
        <w:rPr>
          <w:rFonts w:ascii="Century Gothic" w:hAnsi="Century Gothic" w:cs="Century Gothic" w:eastAsia="Century Gothic"/>
          <w:sz w:val="22"/>
        </w:rPr>
        <w:t xml:space="preserve"> dos menores JULLIA CECILIA SILVA DE ARAUJO e CÍCERO SILVA DE ARAUJO JUNIOR em favor de ambos os genitores (arts. 1.583 e 1.584, § 2º, do CC, este na redação da Lei n.º 14.713/2023), com </w:t>
      </w:r>
      <w:r>
        <w:rPr>
          <w:rFonts w:ascii="Century Gothic" w:hAnsi="Century Gothic" w:cs="Century Gothic" w:eastAsia="Century Gothic"/>
          <w:b/>
          <w:sz w:val="22"/>
        </w:rPr>
        <w:t>residência fixa dos menores junto à mãe</w:t>
      </w:r>
      <w:r>
        <w:rPr>
          <w:rFonts w:ascii="Century Gothic" w:hAnsi="Century Gothic" w:cs="Century Gothic" w:eastAsia="Century Gothic"/>
          <w:sz w:val="22"/>
        </w:rPr>
        <w:t xml:space="preserve"> em Parauapebas/PA — cidade-base que melhor atende aos interesses dos filhos (art. 1.583, § 3º, do CC; STJ, REsp 1.878.041/SP) —, sendo a Autora a responsável pelo cuidado cotidiano dos filhos;</w:t>
      </w:r>
    </w:p>
    <w:p>
      <w:pPr>
        <w:spacing w:before="400" w:after="200" w:line="240" w:lineRule="auto"/>
        <w:ind w:firstLine="0"/>
        <w:jc w:val="both"/>
      </w:pPr>
      <w:r>
        <w:rPr>
          <w:rFonts w:ascii="Century Gothic" w:hAnsi="Century Gothic" w:cs="Century Gothic" w:eastAsia="Century Gothic"/>
          <w:b/>
          <w:sz w:val="22"/>
        </w:rPr>
        <w:t>4.</w:t>
      </w:r>
      <w:r>
        <w:rPr>
          <w:rFonts w:ascii="Century Gothic" w:hAnsi="Century Gothic" w:cs="Century Gothic" w:eastAsia="Century Gothic"/>
          <w:sz w:val="22"/>
        </w:rPr>
        <w:t xml:space="preserve"> A </w:t>
      </w:r>
      <w:r>
        <w:rPr>
          <w:rFonts w:ascii="Century Gothic" w:hAnsi="Century Gothic" w:cs="Century Gothic" w:eastAsia="Century Gothic"/>
          <w:b/>
          <w:sz w:val="22"/>
        </w:rPr>
        <w:t>regulamentação da convivência</w:t>
      </w:r>
      <w:r>
        <w:rPr>
          <w:rFonts w:ascii="Century Gothic" w:hAnsi="Century Gothic" w:cs="Century Gothic" w:eastAsia="Century Gothic"/>
          <w:sz w:val="22"/>
        </w:rPr>
        <w:t xml:space="preserve"> dos menores com o Réu (arts. 19 e 22 do ECA), a ser inicialmente </w:t>
      </w:r>
      <w:r>
        <w:rPr>
          <w:rFonts w:ascii="Century Gothic" w:hAnsi="Century Gothic" w:cs="Century Gothic" w:eastAsia="Century Gothic"/>
          <w:b/>
          <w:sz w:val="22"/>
        </w:rPr>
        <w:t>consensualizada entre as partes</w:t>
      </w:r>
      <w:r>
        <w:rPr>
          <w:rFonts w:ascii="Century Gothic" w:hAnsi="Century Gothic" w:cs="Century Gothic" w:eastAsia="Century Gothic"/>
          <w:sz w:val="22"/>
        </w:rPr>
        <w:t xml:space="preserve"> mediante acordo submetido à homologação deste Juízo, abrangendo, no mínimo: (a) períodos de férias escolares; (b) datas comemorativas de relevância para os menores e os genitores; (c) comunicação remota periódica por plataforma de videoconferência; observando-se, em qualquer hipótese, a distância geográfica entre Parauapebas/PA e Rio de Janeiro/RJ; e, na ausência de acordo em prazo razoável a ser fixado por Vossa Excelência, requer-se que o Juízo fixe a regulamentação de forma a preservar os melhores interesses dos menores;</w:t>
      </w:r>
    </w:p>
    <w:p>
      <w:pPr>
        <w:spacing w:before="400" w:after="200" w:line="240" w:lineRule="auto"/>
        <w:ind w:firstLine="0"/>
        <w:jc w:val="both"/>
      </w:pPr>
      <w:r>
        <w:rPr>
          <w:rFonts w:ascii="Century Gothic" w:hAnsi="Century Gothic" w:cs="Century Gothic" w:eastAsia="Century Gothic"/>
          <w:b/>
          <w:sz w:val="22"/>
        </w:rPr>
        <w:t>C) Dos Pedidos Subsidiários e Instrumentais:</w:t>
      </w:r>
    </w:p>
    <w:p>
      <w:pPr>
        <w:spacing w:before="400" w:after="200" w:line="240" w:lineRule="auto"/>
        <w:ind w:firstLine="0"/>
        <w:jc w:val="both"/>
      </w:pPr>
      <w:r>
        <w:rPr>
          <w:rFonts w:ascii="Century Gothic" w:hAnsi="Century Gothic" w:cs="Century Gothic" w:eastAsia="Century Gothic"/>
          <w:b/>
          <w:sz w:val="22"/>
        </w:rPr>
        <w:t>5.</w:t>
      </w:r>
      <w:r>
        <w:rPr>
          <w:rFonts w:ascii="Century Gothic" w:hAnsi="Century Gothic" w:cs="Century Gothic" w:eastAsia="Century Gothic"/>
          <w:sz w:val="22"/>
        </w:rPr>
        <w:t xml:space="preserve"> A </w:t>
      </w:r>
      <w:r>
        <w:rPr>
          <w:rFonts w:ascii="Century Gothic" w:hAnsi="Century Gothic" w:cs="Century Gothic" w:eastAsia="Century Gothic"/>
          <w:b/>
          <w:sz w:val="22"/>
        </w:rPr>
        <w:t>expedição de ofícios</w:t>
      </w:r>
      <w:r>
        <w:rPr>
          <w:rFonts w:ascii="Century Gothic" w:hAnsi="Century Gothic" w:cs="Century Gothic" w:eastAsia="Century Gothic"/>
          <w:sz w:val="22"/>
        </w:rPr>
        <w:t xml:space="preserve">, com fundamento no art. 20 da Lei n.º 5.478/1968 — que obriga as repartições públicas, "inclusive do Imposto de Renda", a prestar as informações necessárias à instrução dos processos de alimentos —, às seguintes entidades, para apuração da situação patrimonial e dos rendimentos do Réu: (a) à </w:t>
      </w:r>
      <w:r>
        <w:rPr>
          <w:rFonts w:ascii="Century Gothic" w:hAnsi="Century Gothic" w:cs="Century Gothic" w:eastAsia="Century Gothic"/>
          <w:b/>
          <w:sz w:val="22"/>
        </w:rPr>
        <w:t>Secretaria da Receita Federal do Brasil</w:t>
      </w:r>
      <w:r>
        <w:rPr>
          <w:rFonts w:ascii="Century Gothic" w:hAnsi="Century Gothic" w:cs="Century Gothic" w:eastAsia="Century Gothic"/>
          <w:sz w:val="22"/>
        </w:rPr>
        <w:t xml:space="preserve"> — declarações de Imposto de Renda e dados cadastrais do Réu (CPF n.º 014.640.832-23); (b) ao </w:t>
      </w:r>
      <w:r>
        <w:rPr>
          <w:rFonts w:ascii="Century Gothic" w:hAnsi="Century Gothic" w:cs="Century Gothic" w:eastAsia="Century Gothic"/>
          <w:b/>
          <w:sz w:val="22"/>
        </w:rPr>
        <w:t>INSS</w:t>
      </w:r>
      <w:r>
        <w:rPr>
          <w:rFonts w:ascii="Century Gothic" w:hAnsi="Century Gothic" w:cs="Century Gothic" w:eastAsia="Century Gothic"/>
          <w:sz w:val="22"/>
        </w:rPr>
        <w:t xml:space="preserve">, por meio do sistema </w:t>
      </w:r>
      <w:r>
        <w:rPr>
          <w:rFonts w:ascii="Century Gothic" w:hAnsi="Century Gothic" w:cs="Century Gothic" w:eastAsia="Century Gothic"/>
          <w:b/>
          <w:sz w:val="22"/>
        </w:rPr>
        <w:t>CNIS</w:t>
      </w:r>
      <w:r>
        <w:rPr>
          <w:rFonts w:ascii="Century Gothic" w:hAnsi="Century Gothic" w:cs="Century Gothic" w:eastAsia="Century Gothic"/>
          <w:sz w:val="22"/>
        </w:rPr>
        <w:t xml:space="preserve"> — vínculos empregatícios, remunerações e histórico previdenciário do Réu; (c) ao sistema </w:t>
      </w:r>
      <w:r>
        <w:rPr>
          <w:rFonts w:ascii="Century Gothic" w:hAnsi="Century Gothic" w:cs="Century Gothic" w:eastAsia="Century Gothic"/>
          <w:b/>
          <w:sz w:val="22"/>
        </w:rPr>
        <w:t>SISBAJUD</w:t>
      </w:r>
      <w:r>
        <w:rPr>
          <w:rFonts w:ascii="Century Gothic" w:hAnsi="Century Gothic" w:cs="Century Gothic" w:eastAsia="Century Gothic"/>
          <w:sz w:val="22"/>
        </w:rPr>
        <w:t xml:space="preserve"> — identificação de contas bancárias e movimentações financeiras do Réu;</w:t>
      </w:r>
    </w:p>
    <w:p>
      <w:pPr>
        <w:spacing w:before="400" w:after="200" w:line="240" w:lineRule="auto"/>
        <w:ind w:firstLine="0"/>
        <w:jc w:val="both"/>
      </w:pPr>
      <w:r>
        <w:rPr>
          <w:rFonts w:ascii="Century Gothic" w:hAnsi="Century Gothic" w:cs="Century Gothic" w:eastAsia="Century Gothic"/>
          <w:b/>
          <w:sz w:val="22"/>
        </w:rPr>
        <w:t>6.</w:t>
      </w:r>
      <w:r>
        <w:rPr>
          <w:rFonts w:ascii="Century Gothic" w:hAnsi="Century Gothic" w:cs="Century Gothic" w:eastAsia="Century Gothic"/>
          <w:sz w:val="22"/>
        </w:rPr>
        <w:t xml:space="preserve"> Caso confirmado vínculo empregatício do Réu durante a instrução, o </w:t>
      </w:r>
      <w:r>
        <w:rPr>
          <w:rFonts w:ascii="Century Gothic" w:hAnsi="Century Gothic" w:cs="Century Gothic" w:eastAsia="Century Gothic"/>
          <w:b/>
          <w:sz w:val="22"/>
        </w:rPr>
        <w:t>desconto em folha de pagamento</w:t>
      </w:r>
      <w:r>
        <w:rPr>
          <w:rFonts w:ascii="Century Gothic" w:hAnsi="Century Gothic" w:cs="Century Gothic" w:eastAsia="Century Gothic"/>
          <w:sz w:val="22"/>
        </w:rPr>
        <w:t xml:space="preserve"> dos alimentos fixados, na forma do </w:t>
      </w:r>
      <w:r>
        <w:rPr>
          <w:rFonts w:ascii="Century Gothic" w:hAnsi="Century Gothic" w:cs="Century Gothic" w:eastAsia="Century Gothic"/>
          <w:b/>
          <w:sz w:val="22"/>
        </w:rPr>
        <w:t>art. 529 do CPC</w:t>
      </w:r>
      <w:r>
        <w:rPr>
          <w:rFonts w:ascii="Century Gothic" w:hAnsi="Century Gothic" w:cs="Century Gothic" w:eastAsia="Century Gothic"/>
          <w:sz w:val="22"/>
        </w:rPr>
        <w:t>, oficiando-se ao empregador, sob pena de crime de desobediência (art. 529, § 1º), com as especificações do § 2º (CPFs, importância mensal, duração e conta de depósito);</w:t>
      </w:r>
    </w:p>
    <w:p>
      <w:pPr>
        <w:spacing w:before="400" w:after="200" w:line="240" w:lineRule="auto"/>
        <w:ind w:firstLine="0"/>
        <w:jc w:val="both"/>
      </w:pPr>
      <w:r>
        <w:rPr>
          <w:rFonts w:ascii="Century Gothic" w:hAnsi="Century Gothic" w:cs="Century Gothic" w:eastAsia="Century Gothic"/>
          <w:b/>
          <w:sz w:val="22"/>
        </w:rPr>
        <w:t>7.</w:t>
      </w:r>
      <w:r>
        <w:rPr>
          <w:rFonts w:ascii="Century Gothic" w:hAnsi="Century Gothic" w:cs="Century Gothic" w:eastAsia="Century Gothic"/>
          <w:sz w:val="22"/>
        </w:rPr>
        <w:t xml:space="preserve"> A </w:t>
      </w:r>
      <w:r>
        <w:rPr>
          <w:rFonts w:ascii="Century Gothic" w:hAnsi="Century Gothic" w:cs="Century Gothic" w:eastAsia="Century Gothic"/>
          <w:b/>
          <w:sz w:val="22"/>
        </w:rPr>
        <w:t>concessão dos benefícios da gratuidade da justiça</w:t>
      </w:r>
      <w:r>
        <w:rPr>
          <w:rFonts w:ascii="Century Gothic" w:hAnsi="Century Gothic" w:cs="Century Gothic" w:eastAsia="Century Gothic"/>
          <w:sz w:val="22"/>
        </w:rPr>
        <w:t xml:space="preserve"> à Autora, nos termos dos arts. 98 e 99, § 3º, do CPC ("presume-se verdadeira a alegação de insuficiência deduzida exclusivamente por pessoa natural") e do art. 1º, §§ 2º e 3º, da Lei n.º 5.478/1968 (gratuidade por simples afirmativa no rito especial de alimentos), reforçada pelo entendimento do STJ de que, em ação de alimentos de menor, não se exige prova de insuficiência do representante legal: a Autora percebe um salário mínimo mensal e responde sozinha pelas despesas de dois filhos menores;</w:t>
      </w:r>
    </w:p>
    <w:p>
      <w:pPr>
        <w:spacing w:before="400" w:after="200" w:line="240" w:lineRule="auto"/>
        <w:ind w:firstLine="0"/>
        <w:jc w:val="both"/>
      </w:pPr>
      <w:r>
        <w:rPr>
          <w:rFonts w:ascii="Century Gothic" w:hAnsi="Century Gothic" w:cs="Century Gothic" w:eastAsia="Century Gothic"/>
          <w:b/>
          <w:sz w:val="22"/>
        </w:rPr>
        <w:t>D) Dos Requerimentos Processuais:</w:t>
      </w:r>
    </w:p>
    <w:p>
      <w:pPr>
        <w:spacing w:before="400" w:after="200" w:line="240" w:lineRule="auto"/>
        <w:ind w:firstLine="0"/>
        <w:jc w:val="both"/>
      </w:pPr>
      <w:r>
        <w:rPr>
          <w:rFonts w:ascii="Century Gothic" w:hAnsi="Century Gothic" w:cs="Century Gothic" w:eastAsia="Century Gothic"/>
          <w:b/>
          <w:sz w:val="22"/>
        </w:rPr>
        <w:t>8.</w:t>
      </w:r>
      <w:r>
        <w:rPr>
          <w:rFonts w:ascii="Century Gothic" w:hAnsi="Century Gothic" w:cs="Century Gothic" w:eastAsia="Century Gothic"/>
          <w:sz w:val="22"/>
        </w:rPr>
        <w:t xml:space="preserve"> A </w:t>
      </w:r>
      <w:r>
        <w:rPr>
          <w:rFonts w:ascii="Century Gothic" w:hAnsi="Century Gothic" w:cs="Century Gothic" w:eastAsia="Century Gothic"/>
          <w:b/>
          <w:sz w:val="22"/>
        </w:rPr>
        <w:t>tramitação do processo em segredo de justiça</w:t>
      </w:r>
      <w:r>
        <w:rPr>
          <w:rFonts w:ascii="Century Gothic" w:hAnsi="Century Gothic" w:cs="Century Gothic" w:eastAsia="Century Gothic"/>
          <w:sz w:val="22"/>
        </w:rPr>
        <w:t>, na forma do art. 189, II, do CPC (causas de alimentos e guarda de crianças e adolescentes);</w:t>
      </w:r>
    </w:p>
    <w:p>
      <w:pPr>
        <w:spacing w:before="400" w:after="200" w:line="240" w:lineRule="auto"/>
        <w:ind w:firstLine="0"/>
        <w:jc w:val="both"/>
      </w:pPr>
      <w:r>
        <w:rPr>
          <w:rFonts w:ascii="Century Gothic" w:hAnsi="Century Gothic" w:cs="Century Gothic" w:eastAsia="Century Gothic"/>
          <w:b/>
          <w:sz w:val="22"/>
        </w:rPr>
        <w:t>9.</w:t>
      </w:r>
      <w:r>
        <w:rPr>
          <w:rFonts w:ascii="Century Gothic" w:hAnsi="Century Gothic" w:cs="Century Gothic" w:eastAsia="Century Gothic"/>
          <w:sz w:val="22"/>
        </w:rPr>
        <w:t xml:space="preserve"> A </w:t>
      </w:r>
      <w:r>
        <w:rPr>
          <w:rFonts w:ascii="Century Gothic" w:hAnsi="Century Gothic" w:cs="Century Gothic" w:eastAsia="Century Gothic"/>
          <w:b/>
          <w:sz w:val="22"/>
        </w:rPr>
        <w:t>citação do Réu CÍCERO SILVA DE ARAUJO</w:t>
      </w:r>
      <w:r>
        <w:rPr>
          <w:rFonts w:ascii="Century Gothic" w:hAnsi="Century Gothic" w:cs="Century Gothic" w:eastAsia="Century Gothic"/>
          <w:sz w:val="22"/>
        </w:rPr>
        <w:t xml:space="preserve">. Considerando que o endereço atual do Réu é desconhecido pela Autora — e que o art. 319, §§ 1º a 3º, do CPC autoriza o ajuizamento com requerimento de diligências para obtenção dos dados do réu, vedando o indeferimento da inicial quando a exigência inviabilizar o acesso à justiça —, requer-se, sucessivamente: (a) a tentativa de citação no último endereço conhecido: </w:t>
      </w:r>
      <w:r>
        <w:rPr>
          <w:rFonts w:ascii="Century Gothic" w:hAnsi="Century Gothic" w:cs="Century Gothic" w:eastAsia="Century Gothic"/>
          <w:b/>
          <w:sz w:val="22"/>
        </w:rPr>
        <w:t>Rua G-13, Quadra 148, Lote 35, Bairro Ipiranga, Parauapebas/PA</w:t>
      </w:r>
      <w:r>
        <w:rPr>
          <w:rFonts w:ascii="Century Gothic" w:hAnsi="Century Gothic" w:cs="Century Gothic" w:eastAsia="Century Gothic"/>
          <w:sz w:val="22"/>
        </w:rPr>
        <w:t xml:space="preserve"> (endereço constante das certidões — DOC-01 e DOC-02); (b) a </w:t>
      </w:r>
      <w:r>
        <w:rPr>
          <w:rFonts w:ascii="Century Gothic" w:hAnsi="Century Gothic" w:cs="Century Gothic" w:eastAsia="Century Gothic"/>
          <w:b/>
          <w:sz w:val="22"/>
        </w:rPr>
        <w:t>requisição judicial de informações sobre o endereço do Réu</w:t>
      </w:r>
      <w:r>
        <w:rPr>
          <w:rFonts w:ascii="Century Gothic" w:hAnsi="Century Gothic" w:cs="Century Gothic" w:eastAsia="Century Gothic"/>
          <w:sz w:val="22"/>
        </w:rPr>
        <w:t xml:space="preserve"> nos cadastros de órgãos públicos e concessionárias de serviços públicos, na forma do </w:t>
      </w:r>
      <w:r>
        <w:rPr>
          <w:rFonts w:ascii="Century Gothic" w:hAnsi="Century Gothic" w:cs="Century Gothic" w:eastAsia="Century Gothic"/>
          <w:b/>
          <w:sz w:val="22"/>
        </w:rPr>
        <w:t>art. 256, § 3º, do CPC</w:t>
      </w:r>
      <w:r>
        <w:rPr>
          <w:rFonts w:ascii="Century Gothic" w:hAnsi="Century Gothic" w:cs="Century Gothic" w:eastAsia="Century Gothic"/>
          <w:sz w:val="22"/>
        </w:rPr>
        <w:t xml:space="preserve">, inclusive por meio do sistema </w:t>
      </w:r>
      <w:r>
        <w:rPr>
          <w:rFonts w:ascii="Century Gothic" w:hAnsi="Century Gothic" w:cs="Century Gothic" w:eastAsia="Century Gothic"/>
          <w:b/>
          <w:sz w:val="22"/>
        </w:rPr>
        <w:t>SERASAJUD</w:t>
      </w:r>
      <w:r>
        <w:rPr>
          <w:rFonts w:ascii="Century Gothic" w:hAnsi="Century Gothic" w:cs="Century Gothic" w:eastAsia="Century Gothic"/>
          <w:sz w:val="22"/>
        </w:rPr>
        <w:t xml:space="preserve"> (Termo de Cooperação Técnica CNJ n.º 015/2019); (c) persistindo a impossibilidade de localização, a </w:t>
      </w:r>
      <w:r>
        <w:rPr>
          <w:rFonts w:ascii="Century Gothic" w:hAnsi="Century Gothic" w:cs="Century Gothic" w:eastAsia="Century Gothic"/>
          <w:b/>
          <w:sz w:val="22"/>
        </w:rPr>
        <w:t>citação por edital</w:t>
      </w:r>
      <w:r>
        <w:rPr>
          <w:rFonts w:ascii="Century Gothic" w:hAnsi="Century Gothic" w:cs="Century Gothic" w:eastAsia="Century Gothic"/>
          <w:sz w:val="22"/>
        </w:rPr>
        <w:t>, na forma do art. 5º, § 4º, da Lei n.º 5.478/1968 (norma especial: edital afixado na sede do juízo e publicado três vezes no órgão oficial) e, subsidiariamente, dos arts. 256 e 257 do CPC;</w:t>
      </w:r>
    </w:p>
    <w:p>
      <w:pPr>
        <w:spacing w:before="400" w:after="200" w:line="240" w:lineRule="auto"/>
        <w:ind w:firstLine="0"/>
        <w:jc w:val="both"/>
      </w:pPr>
      <w:r>
        <w:rPr>
          <w:rFonts w:ascii="Century Gothic" w:hAnsi="Century Gothic" w:cs="Century Gothic" w:eastAsia="Century Gothic"/>
          <w:b/>
          <w:sz w:val="22"/>
        </w:rPr>
        <w:t>10.</w:t>
      </w:r>
      <w:r>
        <w:rPr>
          <w:rFonts w:ascii="Century Gothic" w:hAnsi="Century Gothic" w:cs="Century Gothic" w:eastAsia="Century Gothic"/>
          <w:sz w:val="22"/>
        </w:rPr>
        <w:t xml:space="preserve"> A </w:t>
      </w:r>
      <w:r>
        <w:rPr>
          <w:rFonts w:ascii="Century Gothic" w:hAnsi="Century Gothic" w:cs="Century Gothic" w:eastAsia="Century Gothic"/>
          <w:b/>
          <w:sz w:val="22"/>
        </w:rPr>
        <w:t>intimação do Ministério Público</w:t>
      </w:r>
      <w:r>
        <w:rPr>
          <w:rFonts w:ascii="Century Gothic" w:hAnsi="Century Gothic" w:cs="Century Gothic" w:eastAsia="Century Gothic"/>
          <w:sz w:val="22"/>
        </w:rPr>
        <w:t xml:space="preserve"> para intervir como fiscal da ordem jurídica, na forma do art. 178, II, do CPC (interesse de incapazes);</w:t>
      </w:r>
    </w:p>
    <w:p>
      <w:pPr>
        <w:spacing w:before="400" w:after="200" w:line="240" w:lineRule="auto"/>
        <w:ind w:firstLine="0"/>
        <w:jc w:val="both"/>
      </w:pPr>
      <w:r>
        <w:rPr>
          <w:rFonts w:ascii="Century Gothic" w:hAnsi="Century Gothic" w:cs="Century Gothic" w:eastAsia="Century Gothic"/>
          <w:b/>
          <w:sz w:val="22"/>
        </w:rPr>
        <w:t>11.</w:t>
      </w:r>
      <w:r>
        <w:rPr>
          <w:rFonts w:ascii="Century Gothic" w:hAnsi="Century Gothic" w:cs="Century Gothic" w:eastAsia="Century Gothic"/>
          <w:sz w:val="22"/>
        </w:rPr>
        <w:t xml:space="preserve"> O julgamento de </w:t>
      </w:r>
      <w:r>
        <w:rPr>
          <w:rFonts w:ascii="Century Gothic" w:hAnsi="Century Gothic" w:cs="Century Gothic" w:eastAsia="Century Gothic"/>
          <w:b/>
          <w:sz w:val="22"/>
        </w:rPr>
        <w:t>procedência total dos pedidos</w:t>
      </w:r>
      <w:r>
        <w:rPr>
          <w:rFonts w:ascii="Century Gothic" w:hAnsi="Century Gothic" w:cs="Century Gothic" w:eastAsia="Century Gothic"/>
          <w:sz w:val="22"/>
        </w:rPr>
        <w:t xml:space="preserve"> ao final, confirmando-se a tutela de urgência deferida e estabelecendo-se definitivamente os alimentos, a guarda compartilhada e a regulamentação de convivência nos termos requeridos.</w:t>
      </w:r>
    </w:p>
    <w:p>
      <w:pPr>
        <w:spacing w:before="400" w:after="200" w:line="240" w:lineRule="auto"/>
        <w:ind w:firstLine="0"/>
        <w:jc w:val="left"/>
      </w:pPr>
      <w:r>
        <w:rPr>
          <w:rFonts w:ascii="Century Gothic" w:hAnsi="Century Gothic" w:cs="Century Gothic" w:eastAsia="Century Gothic"/>
          <w:b/>
          <w:sz w:val="22"/>
        </w:rPr>
        <w:t>V) DAS PROVAS</w:t>
      </w:r>
    </w:p>
    <w:p>
      <w:pPr>
        <w:spacing w:before="400" w:after="200" w:line="240" w:lineRule="auto"/>
        <w:ind w:firstLine="0"/>
        <w:jc w:val="both"/>
      </w:pPr>
      <w:r>
        <w:rPr>
          <w:rFonts w:ascii="Century Gothic" w:hAnsi="Century Gothic" w:cs="Century Gothic" w:eastAsia="Century Gothic"/>
          <w:sz w:val="22"/>
        </w:rPr>
        <w:t>A Autora pretende demonstrar o alegado por todos os meios de prova em direito admitidos, requerendo desde logo:</w:t>
      </w:r>
    </w:p>
    <w:p>
      <w:pPr>
        <w:spacing w:before="400" w:after="200" w:line="240" w:lineRule="auto"/>
        <w:ind w:firstLine="0"/>
        <w:jc w:val="both"/>
      </w:pPr>
      <w:r>
        <w:rPr>
          <w:rFonts w:ascii="Century Gothic" w:hAnsi="Century Gothic" w:cs="Century Gothic" w:eastAsia="Century Gothic"/>
          <w:b/>
          <w:sz w:val="22"/>
        </w:rPr>
        <w:t>a) Documentais:</w:t>
      </w:r>
      <w:r>
        <w:rPr>
          <w:rFonts w:ascii="Century Gothic" w:hAnsi="Century Gothic" w:cs="Century Gothic" w:eastAsia="Century Gothic"/>
          <w:sz w:val="22"/>
        </w:rPr>
        <w:t xml:space="preserve"> os documentos que acompanham esta inicial (Rol anexo), com destaque para as certidões de nascimento dos menores (DOC-01 e DOC-02), a CTPS digital da Autora (DOC-10) e a CNH do Réu (DOC-03);</w:t>
      </w:r>
    </w:p>
    <w:p>
      <w:pPr>
        <w:spacing w:before="400" w:after="200" w:line="240" w:lineRule="auto"/>
        <w:ind w:firstLine="0"/>
        <w:jc w:val="both"/>
      </w:pPr>
      <w:r>
        <w:rPr>
          <w:rFonts w:ascii="Century Gothic" w:hAnsi="Century Gothic" w:cs="Century Gothic" w:eastAsia="Century Gothic"/>
          <w:b/>
          <w:sz w:val="22"/>
        </w:rPr>
        <w:t>b) Depoimento pessoal do Réu;</w:t>
      </w:r>
    </w:p>
    <w:p>
      <w:pPr>
        <w:spacing w:before="400" w:after="200" w:line="240" w:lineRule="auto"/>
        <w:ind w:firstLine="0"/>
        <w:jc w:val="both"/>
      </w:pPr>
      <w:r>
        <w:rPr>
          <w:rFonts w:ascii="Century Gothic" w:hAnsi="Century Gothic" w:cs="Century Gothic" w:eastAsia="Century Gothic"/>
          <w:b/>
          <w:sz w:val="22"/>
        </w:rPr>
        <w:t>c) Oitiva de testemunhas</w:t>
      </w:r>
      <w:r>
        <w:rPr>
          <w:rFonts w:ascii="Century Gothic" w:hAnsi="Century Gothic" w:cs="Century Gothic" w:eastAsia="Century Gothic"/>
          <w:sz w:val="22"/>
        </w:rPr>
        <w:t>, a serem arroladas no momento processual oportuno;</w:t>
      </w:r>
    </w:p>
    <w:p>
      <w:pPr>
        <w:spacing w:before="400" w:after="200" w:line="240" w:lineRule="auto"/>
        <w:ind w:firstLine="0"/>
        <w:jc w:val="both"/>
      </w:pPr>
      <w:r>
        <w:rPr>
          <w:rFonts w:ascii="Century Gothic" w:hAnsi="Century Gothic" w:cs="Century Gothic" w:eastAsia="Century Gothic"/>
          <w:b/>
          <w:sz w:val="22"/>
        </w:rPr>
        <w:t>d) Exibição de documentos pelo Réu</w:t>
      </w:r>
      <w:r>
        <w:rPr>
          <w:rFonts w:ascii="Century Gothic" w:hAnsi="Century Gothic" w:cs="Century Gothic" w:eastAsia="Century Gothic"/>
          <w:sz w:val="22"/>
        </w:rPr>
        <w:t>, incluindo recibos de salário, extratos bancários, declarações de Imposto de Renda e eventuais contratos de trabalho — bem como os comprovantes dos depósitos de pensão que alegue haver efetuado;</w:t>
      </w:r>
    </w:p>
    <w:p>
      <w:pPr>
        <w:spacing w:before="400" w:after="200" w:line="240" w:lineRule="auto"/>
        <w:ind w:firstLine="0"/>
        <w:jc w:val="both"/>
      </w:pPr>
      <w:r>
        <w:rPr>
          <w:rFonts w:ascii="Century Gothic" w:hAnsi="Century Gothic" w:cs="Century Gothic" w:eastAsia="Century Gothic"/>
          <w:b/>
          <w:sz w:val="22"/>
        </w:rPr>
        <w:t>e) Informações obtidas por intermédio dos ofícios judiciais</w:t>
      </w:r>
      <w:r>
        <w:rPr>
          <w:rFonts w:ascii="Century Gothic" w:hAnsi="Century Gothic" w:cs="Century Gothic" w:eastAsia="Century Gothic"/>
          <w:sz w:val="22"/>
        </w:rPr>
        <w:t xml:space="preserve"> requeridos no item 5 dos pedidos.</w:t>
      </w:r>
    </w:p>
    <w:p>
      <w:pPr>
        <w:spacing w:before="400" w:after="200" w:line="240" w:lineRule="auto"/>
        <w:ind w:firstLine="0"/>
        <w:jc w:val="both"/>
      </w:pPr>
      <w:r>
        <w:rPr>
          <w:rFonts w:ascii="Century Gothic" w:hAnsi="Century Gothic" w:cs="Century Gothic" w:eastAsia="Century Gothic"/>
          <w:sz w:val="22"/>
        </w:rPr>
        <w:t>Protesta-se pela produção de todas as provas em direito admitidas.</w:t>
      </w:r>
    </w:p>
    <w:p>
      <w:pPr>
        <w:spacing w:before="400" w:after="200" w:line="240" w:lineRule="auto"/>
        <w:ind w:firstLine="0"/>
        <w:jc w:val="left"/>
      </w:pPr>
      <w:r>
        <w:rPr>
          <w:rFonts w:ascii="Century Gothic" w:hAnsi="Century Gothic" w:cs="Century Gothic" w:eastAsia="Century Gothic"/>
          <w:b/>
          <w:sz w:val="22"/>
        </w:rPr>
        <w:t>VI) DA GRATUIDADE DA JUSTIÇA</w:t>
      </w:r>
    </w:p>
    <w:p>
      <w:pPr>
        <w:spacing w:before="400" w:after="200" w:line="240" w:lineRule="auto"/>
        <w:ind w:firstLine="0"/>
        <w:jc w:val="both"/>
      </w:pPr>
      <w:r>
        <w:rPr>
          <w:rFonts w:ascii="Century Gothic" w:hAnsi="Century Gothic" w:cs="Century Gothic" w:eastAsia="Century Gothic"/>
          <w:sz w:val="22"/>
        </w:rPr>
        <w:t>A Autora declara, sob as penas da lei, não possuir condições de arcar com as custas e despesas processuais sem prejuízo do seu sustento e de seus filhos. Percebe remuneração mensal de R$ 1.621,00 (DOC-10) — exatamente um salário mínimo — e é a única provedora de dois filhos menores, sem contribuição regular do Réu. A presunção de veracidade da declaração é legal (CPC, art. 99, § 3º; Lei n.º 5.478/1968, art. 1º, §§ 2º e 3º).</w:t>
      </w:r>
    </w:p>
    <w:p>
      <w:pPr>
        <w:spacing w:before="400" w:after="200" w:line="240" w:lineRule="auto"/>
        <w:ind w:firstLine="0"/>
        <w:jc w:val="left"/>
      </w:pPr>
      <w:r>
        <w:rPr>
          <w:rFonts w:ascii="Century Gothic" w:hAnsi="Century Gothic" w:cs="Century Gothic" w:eastAsia="Century Gothic"/>
          <w:b/>
          <w:sz w:val="22"/>
        </w:rPr>
        <w:t>VII) DO VALOR DA CAUSA</w:t>
      </w:r>
    </w:p>
    <w:p>
      <w:pPr>
        <w:spacing w:before="400" w:after="200" w:line="240" w:lineRule="auto"/>
        <w:ind w:firstLine="0"/>
        <w:jc w:val="both"/>
      </w:pPr>
      <w:r>
        <w:rPr>
          <w:rFonts w:ascii="Century Gothic" w:hAnsi="Century Gothic" w:cs="Century Gothic" w:eastAsia="Century Gothic"/>
          <w:sz w:val="22"/>
        </w:rPr>
        <w:t xml:space="preserve">Nos termos do art. 292, III e VI, do CPC (12 prestações mensais pedidas, somados os pedidos cumulados — os de guarda e convivência sem conteúdo econômico direto), atribui-se à causa o valor de </w:t>
      </w:r>
      <w:r>
        <w:rPr>
          <w:rFonts w:ascii="Century Gothic" w:hAnsi="Century Gothic" w:cs="Century Gothic" w:eastAsia="Century Gothic"/>
          <w:b/>
          <w:sz w:val="22"/>
        </w:rPr>
        <w:t>R$ 11.671,20</w:t>
      </w:r>
      <w:r>
        <w:rPr>
          <w:rFonts w:ascii="Century Gothic" w:hAnsi="Century Gothic" w:cs="Century Gothic" w:eastAsia="Century Gothic"/>
          <w:sz w:val="22"/>
        </w:rPr>
        <w:t xml:space="preserve"> (onze mil, seiscentos e setenta e um reais e vinte centavos), correspondente a 12 × R$ 972,60 — 30% do salário mínimo nacional (R$ 1.621,00 — Decreto n.º 12.797/2025) por filho, para dois filhos.</w:t>
      </w:r>
    </w:p>
    <w:p>
      <w:pPr>
        <w:spacing w:before="400" w:after="200" w:line="240" w:lineRule="auto"/>
        <w:ind w:firstLine="0"/>
        <w:jc w:val="left"/>
      </w:pPr>
      <w:r>
        <w:rPr>
          <w:rFonts w:ascii="Century Gothic" w:hAnsi="Century Gothic" w:cs="Century Gothic" w:eastAsia="Century Gothic"/>
          <w:b/>
          <w:sz w:val="22"/>
        </w:rPr>
        <w:t>VIII) DOS REQUERIMENTOS FINAIS</w:t>
      </w:r>
    </w:p>
    <w:p>
      <w:pPr>
        <w:spacing w:before="400" w:after="200" w:line="240" w:lineRule="auto"/>
        <w:ind w:firstLine="0"/>
        <w:jc w:val="both"/>
      </w:pPr>
      <w:r>
        <w:rPr>
          <w:rFonts w:ascii="Century Gothic" w:hAnsi="Century Gothic" w:cs="Century Gothic" w:eastAsia="Century Gothic"/>
          <w:sz w:val="22"/>
        </w:rPr>
        <w:t>Requer, por fim:</w:t>
      </w:r>
    </w:p>
    <w:p>
      <w:pPr>
        <w:spacing w:before="400" w:after="200" w:line="240" w:lineRule="auto"/>
        <w:ind w:firstLine="0"/>
        <w:jc w:val="both"/>
      </w:pPr>
      <w:r>
        <w:rPr>
          <w:rFonts w:ascii="Century Gothic" w:hAnsi="Century Gothic" w:cs="Century Gothic" w:eastAsia="Century Gothic"/>
          <w:sz w:val="22"/>
        </w:rPr>
        <w:t xml:space="preserve">1. </w:t>
      </w:r>
      <w:r>
        <w:rPr>
          <w:rFonts w:ascii="Century Gothic" w:hAnsi="Century Gothic" w:cs="Century Gothic" w:eastAsia="Century Gothic"/>
          <w:sz w:val="22"/>
        </w:rPr>
        <w:t>O recebimento e processamento desta petição;</w:t>
      </w:r>
    </w:p>
    <w:p>
      <w:pPr>
        <w:spacing w:before="400" w:after="200" w:line="240" w:lineRule="auto"/>
        <w:ind w:firstLine="0"/>
        <w:jc w:val="both"/>
      </w:pPr>
      <w:r>
        <w:rPr>
          <w:rFonts w:ascii="Century Gothic" w:hAnsi="Century Gothic" w:cs="Century Gothic" w:eastAsia="Century Gothic"/>
          <w:sz w:val="22"/>
        </w:rPr>
        <w:t xml:space="preserve">2. </w:t>
      </w:r>
      <w:r>
        <w:rPr>
          <w:rFonts w:ascii="Century Gothic" w:hAnsi="Century Gothic" w:cs="Century Gothic" w:eastAsia="Century Gothic"/>
          <w:sz w:val="22"/>
        </w:rPr>
        <w:t>A concessão dos benefícios da gratuidade da justiça;</w:t>
      </w:r>
    </w:p>
    <w:p>
      <w:pPr>
        <w:spacing w:before="400" w:after="200" w:line="240" w:lineRule="auto"/>
        <w:ind w:firstLine="0"/>
        <w:jc w:val="both"/>
      </w:pPr>
      <w:r>
        <w:rPr>
          <w:rFonts w:ascii="Century Gothic" w:hAnsi="Century Gothic" w:cs="Century Gothic" w:eastAsia="Century Gothic"/>
          <w:sz w:val="22"/>
        </w:rPr>
        <w:t xml:space="preserve">3. </w:t>
      </w:r>
      <w:r>
        <w:rPr>
          <w:rFonts w:ascii="Century Gothic" w:hAnsi="Century Gothic" w:cs="Century Gothic" w:eastAsia="Century Gothic"/>
          <w:sz w:val="22"/>
        </w:rPr>
        <w:t>A apreciação imediata do pedido de tutela de urgência para alimentos provisórios, antes da citação do Réu, na forma do art. 4º da Lei n.º 5.478/1968;</w:t>
      </w:r>
    </w:p>
    <w:p>
      <w:pPr>
        <w:spacing w:before="400" w:after="200" w:line="240" w:lineRule="auto"/>
        <w:ind w:firstLine="0"/>
        <w:jc w:val="both"/>
      </w:pPr>
      <w:r>
        <w:rPr>
          <w:rFonts w:ascii="Century Gothic" w:hAnsi="Century Gothic" w:cs="Century Gothic" w:eastAsia="Century Gothic"/>
          <w:sz w:val="22"/>
        </w:rPr>
        <w:t xml:space="preserve">4. </w:t>
      </w:r>
      <w:r>
        <w:rPr>
          <w:rFonts w:ascii="Century Gothic" w:hAnsi="Century Gothic" w:cs="Century Gothic" w:eastAsia="Century Gothic"/>
          <w:sz w:val="22"/>
        </w:rPr>
        <w:t>Que todas as publicações e intimações sejam realizadas em nome do advogado subscritor, pelo Portal Eletrônico do TJPA, com registro no e-mail herbethmatheus.adv@gmail.com;</w:t>
      </w:r>
    </w:p>
    <w:p>
      <w:pPr>
        <w:spacing w:before="400" w:after="200" w:line="240" w:lineRule="auto"/>
        <w:ind w:firstLine="0"/>
        <w:jc w:val="both"/>
      </w:pPr>
      <w:r>
        <w:rPr>
          <w:rFonts w:ascii="Century Gothic" w:hAnsi="Century Gothic" w:cs="Century Gothic" w:eastAsia="Century Gothic"/>
          <w:sz w:val="22"/>
        </w:rPr>
        <w:t xml:space="preserve">5. </w:t>
      </w:r>
      <w:r>
        <w:rPr>
          <w:rFonts w:ascii="Century Gothic" w:hAnsi="Century Gothic" w:cs="Century Gothic" w:eastAsia="Century Gothic"/>
          <w:sz w:val="22"/>
        </w:rPr>
        <w:t>A procedência de todos os pedidos, com a condenação do Réu ao pagamento das custas processuais e honorários advocatícios.</w:t>
      </w:r>
    </w:p>
    <w:p>
      <w:pPr>
        <w:spacing w:before="400" w:after="200" w:line="240" w:lineRule="auto"/>
        <w:ind w:firstLine="0"/>
        <w:jc w:val="both"/>
      </w:pPr>
      <w:r>
        <w:rPr>
          <w:rFonts w:ascii="Century Gothic" w:hAnsi="Century Gothic" w:cs="Century Gothic" w:eastAsia="Century Gothic"/>
          <w:sz w:val="22"/>
        </w:rPr>
        <w:t>Termos em que,</w:t>
      </w:r>
    </w:p>
    <w:p>
      <w:pPr>
        <w:spacing w:before="400" w:after="200" w:line="240" w:lineRule="auto"/>
        <w:ind w:firstLine="0"/>
        <w:jc w:val="both"/>
      </w:pPr>
      <w:r>
        <w:rPr>
          <w:rFonts w:ascii="Century Gothic" w:hAnsi="Century Gothic" w:cs="Century Gothic" w:eastAsia="Century Gothic"/>
          <w:sz w:val="22"/>
        </w:rPr>
        <w:t>Pede deferimento.</w:t>
      </w:r>
    </w:p>
    <w:p>
      <w:pPr>
        <w:spacing w:before="400" w:after="200" w:line="240" w:lineRule="auto"/>
        <w:ind w:firstLine="0"/>
        <w:jc w:val="both"/>
      </w:pPr>
      <w:r>
        <w:rPr>
          <w:rFonts w:ascii="Century Gothic" w:hAnsi="Century Gothic" w:cs="Century Gothic" w:eastAsia="Century Gothic"/>
          <w:sz w:val="22"/>
        </w:rPr>
        <w:t xml:space="preserve">Parauapebas/PA, </w:t>
      </w:r>
      <w:r>
        <w:rPr>
          <w:rFonts w:ascii="Century Gothic" w:hAnsi="Century Gothic" w:cs="Century Gothic" w:eastAsia="Century Gothic"/>
          <w:sz w:val="22"/>
          <w:u w:val="single"/>
        </w:rPr>
        <w:t xml:space="preserve">__ de </w:t>
      </w:r>
      <w:r>
        <w:rPr>
          <w:rFonts w:ascii="Century Gothic" w:hAnsi="Century Gothic" w:cs="Century Gothic" w:eastAsia="Century Gothic"/>
          <w:sz w:val="22"/>
          <w:u w:val="single"/>
        </w:rPr>
        <w:t>_</w:t>
      </w:r>
      <w:r>
        <w:rPr>
          <w:rFonts w:ascii="Century Gothic" w:hAnsi="Century Gothic" w:cs="Century Gothic" w:eastAsia="Century Gothic"/>
          <w:sz w:val="22"/>
          <w:u w:val="single"/>
        </w:rPr>
        <w:t>_</w:t>
      </w:r>
      <w:r>
        <w:rPr>
          <w:rFonts w:ascii="Century Gothic" w:hAnsi="Century Gothic" w:cs="Century Gothic" w:eastAsia="Century Gothic"/>
          <w:sz w:val="22"/>
        </w:rPr>
        <w:t>__ de 2026.</w:t>
      </w:r>
    </w:p>
    <w:p>
      <w:pPr>
        <w:spacing w:before="400" w:after="200" w:line="240" w:lineRule="auto"/>
        <w:ind w:firstLine="0"/>
        <w:jc w:val="center"/>
      </w:pPr>
      <w:r>
        <w:rPr>
          <w:rFonts w:ascii="Century Gothic" w:hAnsi="Century Gothic" w:cs="Century Gothic" w:eastAsia="Century Gothic"/>
          <w:b/>
          <w:sz w:val="22"/>
        </w:rPr>
        <w:t>HERBETH MATHEUS MENDONÇA DO NASCIMENTO</w:t>
      </w:r>
    </w:p>
    <w:p>
      <w:pPr>
        <w:spacing w:before="400" w:after="200" w:line="240" w:lineRule="auto"/>
        <w:ind w:firstLine="0"/>
        <w:jc w:val="center"/>
      </w:pPr>
      <w:r>
        <w:rPr>
          <w:rFonts w:ascii="Century Gothic" w:hAnsi="Century Gothic" w:cs="Century Gothic" w:eastAsia="Century Gothic"/>
          <w:b/>
          <w:sz w:val="22"/>
        </w:rPr>
        <w:t>OAB/PA n.º 39.261</w:t>
      </w:r>
    </w:p>
    <w:p>
      <w:pPr>
        <w:spacing w:before="400" w:after="200" w:line="240" w:lineRule="auto"/>
        <w:ind w:firstLine="0"/>
        <w:jc w:val="left"/>
      </w:pPr>
      <w:r>
        <w:rPr>
          <w:rFonts w:ascii="Century Gothic" w:hAnsi="Century Gothic" w:cs="Century Gothic" w:eastAsia="Century Gothic"/>
          <w:b/>
          <w:sz w:val="22"/>
        </w:rPr>
        <w:t>IX) ROL DE DOCUMENTOS</w:t>
      </w:r>
    </w:p>
    <w:p>
      <w:pPr>
        <w:spacing w:before="400" w:after="200" w:line="240" w:lineRule="auto"/>
        <w:ind w:firstLine="0"/>
        <w:jc w:val="both"/>
      </w:pPr>
      <w:r>
        <w:rPr>
          <w:rFonts w:ascii="Century Gothic" w:hAnsi="Century Gothic" w:cs="Century Gothic" w:eastAsia="Century Gothic"/>
          <w:sz w:val="22"/>
        </w:rPr>
        <w:t xml:space="preserve">1. </w:t>
      </w:r>
      <w:r>
        <w:rPr>
          <w:rFonts w:ascii="Century Gothic" w:hAnsi="Century Gothic" w:cs="Century Gothic" w:eastAsia="Century Gothic"/>
          <w:sz w:val="22"/>
        </w:rPr>
        <w:t>DOC-01 — Certidão de nascimento — JULLIA CECILIA SILVA DE ARAUJO;</w:t>
      </w:r>
    </w:p>
    <w:p>
      <w:pPr>
        <w:spacing w:before="400" w:after="200" w:line="240" w:lineRule="auto"/>
        <w:ind w:firstLine="0"/>
        <w:jc w:val="both"/>
      </w:pPr>
      <w:r>
        <w:rPr>
          <w:rFonts w:ascii="Century Gothic" w:hAnsi="Century Gothic" w:cs="Century Gothic" w:eastAsia="Century Gothic"/>
          <w:sz w:val="22"/>
        </w:rPr>
        <w:t xml:space="preserve">2. </w:t>
      </w:r>
      <w:r>
        <w:rPr>
          <w:rFonts w:ascii="Century Gothic" w:hAnsi="Century Gothic" w:cs="Century Gothic" w:eastAsia="Century Gothic"/>
          <w:sz w:val="22"/>
        </w:rPr>
        <w:t>DOC-02 — Certidão de nascimento — CÍCERO SILVA DE ARAUJO JUNIOR;</w:t>
      </w:r>
    </w:p>
    <w:p>
      <w:pPr>
        <w:spacing w:before="400" w:after="200" w:line="240" w:lineRule="auto"/>
        <w:ind w:firstLine="0"/>
        <w:jc w:val="both"/>
      </w:pPr>
      <w:r>
        <w:rPr>
          <w:rFonts w:ascii="Century Gothic" w:hAnsi="Century Gothic" w:cs="Century Gothic" w:eastAsia="Century Gothic"/>
          <w:sz w:val="22"/>
        </w:rPr>
        <w:t xml:space="preserve">3. </w:t>
      </w:r>
      <w:r>
        <w:rPr>
          <w:rFonts w:ascii="Century Gothic" w:hAnsi="Century Gothic" w:cs="Century Gothic" w:eastAsia="Century Gothic"/>
          <w:sz w:val="22"/>
        </w:rPr>
        <w:t>DOC-03 — Carteira Nacional de Habilitação — CÍCERO SILVA DE ARAUJO;</w:t>
      </w:r>
    </w:p>
    <w:p>
      <w:pPr>
        <w:spacing w:before="400" w:after="200" w:line="240" w:lineRule="auto"/>
        <w:ind w:firstLine="0"/>
        <w:jc w:val="both"/>
      </w:pPr>
      <w:r>
        <w:rPr>
          <w:rFonts w:ascii="Century Gothic" w:hAnsi="Century Gothic" w:cs="Century Gothic" w:eastAsia="Century Gothic"/>
          <w:sz w:val="22"/>
        </w:rPr>
        <w:t xml:space="preserve">4. </w:t>
      </w:r>
      <w:r>
        <w:rPr>
          <w:rFonts w:ascii="Century Gothic" w:hAnsi="Century Gothic" w:cs="Century Gothic" w:eastAsia="Century Gothic"/>
          <w:sz w:val="22"/>
        </w:rPr>
        <w:t>DOC-04 — Comprovante de CPF — TÂNIA SILVA RODRIGUES;</w:t>
      </w:r>
    </w:p>
    <w:p>
      <w:pPr>
        <w:spacing w:before="400" w:after="200" w:line="240" w:lineRule="auto"/>
        <w:ind w:firstLine="0"/>
        <w:jc w:val="both"/>
      </w:pPr>
      <w:r>
        <w:rPr>
          <w:rFonts w:ascii="Century Gothic" w:hAnsi="Century Gothic" w:cs="Century Gothic" w:eastAsia="Century Gothic"/>
          <w:sz w:val="22"/>
        </w:rPr>
        <w:t xml:space="preserve">5. </w:t>
      </w:r>
      <w:r>
        <w:rPr>
          <w:rFonts w:ascii="Century Gothic" w:hAnsi="Century Gothic" w:cs="Century Gothic" w:eastAsia="Century Gothic"/>
          <w:sz w:val="22"/>
        </w:rPr>
        <w:t>DOC-05 — Comprovante de CPF — CÍCERO SILVA DE ARAUJO JUNIOR;</w:t>
      </w:r>
    </w:p>
    <w:p>
      <w:pPr>
        <w:spacing w:before="400" w:after="200" w:line="240" w:lineRule="auto"/>
        <w:ind w:firstLine="0"/>
        <w:jc w:val="both"/>
      </w:pPr>
      <w:r>
        <w:rPr>
          <w:rFonts w:ascii="Century Gothic" w:hAnsi="Century Gothic" w:cs="Century Gothic" w:eastAsia="Century Gothic"/>
          <w:sz w:val="22"/>
        </w:rPr>
        <w:t xml:space="preserve">6. </w:t>
      </w:r>
      <w:r>
        <w:rPr>
          <w:rFonts w:ascii="Century Gothic" w:hAnsi="Century Gothic" w:cs="Century Gothic" w:eastAsia="Century Gothic"/>
          <w:sz w:val="22"/>
        </w:rPr>
        <w:t>DOC-06 — Comprovante de CPF — JULLIA CECILIA SILVA DE ARAUJO;</w:t>
      </w:r>
    </w:p>
    <w:p>
      <w:pPr>
        <w:spacing w:before="400" w:after="200" w:line="240" w:lineRule="auto"/>
        <w:ind w:firstLine="0"/>
        <w:jc w:val="both"/>
      </w:pPr>
      <w:r>
        <w:rPr>
          <w:rFonts w:ascii="Century Gothic" w:hAnsi="Century Gothic" w:cs="Century Gothic" w:eastAsia="Century Gothic"/>
          <w:sz w:val="22"/>
        </w:rPr>
        <w:t xml:space="preserve">7. </w:t>
      </w:r>
      <w:r>
        <w:rPr>
          <w:rFonts w:ascii="Century Gothic" w:hAnsi="Century Gothic" w:cs="Century Gothic" w:eastAsia="Century Gothic"/>
          <w:sz w:val="22"/>
        </w:rPr>
        <w:t>DOC-07 — Relação de despesas mensais — anotação da Autora;</w:t>
      </w:r>
    </w:p>
    <w:p>
      <w:pPr>
        <w:spacing w:before="400" w:after="200" w:line="240" w:lineRule="auto"/>
        <w:ind w:firstLine="0"/>
        <w:jc w:val="both"/>
      </w:pPr>
      <w:r>
        <w:rPr>
          <w:rFonts w:ascii="Century Gothic" w:hAnsi="Century Gothic" w:cs="Century Gothic" w:eastAsia="Century Gothic"/>
          <w:sz w:val="22"/>
        </w:rPr>
        <w:t xml:space="preserve">8. </w:t>
      </w:r>
      <w:r>
        <w:rPr>
          <w:rFonts w:ascii="Century Gothic" w:hAnsi="Century Gothic" w:cs="Century Gothic" w:eastAsia="Century Gothic"/>
          <w:sz w:val="22"/>
        </w:rPr>
        <w:t>DOC-10 — Carteira de Trabalho Digital — TÂNIA SILVA RODRIGUES (Dataprev).</w:t>
      </w:r>
    </w:p>
    <w:sectPr w:rsidR="00F61903" w:rsidRPr="00F61903" w:rsidSect="001E246B">
      <w:headerReference w:type="default" r:id="rId8"/>
      <w:footerReference w:type="default" r:id="rId9"/>
      <w:pgSz w:w="11906" w:h="16838" w:code="9"/>
      <w:pgMar w:top="1701" w:right="1134" w:bottom="1134" w:left="1134" w:header="720" w:footer="1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2A12A" w14:textId="77777777" w:rsidR="00F67903" w:rsidRDefault="00F67903" w:rsidP="008A549F">
      <w:r>
        <w:separator/>
      </w:r>
    </w:p>
  </w:endnote>
  <w:endnote w:type="continuationSeparator" w:id="0">
    <w:p w14:paraId="5D787307" w14:textId="77777777" w:rsidR="00F67903" w:rsidRDefault="00F67903" w:rsidP="008A5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B9AE4" w14:textId="3BB2037A" w:rsidR="008A549F" w:rsidRPr="008A549F" w:rsidRDefault="008A549F" w:rsidP="008A549F">
    <w:pPr>
      <w:pStyle w:val="Rodap"/>
      <w:rPr>
        <w:rFonts w:ascii="Open Sans" w:hAnsi="Open Sans" w:cs="Open Sans"/>
        <w:color w:val="000031"/>
        <w:sz w:val="16"/>
        <w:szCs w:val="16"/>
        <w:lang w:val="pt-BR"/>
      </w:rPr>
    </w:pPr>
    <w:r>
      <w:rPr>
        <w:noProof/>
      </w:rPr>
      <w:drawing>
        <wp:anchor distT="0" distB="0" distL="114300" distR="114300" simplePos="0" relativeHeight="251661312" behindDoc="1" locked="0" layoutInCell="1" allowOverlap="1" wp14:anchorId="6B225F60" wp14:editId="625A1516">
          <wp:simplePos x="0" y="0"/>
          <wp:positionH relativeFrom="column">
            <wp:posOffset>-158856</wp:posOffset>
          </wp:positionH>
          <wp:positionV relativeFrom="paragraph">
            <wp:posOffset>26595</wp:posOffset>
          </wp:positionV>
          <wp:extent cx="111268" cy="364789"/>
          <wp:effectExtent l="0" t="0" r="3175"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93157" name="Imagem 1157493157"/>
                  <pic:cNvPicPr/>
                </pic:nvPicPr>
                <pic:blipFill>
                  <a:blip r:embed="rId1">
                    <a:extLst>
                      <a:ext uri="{28A0092B-C50C-407E-A947-70E740481C1C}">
                        <a14:useLocalDpi xmlns:a14="http://schemas.microsoft.com/office/drawing/2010/main" val="0"/>
                      </a:ext>
                    </a:extLst>
                  </a:blip>
                  <a:stretch>
                    <a:fillRect/>
                  </a:stretch>
                </pic:blipFill>
                <pic:spPr>
                  <a:xfrm>
                    <a:off x="0" y="0"/>
                    <a:ext cx="114437" cy="375179"/>
                  </a:xfrm>
                  <a:prstGeom prst="rect">
                    <a:avLst/>
                  </a:prstGeom>
                </pic:spPr>
              </pic:pic>
            </a:graphicData>
          </a:graphic>
          <wp14:sizeRelH relativeFrom="page">
            <wp14:pctWidth>0</wp14:pctWidth>
          </wp14:sizeRelH>
          <wp14:sizeRelV relativeFrom="page">
            <wp14:pctHeight>0</wp14:pctHeight>
          </wp14:sizeRelV>
        </wp:anchor>
      </w:drawing>
    </w:r>
    <w:r w:rsidRPr="008A549F">
      <w:rPr>
        <w:rFonts w:ascii="Open Sans" w:hAnsi="Open Sans" w:cs="Open Sans"/>
        <w:color w:val="000031"/>
        <w:sz w:val="16"/>
        <w:szCs w:val="16"/>
        <w:lang w:val="pt-BR"/>
      </w:rPr>
      <w:t xml:space="preserve">94 </w:t>
    </w:r>
    <w:r w:rsidR="00642B05" w:rsidRPr="00642B05">
      <w:rPr>
        <w:rFonts w:ascii="Open Sans" w:hAnsi="Open Sans" w:cs="Open Sans"/>
        <w:color w:val="000031"/>
        <w:sz w:val="16"/>
        <w:szCs w:val="16"/>
        <w:lang w:val="pt-BR"/>
      </w:rPr>
      <w:t>98412-8321</w:t>
    </w:r>
    <w:r w:rsidRPr="008A549F">
      <w:rPr>
        <w:rFonts w:ascii="Open Sans" w:hAnsi="Open Sans" w:cs="Open Sans"/>
        <w:color w:val="000031"/>
        <w:sz w:val="16"/>
        <w:szCs w:val="16"/>
        <w:lang w:val="pt-BR"/>
      </w:rPr>
      <w:t xml:space="preserve">| 94 </w:t>
    </w:r>
    <w:r w:rsidR="00D53A19">
      <w:rPr>
        <w:rFonts w:ascii="Open Sans" w:hAnsi="Open Sans" w:cs="Open Sans"/>
        <w:color w:val="000031"/>
        <w:sz w:val="16"/>
        <w:szCs w:val="16"/>
        <w:lang w:val="pt-BR"/>
      </w:rPr>
      <w:t>99214-7889</w:t>
    </w:r>
  </w:p>
  <w:p w14:paraId="68721FBA" w14:textId="07FE8C86" w:rsidR="008A549F" w:rsidRPr="008A549F" w:rsidRDefault="008A549F" w:rsidP="008A549F">
    <w:pPr>
      <w:pStyle w:val="Rodap"/>
      <w:rPr>
        <w:rFonts w:ascii="Open Sans" w:hAnsi="Open Sans" w:cs="Open Sans"/>
        <w:color w:val="000031"/>
        <w:sz w:val="16"/>
        <w:szCs w:val="16"/>
        <w:lang w:val="pt-BR"/>
      </w:rPr>
    </w:pPr>
    <w:r w:rsidRPr="008A549F">
      <w:rPr>
        <w:rFonts w:ascii="Open Sans" w:hAnsi="Open Sans" w:cs="Open Sans"/>
        <w:color w:val="000031"/>
        <w:sz w:val="16"/>
        <w:szCs w:val="16"/>
        <w:lang w:val="pt-BR"/>
      </w:rPr>
      <w:t>nascimento.advocacia.pa@gmail.com</w:t>
    </w:r>
  </w:p>
  <w:p w14:paraId="170DD8B1" w14:textId="2044A4DB" w:rsidR="00642B05" w:rsidRPr="00D23383" w:rsidRDefault="00642B05" w:rsidP="00642B05">
    <w:pPr>
      <w:pStyle w:val="Rodap"/>
      <w:rPr>
        <w:rFonts w:ascii="Open Sans" w:hAnsi="Open Sans" w:cs="Open Sans"/>
        <w:color w:val="000031"/>
        <w:sz w:val="16"/>
        <w:szCs w:val="16"/>
        <w:lang w:val="pt-BR"/>
      </w:rPr>
    </w:pPr>
    <w:r w:rsidRPr="00D23383">
      <w:rPr>
        <w:rFonts w:ascii="Open Sans" w:hAnsi="Open Sans" w:cs="Open Sans"/>
        <w:color w:val="000031"/>
        <w:sz w:val="16"/>
        <w:szCs w:val="16"/>
        <w:lang w:val="pt-BR"/>
      </w:rPr>
      <w:t>Rua D, n° 410, Sala B | Cidade Nova | Parauapebas/PA | 68310-418</w:t>
    </w:r>
  </w:p>
  <w:p w14:paraId="6A352BEA" w14:textId="77777777" w:rsidR="008A549F" w:rsidRPr="008A549F" w:rsidRDefault="008A549F">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7B877" w14:textId="77777777" w:rsidR="00F67903" w:rsidRDefault="00F67903" w:rsidP="008A549F">
      <w:r>
        <w:separator/>
      </w:r>
    </w:p>
  </w:footnote>
  <w:footnote w:type="continuationSeparator" w:id="0">
    <w:p w14:paraId="23231802" w14:textId="77777777" w:rsidR="00F67903" w:rsidRDefault="00F67903" w:rsidP="008A54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F6629" w14:textId="7D233818" w:rsidR="008A549F" w:rsidRDefault="00886471" w:rsidP="003414E7">
    <w:pPr>
      <w:pStyle w:val="Cabealho"/>
      <w:tabs>
        <w:tab w:val="clear" w:pos="4680"/>
        <w:tab w:val="clear" w:pos="9360"/>
        <w:tab w:val="left" w:pos="828"/>
      </w:tabs>
    </w:pPr>
    <w:r>
      <w:rPr>
        <w:noProof/>
      </w:rPr>
      <w:drawing>
        <wp:anchor distT="0" distB="0" distL="114300" distR="114300" simplePos="0" relativeHeight="251660288" behindDoc="1" locked="0" layoutInCell="1" allowOverlap="1" wp14:anchorId="6053ED85" wp14:editId="0CA4FC33">
          <wp:simplePos x="0" y="0"/>
          <wp:positionH relativeFrom="margin">
            <wp:align>center</wp:align>
          </wp:positionH>
          <wp:positionV relativeFrom="paragraph">
            <wp:posOffset>-241762</wp:posOffset>
          </wp:positionV>
          <wp:extent cx="2514600" cy="539750"/>
          <wp:effectExtent l="0" t="0" r="0" b="0"/>
          <wp:wrapNone/>
          <wp:docPr id="1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80748" name="Imagem 681380748"/>
                  <pic:cNvPicPr/>
                </pic:nvPicPr>
                <pic:blipFill rotWithShape="1">
                  <a:blip r:embed="rId1">
                    <a:grayscl/>
                    <a:extLst>
                      <a:ext uri="{BEBA8EAE-BF5A-486C-A8C5-ECC9F3942E4B}">
                        <a14:imgProps xmlns:a14="http://schemas.microsoft.com/office/drawing/2010/main">
                          <a14:imgLayer r:embed="rId2">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2" t="-1433" r="-1308"/>
                  <a:stretch/>
                </pic:blipFill>
                <pic:spPr bwMode="auto">
                  <a:xfrm>
                    <a:off x="0" y="0"/>
                    <a:ext cx="2514600" cy="539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414E7">
      <w:rPr>
        <w:noProof/>
      </w:rPr>
      <w:drawing>
        <wp:anchor distT="0" distB="0" distL="114300" distR="114300" simplePos="0" relativeHeight="251659264" behindDoc="1" locked="0" layoutInCell="1" allowOverlap="1" wp14:anchorId="7873CADC" wp14:editId="1A24B322">
          <wp:simplePos x="0" y="0"/>
          <wp:positionH relativeFrom="page">
            <wp:posOffset>-228600</wp:posOffset>
          </wp:positionH>
          <wp:positionV relativeFrom="paragraph">
            <wp:posOffset>-699770</wp:posOffset>
          </wp:positionV>
          <wp:extent cx="312420" cy="11181432"/>
          <wp:effectExtent l="0" t="0" r="0" b="127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60912" name="Imagem 967660912"/>
                  <pic:cNvPicPr/>
                </pic:nvPicPr>
                <pic:blipFill>
                  <a:blip r:embed="rId3">
                    <a:extLst>
                      <a:ext uri="{BEBA8EAE-BF5A-486C-A8C5-ECC9F3942E4B}">
                        <a14:imgProps xmlns:a14="http://schemas.microsoft.com/office/drawing/2010/main">
                          <a14:imgLayer r:embed="rId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312420" cy="11181432"/>
                  </a:xfrm>
                  <a:prstGeom prst="rect">
                    <a:avLst/>
                  </a:prstGeom>
                </pic:spPr>
              </pic:pic>
            </a:graphicData>
          </a:graphic>
          <wp14:sizeRelH relativeFrom="page">
            <wp14:pctWidth>0</wp14:pctWidth>
          </wp14:sizeRelH>
          <wp14:sizeRelV relativeFrom="page">
            <wp14:pctHeight>0</wp14:pctHeight>
          </wp14:sizeRelV>
        </wp:anchor>
      </w:drawing>
    </w:r>
    <w:r w:rsidR="003414E7">
      <w:tab/>
    </w:r>
  </w:p>
  <w:p w14:paraId="74664BB4" w14:textId="4B2BF92A" w:rsidR="008A549F" w:rsidRDefault="00886471">
    <w:pPr>
      <w:pStyle w:val="Cabealho"/>
    </w:pPr>
    <w:r>
      <w:rPr>
        <w:noProof/>
      </w:rPr>
      <w:drawing>
        <wp:anchor distT="0" distB="0" distL="114300" distR="114300" simplePos="0" relativeHeight="251658240" behindDoc="1" locked="0" layoutInCell="1" allowOverlap="1" wp14:anchorId="35E926EB" wp14:editId="7D3B868B">
          <wp:simplePos x="0" y="0"/>
          <wp:positionH relativeFrom="page">
            <wp:posOffset>632460</wp:posOffset>
          </wp:positionH>
          <wp:positionV relativeFrom="paragraph">
            <wp:posOffset>991235</wp:posOffset>
          </wp:positionV>
          <wp:extent cx="5529315" cy="7818597"/>
          <wp:effectExtent l="0" t="0" r="0" b="0"/>
          <wp:wrapNone/>
          <wp:docPr id="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8432" name="Imagem 1948658432"/>
                  <pic:cNvPicPr/>
                </pic:nvPicPr>
                <pic:blipFill>
                  <a:blip r:embed="rId5">
                    <a:alphaModFix amt="50000"/>
                    <a:extLst>
                      <a:ext uri="{BEBA8EAE-BF5A-486C-A8C5-ECC9F3942E4B}">
                        <a14:imgProps xmlns:a14="http://schemas.microsoft.com/office/drawing/2010/main">
                          <a14:imgLayer r:embed="rId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529315" cy="781859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67EA"/>
    <w:multiLevelType w:val="hybridMultilevel"/>
    <w:tmpl w:val="1E3C5B8E"/>
    <w:lvl w:ilvl="0" w:tplc="C3BA5502">
      <w:start w:val="1"/>
      <w:numFmt w:val="upperRoman"/>
      <w:suff w:val="space"/>
      <w:lvlText w:val="%1)"/>
      <w:lvlJc w:val="left"/>
      <w:pPr>
        <w:ind w:left="0" w:firstLine="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714A52"/>
    <w:multiLevelType w:val="multilevel"/>
    <w:tmpl w:val="95EAB8FA"/>
    <w:lvl w:ilvl="0">
      <w:start w:val="1"/>
      <w:numFmt w:val="decimal"/>
      <w:lvlText w:val="%1."/>
      <w:lvlJc w:val="left"/>
      <w:pPr>
        <w:ind w:left="360" w:hanging="360"/>
      </w:pPr>
      <w:rPr>
        <w:rFonts w:hint="default"/>
      </w:rPr>
    </w:lvl>
    <w:lvl w:ilvl="1">
      <w:start w:val="1"/>
      <w:numFmt w:val="decimal"/>
      <w:pStyle w:val="Sub"/>
      <w:suff w:val="space"/>
      <w:lvlText w:val="%1.%2."/>
      <w:lvlJc w:val="left"/>
      <w:pPr>
        <w:ind w:left="0" w:firstLine="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BF0A7A"/>
    <w:multiLevelType w:val="multilevel"/>
    <w:tmpl w:val="5BD676E0"/>
    <w:lvl w:ilvl="0">
      <w:start w:val="1"/>
      <w:numFmt w:val="lowerRoman"/>
      <w:lvlText w:val="(%1)"/>
      <w:lvlJc w:val="left"/>
      <w:pPr>
        <w:ind w:left="0" w:firstLine="2268"/>
      </w:pPr>
      <w:rPr>
        <w:rFonts w:hint="default"/>
        <w:b/>
        <w:bCs/>
      </w:rPr>
    </w:lvl>
    <w:lvl w:ilvl="1">
      <w:start w:val="1"/>
      <w:numFmt w:val="lowerRoman"/>
      <w:lvlText w:val="(%2)"/>
      <w:lvlJc w:val="left"/>
      <w:pPr>
        <w:ind w:left="1440" w:hanging="480"/>
      </w:pPr>
      <w:rPr>
        <w:rFonts w:hint="default"/>
      </w:rPr>
    </w:lvl>
    <w:lvl w:ilvl="2">
      <w:start w:val="1"/>
      <w:numFmt w:val="lowerRoman"/>
      <w:lvlText w:val="(%3)"/>
      <w:lvlJc w:val="left"/>
      <w:pPr>
        <w:ind w:left="2160" w:hanging="480"/>
      </w:pPr>
      <w:rPr>
        <w:rFonts w:hint="default"/>
      </w:rPr>
    </w:lvl>
    <w:lvl w:ilvl="3">
      <w:start w:val="1"/>
      <w:numFmt w:val="lowerRoman"/>
      <w:lvlText w:val="(%4)"/>
      <w:lvlJc w:val="left"/>
      <w:pPr>
        <w:ind w:left="2880" w:hanging="480"/>
      </w:pPr>
      <w:rPr>
        <w:rFonts w:hint="default"/>
      </w:rPr>
    </w:lvl>
    <w:lvl w:ilvl="4">
      <w:start w:val="1"/>
      <w:numFmt w:val="lowerRoman"/>
      <w:lvlText w:val="(%5)"/>
      <w:lvlJc w:val="left"/>
      <w:pPr>
        <w:ind w:left="3600" w:hanging="480"/>
      </w:pPr>
      <w:rPr>
        <w:rFonts w:hint="default"/>
      </w:rPr>
    </w:lvl>
    <w:lvl w:ilvl="5">
      <w:start w:val="1"/>
      <w:numFmt w:val="lowerRoman"/>
      <w:lvlText w:val="(%6)"/>
      <w:lvlJc w:val="left"/>
      <w:pPr>
        <w:ind w:left="4320" w:hanging="480"/>
      </w:pPr>
      <w:rPr>
        <w:rFonts w:hint="default"/>
      </w:rPr>
    </w:lvl>
    <w:lvl w:ilvl="6">
      <w:start w:val="1"/>
      <w:numFmt w:val="lowerRoman"/>
      <w:lvlText w:val="(%7)"/>
      <w:lvlJc w:val="left"/>
      <w:pPr>
        <w:ind w:left="5040" w:hanging="480"/>
      </w:pPr>
      <w:rPr>
        <w:rFonts w:hint="default"/>
      </w:rPr>
    </w:lvl>
    <w:lvl w:ilvl="7">
      <w:start w:val="1"/>
      <w:numFmt w:val="lowerRoman"/>
      <w:lvlText w:val="(%8)"/>
      <w:lvlJc w:val="left"/>
      <w:pPr>
        <w:ind w:left="5760" w:hanging="480"/>
      </w:pPr>
      <w:rPr>
        <w:rFonts w:hint="default"/>
      </w:rPr>
    </w:lvl>
    <w:lvl w:ilvl="8">
      <w:start w:val="1"/>
      <w:numFmt w:val="lowerRoman"/>
      <w:lvlText w:val="(%9)"/>
      <w:lvlJc w:val="left"/>
      <w:pPr>
        <w:ind w:left="6480" w:hanging="480"/>
      </w:pPr>
      <w:rPr>
        <w:rFonts w:hint="default"/>
      </w:rPr>
    </w:lvl>
  </w:abstractNum>
  <w:abstractNum w:abstractNumId="3" w15:restartNumberingAfterBreak="0">
    <w:nsid w:val="2FFD4B13"/>
    <w:multiLevelType w:val="multilevel"/>
    <w:tmpl w:val="D076D5B2"/>
    <w:lvl w:ilvl="0">
      <w:start w:val="1"/>
      <w:numFmt w:val="upperRoman"/>
      <w:pStyle w:val="Ttulo1"/>
      <w:suff w:val="space"/>
      <w:lvlText w:val="%1 —"/>
      <w:lvlJc w:val="left"/>
      <w:pPr>
        <w:ind w:left="0" w:firstLine="0"/>
      </w:pPr>
      <w:rPr>
        <w:rFonts w:hint="default"/>
      </w:rPr>
    </w:lvl>
    <w:lvl w:ilvl="1">
      <w:start w:val="1"/>
      <w:numFmt w:val="upperLetter"/>
      <w:suff w:val="space"/>
      <w:lvlText w:val="%2."/>
      <w:lvlJc w:val="left"/>
      <w:pPr>
        <w:ind w:left="0" w:firstLine="0"/>
      </w:pPr>
      <w:rPr>
        <w:rFonts w:hint="default"/>
      </w:rPr>
    </w:lvl>
    <w:lvl w:ilvl="2">
      <w:start w:val="1"/>
      <w:numFmt w:val="decimal"/>
      <w:pStyle w:val="Ttulo3"/>
      <w:lvlText w:val="%3."/>
      <w:lvlJc w:val="left"/>
      <w:pPr>
        <w:ind w:left="0" w:firstLine="1701"/>
      </w:pPr>
      <w:rPr>
        <w:rFonts w:hint="default"/>
        <w:b/>
        <w:bCs/>
      </w:rPr>
    </w:lvl>
    <w:lvl w:ilvl="3">
      <w:start w:val="1"/>
      <w:numFmt w:val="lowerLetter"/>
      <w:pStyle w:val="Ttulo4"/>
      <w:lvlText w:val="%4)"/>
      <w:lvlJc w:val="left"/>
      <w:pPr>
        <w:ind w:left="2160" w:firstLine="0"/>
      </w:pPr>
      <w:rPr>
        <w:rFonts w:hint="default"/>
      </w:rPr>
    </w:lvl>
    <w:lvl w:ilvl="4">
      <w:start w:val="1"/>
      <w:numFmt w:val="decimal"/>
      <w:pStyle w:val="Ttulo5"/>
      <w:lvlText w:val="(%5)"/>
      <w:lvlJc w:val="left"/>
      <w:pPr>
        <w:ind w:left="2880" w:firstLine="0"/>
      </w:pPr>
      <w:rPr>
        <w:rFonts w:hint="default"/>
      </w:rPr>
    </w:lvl>
    <w:lvl w:ilvl="5">
      <w:start w:val="1"/>
      <w:numFmt w:val="lowerLetter"/>
      <w:pStyle w:val="Ttulo6"/>
      <w:lvlText w:val="(%6)"/>
      <w:lvlJc w:val="left"/>
      <w:pPr>
        <w:ind w:left="3600" w:firstLine="0"/>
      </w:pPr>
      <w:rPr>
        <w:rFonts w:hint="default"/>
      </w:rPr>
    </w:lvl>
    <w:lvl w:ilvl="6">
      <w:start w:val="1"/>
      <w:numFmt w:val="lowerRoman"/>
      <w:pStyle w:val="Ttulo7"/>
      <w:lvlText w:val="(%7)"/>
      <w:lvlJc w:val="left"/>
      <w:pPr>
        <w:ind w:left="4320" w:firstLine="0"/>
      </w:pPr>
      <w:rPr>
        <w:rFonts w:hint="default"/>
      </w:rPr>
    </w:lvl>
    <w:lvl w:ilvl="7">
      <w:start w:val="1"/>
      <w:numFmt w:val="lowerLetter"/>
      <w:pStyle w:val="Ttulo8"/>
      <w:lvlText w:val="(%8)"/>
      <w:lvlJc w:val="left"/>
      <w:pPr>
        <w:ind w:left="5040" w:firstLine="0"/>
      </w:pPr>
      <w:rPr>
        <w:rFonts w:hint="default"/>
      </w:rPr>
    </w:lvl>
    <w:lvl w:ilvl="8">
      <w:start w:val="1"/>
      <w:numFmt w:val="lowerRoman"/>
      <w:pStyle w:val="Ttulo9"/>
      <w:lvlText w:val="(%9)"/>
      <w:lvlJc w:val="left"/>
      <w:pPr>
        <w:ind w:left="5760" w:firstLine="0"/>
      </w:pPr>
      <w:rPr>
        <w:rFonts w:hint="default"/>
      </w:rPr>
    </w:lvl>
  </w:abstractNum>
  <w:abstractNum w:abstractNumId="4" w15:restartNumberingAfterBreak="0">
    <w:nsid w:val="30711AF7"/>
    <w:multiLevelType w:val="multilevel"/>
    <w:tmpl w:val="A73E93BE"/>
    <w:lvl w:ilvl="0">
      <w:start w:val="3"/>
      <w:numFmt w:val="decimal"/>
      <w:lvlText w:val="%1"/>
      <w:lvlJc w:val="left"/>
      <w:pPr>
        <w:ind w:left="672" w:hanging="459"/>
      </w:pPr>
      <w:rPr>
        <w:rFonts w:hint="default"/>
        <w:lang w:val="pt-PT" w:eastAsia="en-US" w:bidi="ar-SA"/>
      </w:rPr>
    </w:lvl>
    <w:lvl w:ilvl="1">
      <w:start w:val="1"/>
      <w:numFmt w:val="decimal"/>
      <w:lvlText w:val="%1.%2."/>
      <w:lvlJc w:val="left"/>
      <w:pPr>
        <w:ind w:left="0" w:firstLine="0"/>
      </w:pPr>
      <w:rPr>
        <w:rFonts w:ascii="Century Gothic" w:eastAsia="Century Gothic" w:hAnsi="Century Gothic" w:cs="Century Gothic" w:hint="default"/>
        <w:b/>
        <w:bCs/>
        <w:i w:val="0"/>
        <w:iCs w:val="0"/>
        <w:spacing w:val="-1"/>
        <w:w w:val="101"/>
        <w:sz w:val="23"/>
        <w:szCs w:val="23"/>
        <w:lang w:val="pt-PT" w:eastAsia="en-US" w:bidi="ar-SA"/>
      </w:rPr>
    </w:lvl>
    <w:lvl w:ilvl="2">
      <w:start w:val="5"/>
      <w:numFmt w:val="decimal"/>
      <w:lvlText w:val="%3."/>
      <w:lvlJc w:val="left"/>
      <w:pPr>
        <w:ind w:left="213" w:hanging="572"/>
      </w:pPr>
      <w:rPr>
        <w:rFonts w:ascii="Century Gothic" w:eastAsia="Century Gothic" w:hAnsi="Century Gothic" w:cs="Century Gothic" w:hint="default"/>
        <w:b/>
        <w:bCs/>
        <w:i w:val="0"/>
        <w:iCs w:val="0"/>
        <w:spacing w:val="-1"/>
        <w:w w:val="101"/>
        <w:sz w:val="23"/>
        <w:szCs w:val="23"/>
        <w:lang w:val="pt-PT" w:eastAsia="en-US" w:bidi="ar-SA"/>
      </w:rPr>
    </w:lvl>
    <w:lvl w:ilvl="3">
      <w:numFmt w:val="bullet"/>
      <w:lvlText w:val="•"/>
      <w:lvlJc w:val="left"/>
      <w:pPr>
        <w:ind w:left="2858" w:hanging="572"/>
      </w:pPr>
      <w:rPr>
        <w:rFonts w:hint="default"/>
        <w:lang w:val="pt-PT" w:eastAsia="en-US" w:bidi="ar-SA"/>
      </w:rPr>
    </w:lvl>
    <w:lvl w:ilvl="4">
      <w:numFmt w:val="bullet"/>
      <w:lvlText w:val="•"/>
      <w:lvlJc w:val="left"/>
      <w:pPr>
        <w:ind w:left="3948" w:hanging="572"/>
      </w:pPr>
      <w:rPr>
        <w:rFonts w:hint="default"/>
        <w:lang w:val="pt-PT" w:eastAsia="en-US" w:bidi="ar-SA"/>
      </w:rPr>
    </w:lvl>
    <w:lvl w:ilvl="5">
      <w:numFmt w:val="bullet"/>
      <w:lvlText w:val="•"/>
      <w:lvlJc w:val="left"/>
      <w:pPr>
        <w:ind w:left="5037" w:hanging="572"/>
      </w:pPr>
      <w:rPr>
        <w:rFonts w:hint="default"/>
        <w:lang w:val="pt-PT" w:eastAsia="en-US" w:bidi="ar-SA"/>
      </w:rPr>
    </w:lvl>
    <w:lvl w:ilvl="6">
      <w:numFmt w:val="bullet"/>
      <w:lvlText w:val="•"/>
      <w:lvlJc w:val="left"/>
      <w:pPr>
        <w:ind w:left="6126" w:hanging="572"/>
      </w:pPr>
      <w:rPr>
        <w:rFonts w:hint="default"/>
        <w:lang w:val="pt-PT" w:eastAsia="en-US" w:bidi="ar-SA"/>
      </w:rPr>
    </w:lvl>
    <w:lvl w:ilvl="7">
      <w:numFmt w:val="bullet"/>
      <w:lvlText w:val="•"/>
      <w:lvlJc w:val="left"/>
      <w:pPr>
        <w:ind w:left="7216" w:hanging="572"/>
      </w:pPr>
      <w:rPr>
        <w:rFonts w:hint="default"/>
        <w:lang w:val="pt-PT" w:eastAsia="en-US" w:bidi="ar-SA"/>
      </w:rPr>
    </w:lvl>
    <w:lvl w:ilvl="8">
      <w:numFmt w:val="bullet"/>
      <w:lvlText w:val="•"/>
      <w:lvlJc w:val="left"/>
      <w:pPr>
        <w:ind w:left="8305" w:hanging="572"/>
      </w:pPr>
      <w:rPr>
        <w:rFonts w:hint="default"/>
        <w:lang w:val="pt-PT" w:eastAsia="en-US" w:bidi="ar-SA"/>
      </w:rPr>
    </w:lvl>
  </w:abstractNum>
  <w:abstractNum w:abstractNumId="5" w15:restartNumberingAfterBreak="0">
    <w:nsid w:val="394A0704"/>
    <w:multiLevelType w:val="hybridMultilevel"/>
    <w:tmpl w:val="922891F2"/>
    <w:lvl w:ilvl="0" w:tplc="99B439B2">
      <w:start w:val="1"/>
      <w:numFmt w:val="decimal"/>
      <w:pStyle w:val="SubSub"/>
      <w:suff w:val="space"/>
      <w:lvlText w:val="%1."/>
      <w:lvlJc w:val="left"/>
      <w:pPr>
        <w:ind w:left="0" w:firstLine="1134"/>
      </w:pPr>
      <w:rPr>
        <w:rFonts w:hint="default"/>
        <w:b/>
        <w:bCs/>
      </w:rPr>
    </w:lvl>
    <w:lvl w:ilvl="1" w:tplc="79260CF2">
      <w:start w:val="1"/>
      <w:numFmt w:val="lowerLetter"/>
      <w:lvlText w:val="%2."/>
      <w:lvlJc w:val="left"/>
      <w:pPr>
        <w:ind w:left="1440" w:hanging="360"/>
      </w:pPr>
      <w:rPr>
        <w:b/>
        <w:bCs/>
      </w:rPr>
    </w:lvl>
    <w:lvl w:ilvl="2" w:tplc="0416001B">
      <w:start w:val="1"/>
      <w:numFmt w:val="lowerRoman"/>
      <w:lvlText w:val="%3."/>
      <w:lvlJc w:val="right"/>
      <w:pPr>
        <w:ind w:left="2160" w:hanging="18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9604E45"/>
    <w:multiLevelType w:val="hybridMultilevel"/>
    <w:tmpl w:val="6E7CF142"/>
    <w:lvl w:ilvl="0" w:tplc="718468DE">
      <w:start w:val="1"/>
      <w:numFmt w:val="upperRoman"/>
      <w:suff w:val="space"/>
      <w:lvlText w:val="%1)"/>
      <w:lvlJc w:val="left"/>
      <w:pPr>
        <w:ind w:left="0" w:firstLine="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EB7347A"/>
    <w:multiLevelType w:val="hybridMultilevel"/>
    <w:tmpl w:val="EFE26430"/>
    <w:lvl w:ilvl="0" w:tplc="1D62C058">
      <w:start w:val="1"/>
      <w:numFmt w:val="lowerLetter"/>
      <w:lvlText w:val="%1)"/>
      <w:lvlJc w:val="left"/>
      <w:pPr>
        <w:ind w:left="567" w:hanging="340"/>
      </w:pPr>
    </w:lvl>
    <w:lvl w:ilvl="1" w:tplc="924E48D0">
      <w:numFmt w:val="decimal"/>
      <w:lvlText w:val=""/>
      <w:lvlJc w:val="left"/>
    </w:lvl>
    <w:lvl w:ilvl="2" w:tplc="AB16DCB2">
      <w:numFmt w:val="decimal"/>
      <w:lvlText w:val=""/>
      <w:lvlJc w:val="left"/>
    </w:lvl>
    <w:lvl w:ilvl="3" w:tplc="18BAF0A2">
      <w:numFmt w:val="decimal"/>
      <w:lvlText w:val=""/>
      <w:lvlJc w:val="left"/>
    </w:lvl>
    <w:lvl w:ilvl="4" w:tplc="FFB8EC32">
      <w:numFmt w:val="decimal"/>
      <w:lvlText w:val=""/>
      <w:lvlJc w:val="left"/>
    </w:lvl>
    <w:lvl w:ilvl="5" w:tplc="02AAAD6A">
      <w:numFmt w:val="decimal"/>
      <w:lvlText w:val=""/>
      <w:lvlJc w:val="left"/>
    </w:lvl>
    <w:lvl w:ilvl="6" w:tplc="7182E8D6">
      <w:numFmt w:val="decimal"/>
      <w:lvlText w:val=""/>
      <w:lvlJc w:val="left"/>
    </w:lvl>
    <w:lvl w:ilvl="7" w:tplc="074A1DD2">
      <w:numFmt w:val="decimal"/>
      <w:lvlText w:val=""/>
      <w:lvlJc w:val="left"/>
    </w:lvl>
    <w:lvl w:ilvl="8" w:tplc="61904056">
      <w:numFmt w:val="decimal"/>
      <w:lvlText w:val=""/>
      <w:lvlJc w:val="left"/>
    </w:lvl>
  </w:abstractNum>
  <w:abstractNum w:abstractNumId="8" w15:restartNumberingAfterBreak="0">
    <w:nsid w:val="4F355D1F"/>
    <w:multiLevelType w:val="hybridMultilevel"/>
    <w:tmpl w:val="754A1A3E"/>
    <w:lvl w:ilvl="0" w:tplc="0EFEA79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5F25B3B"/>
    <w:multiLevelType w:val="hybridMultilevel"/>
    <w:tmpl w:val="529A43EE"/>
    <w:lvl w:ilvl="0" w:tplc="51AED4FE">
      <w:start w:val="1"/>
      <w:numFmt w:val="bullet"/>
      <w:lvlText w:val="•"/>
      <w:lvlJc w:val="left"/>
      <w:pPr>
        <w:ind w:left="1080" w:hanging="360"/>
      </w:pPr>
    </w:lvl>
    <w:lvl w:ilvl="1" w:tplc="C0EA8A7C">
      <w:numFmt w:val="decimal"/>
      <w:lvlText w:val=""/>
      <w:lvlJc w:val="left"/>
    </w:lvl>
    <w:lvl w:ilvl="2" w:tplc="60A40404">
      <w:numFmt w:val="decimal"/>
      <w:lvlText w:val=""/>
      <w:lvlJc w:val="left"/>
    </w:lvl>
    <w:lvl w:ilvl="3" w:tplc="5BDEBA3C">
      <w:numFmt w:val="decimal"/>
      <w:lvlText w:val=""/>
      <w:lvlJc w:val="left"/>
    </w:lvl>
    <w:lvl w:ilvl="4" w:tplc="1A44EE1E">
      <w:numFmt w:val="decimal"/>
      <w:lvlText w:val=""/>
      <w:lvlJc w:val="left"/>
    </w:lvl>
    <w:lvl w:ilvl="5" w:tplc="9354639E">
      <w:numFmt w:val="decimal"/>
      <w:lvlText w:val=""/>
      <w:lvlJc w:val="left"/>
    </w:lvl>
    <w:lvl w:ilvl="6" w:tplc="07E8B194">
      <w:numFmt w:val="decimal"/>
      <w:lvlText w:val=""/>
      <w:lvlJc w:val="left"/>
    </w:lvl>
    <w:lvl w:ilvl="7" w:tplc="1170642A">
      <w:numFmt w:val="decimal"/>
      <w:lvlText w:val=""/>
      <w:lvlJc w:val="left"/>
    </w:lvl>
    <w:lvl w:ilvl="8" w:tplc="30C440B6">
      <w:numFmt w:val="decimal"/>
      <w:lvlText w:val=""/>
      <w:lvlJc w:val="left"/>
    </w:lvl>
  </w:abstractNum>
  <w:abstractNum w:abstractNumId="10" w15:restartNumberingAfterBreak="0">
    <w:nsid w:val="589C10FF"/>
    <w:multiLevelType w:val="multilevel"/>
    <w:tmpl w:val="4F443F1E"/>
    <w:lvl w:ilvl="0">
      <w:start w:val="1"/>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ECD3705"/>
    <w:multiLevelType w:val="hybridMultilevel"/>
    <w:tmpl w:val="25769784"/>
    <w:lvl w:ilvl="0" w:tplc="83CA702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0A67D25"/>
    <w:multiLevelType w:val="multilevel"/>
    <w:tmpl w:val="9DBCD144"/>
    <w:lvl w:ilvl="0">
      <w:start w:val="1"/>
      <w:numFmt w:val="decimal"/>
      <w:lvlText w:val="%1."/>
      <w:lvlJc w:val="left"/>
      <w:pPr>
        <w:ind w:left="408" w:hanging="408"/>
      </w:pPr>
      <w:rPr>
        <w:rFonts w:hint="default"/>
      </w:rPr>
    </w:lvl>
    <w:lvl w:ilvl="1">
      <w:start w:val="1"/>
      <w:numFmt w:val="decimal"/>
      <w:pStyle w:val="Ttulo2"/>
      <w:lvlText w:val="%1.%2."/>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65A82620"/>
    <w:multiLevelType w:val="multilevel"/>
    <w:tmpl w:val="CB60C3F4"/>
    <w:lvl w:ilvl="0">
      <w:start w:val="1"/>
      <w:numFmt w:val="decimal"/>
      <w:lvlText w:val="%1."/>
      <w:lvlJc w:val="left"/>
      <w:pPr>
        <w:ind w:left="360" w:hanging="360"/>
      </w:pPr>
      <w:rPr>
        <w:rFonts w:hint="default"/>
      </w:rPr>
    </w:lvl>
    <w:lvl w:ilvl="1">
      <w:start w:val="1"/>
      <w:numFmt w:val="decimal"/>
      <w:suff w:val="space"/>
      <w:lvlText w:val="%1.%2)"/>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42802E4"/>
    <w:multiLevelType w:val="multilevel"/>
    <w:tmpl w:val="51E06DAA"/>
    <w:lvl w:ilvl="0">
      <w:start w:val="1"/>
      <w:numFmt w:val="upperRoman"/>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5947D4D"/>
    <w:multiLevelType w:val="multilevel"/>
    <w:tmpl w:val="7292B4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81A4C9D"/>
    <w:multiLevelType w:val="hybridMultilevel"/>
    <w:tmpl w:val="076E4380"/>
    <w:lvl w:ilvl="0" w:tplc="9A727C40">
      <w:start w:val="3"/>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B1D5F8D"/>
    <w:multiLevelType w:val="hybridMultilevel"/>
    <w:tmpl w:val="033EBF72"/>
    <w:lvl w:ilvl="0" w:tplc="2FE607F0">
      <w:start w:val="1"/>
      <w:numFmt w:val="lowerRoman"/>
      <w:lvlText w:val="(%1)"/>
      <w:lvlJc w:val="left"/>
      <w:pPr>
        <w:ind w:left="1080" w:hanging="540"/>
      </w:pPr>
    </w:lvl>
    <w:lvl w:ilvl="1" w:tplc="E5FA6C22">
      <w:numFmt w:val="decimal"/>
      <w:lvlText w:val=""/>
      <w:lvlJc w:val="left"/>
    </w:lvl>
    <w:lvl w:ilvl="2" w:tplc="BDB4320E">
      <w:numFmt w:val="decimal"/>
      <w:lvlText w:val=""/>
      <w:lvlJc w:val="left"/>
    </w:lvl>
    <w:lvl w:ilvl="3" w:tplc="A4D28AF6">
      <w:numFmt w:val="decimal"/>
      <w:lvlText w:val=""/>
      <w:lvlJc w:val="left"/>
    </w:lvl>
    <w:lvl w:ilvl="4" w:tplc="5F64F0D2">
      <w:numFmt w:val="decimal"/>
      <w:lvlText w:val=""/>
      <w:lvlJc w:val="left"/>
    </w:lvl>
    <w:lvl w:ilvl="5" w:tplc="580E6C5C">
      <w:numFmt w:val="decimal"/>
      <w:lvlText w:val=""/>
      <w:lvlJc w:val="left"/>
    </w:lvl>
    <w:lvl w:ilvl="6" w:tplc="69B23112">
      <w:numFmt w:val="decimal"/>
      <w:lvlText w:val=""/>
      <w:lvlJc w:val="left"/>
    </w:lvl>
    <w:lvl w:ilvl="7" w:tplc="FCB2EF6C">
      <w:numFmt w:val="decimal"/>
      <w:lvlText w:val=""/>
      <w:lvlJc w:val="left"/>
    </w:lvl>
    <w:lvl w:ilvl="8" w:tplc="A4FA9F26">
      <w:numFmt w:val="decimal"/>
      <w:lvlText w:val=""/>
      <w:lvlJc w:val="left"/>
    </w:lvl>
  </w:abstractNum>
  <w:num w:numId="1" w16cid:durableId="735589863">
    <w:abstractNumId w:val="7"/>
    <w:lvlOverride w:ilvl="0">
      <w:startOverride w:val="1"/>
    </w:lvlOverride>
  </w:num>
  <w:num w:numId="2" w16cid:durableId="1346325591">
    <w:abstractNumId w:val="3"/>
  </w:num>
  <w:num w:numId="3" w16cid:durableId="1626039666">
    <w:abstractNumId w:val="13"/>
  </w:num>
  <w:num w:numId="4" w16cid:durableId="1074279250">
    <w:abstractNumId w:val="7"/>
  </w:num>
  <w:num w:numId="5" w16cid:durableId="1638687020">
    <w:abstractNumId w:val="3"/>
    <w:lvlOverride w:ilvl="0">
      <w:startOverride w:val="1"/>
    </w:lvlOverride>
    <w:lvlOverride w:ilvl="1">
      <w:startOverride w:val="1"/>
    </w:lvlOverride>
    <w:lvlOverride w:ilvl="2">
      <w:startOverride w:val="10"/>
    </w:lvlOverride>
  </w:num>
  <w:num w:numId="6" w16cid:durableId="1224297555">
    <w:abstractNumId w:val="12"/>
  </w:num>
  <w:num w:numId="7" w16cid:durableId="1653409094">
    <w:abstractNumId w:val="11"/>
  </w:num>
  <w:num w:numId="8" w16cid:durableId="1029336728">
    <w:abstractNumId w:val="8"/>
  </w:num>
  <w:num w:numId="9" w16cid:durableId="1548293731">
    <w:abstractNumId w:val="14"/>
  </w:num>
  <w:num w:numId="10" w16cid:durableId="1532113339">
    <w:abstractNumId w:val="16"/>
  </w:num>
  <w:num w:numId="11" w16cid:durableId="1868060637">
    <w:abstractNumId w:val="2"/>
  </w:num>
  <w:num w:numId="12" w16cid:durableId="1533229826">
    <w:abstractNumId w:val="12"/>
    <w:lvlOverride w:ilvl="0">
      <w:startOverride w:val="3"/>
    </w:lvlOverride>
    <w:lvlOverride w:ilvl="1">
      <w:startOverride w:val="1"/>
    </w:lvlOverride>
  </w:num>
  <w:num w:numId="13" w16cid:durableId="1917129542">
    <w:abstractNumId w:val="12"/>
    <w:lvlOverride w:ilvl="0">
      <w:startOverride w:val="3"/>
    </w:lvlOverride>
    <w:lvlOverride w:ilvl="1">
      <w:startOverride w:val="1"/>
    </w:lvlOverride>
  </w:num>
  <w:num w:numId="14" w16cid:durableId="570624786">
    <w:abstractNumId w:val="10"/>
  </w:num>
  <w:num w:numId="15" w16cid:durableId="470172818">
    <w:abstractNumId w:val="4"/>
  </w:num>
  <w:num w:numId="16" w16cid:durableId="946233346">
    <w:abstractNumId w:val="6"/>
  </w:num>
  <w:num w:numId="17" w16cid:durableId="330333857">
    <w:abstractNumId w:val="1"/>
  </w:num>
  <w:num w:numId="18" w16cid:durableId="148864864">
    <w:abstractNumId w:val="5"/>
  </w:num>
  <w:num w:numId="19" w16cid:durableId="763920309">
    <w:abstractNumId w:val="9"/>
    <w:lvlOverride w:ilvl="0">
      <w:startOverride w:val="1"/>
    </w:lvlOverride>
  </w:num>
  <w:num w:numId="20" w16cid:durableId="1610352978">
    <w:abstractNumId w:val="17"/>
    <w:lvlOverride w:ilvl="0">
      <w:startOverride w:val="1"/>
    </w:lvlOverride>
  </w:num>
  <w:num w:numId="21" w16cid:durableId="152842541">
    <w:abstractNumId w:val="15"/>
  </w:num>
  <w:num w:numId="22" w16cid:durableId="1221552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9F"/>
    <w:rsid w:val="00005A47"/>
    <w:rsid w:val="00055C8A"/>
    <w:rsid w:val="000E0C4C"/>
    <w:rsid w:val="000E6676"/>
    <w:rsid w:val="00144789"/>
    <w:rsid w:val="00190668"/>
    <w:rsid w:val="001E246B"/>
    <w:rsid w:val="0022655A"/>
    <w:rsid w:val="00273C3A"/>
    <w:rsid w:val="003414E7"/>
    <w:rsid w:val="003601D3"/>
    <w:rsid w:val="003931E1"/>
    <w:rsid w:val="003F0A12"/>
    <w:rsid w:val="003F204E"/>
    <w:rsid w:val="003F74E8"/>
    <w:rsid w:val="004858EB"/>
    <w:rsid w:val="00485C8A"/>
    <w:rsid w:val="004A5552"/>
    <w:rsid w:val="004C3F3A"/>
    <w:rsid w:val="004E4431"/>
    <w:rsid w:val="0054267E"/>
    <w:rsid w:val="005C71AB"/>
    <w:rsid w:val="006255B4"/>
    <w:rsid w:val="00642B05"/>
    <w:rsid w:val="00696A35"/>
    <w:rsid w:val="006B3B86"/>
    <w:rsid w:val="006F3DDA"/>
    <w:rsid w:val="007B7972"/>
    <w:rsid w:val="00817178"/>
    <w:rsid w:val="008378E9"/>
    <w:rsid w:val="00886471"/>
    <w:rsid w:val="008A549F"/>
    <w:rsid w:val="008D0FD2"/>
    <w:rsid w:val="008E25E4"/>
    <w:rsid w:val="009228AC"/>
    <w:rsid w:val="00977576"/>
    <w:rsid w:val="009F5D5A"/>
    <w:rsid w:val="00A15195"/>
    <w:rsid w:val="00A4178D"/>
    <w:rsid w:val="00B00B38"/>
    <w:rsid w:val="00B427D3"/>
    <w:rsid w:val="00B51FAC"/>
    <w:rsid w:val="00BA192E"/>
    <w:rsid w:val="00BA2F68"/>
    <w:rsid w:val="00BA6FCE"/>
    <w:rsid w:val="00BC01E7"/>
    <w:rsid w:val="00BF6385"/>
    <w:rsid w:val="00BF77E6"/>
    <w:rsid w:val="00C21696"/>
    <w:rsid w:val="00CC36E1"/>
    <w:rsid w:val="00D23383"/>
    <w:rsid w:val="00D3299D"/>
    <w:rsid w:val="00D43E97"/>
    <w:rsid w:val="00D52ADE"/>
    <w:rsid w:val="00D52BB0"/>
    <w:rsid w:val="00D53A19"/>
    <w:rsid w:val="00E13B2D"/>
    <w:rsid w:val="00E9127E"/>
    <w:rsid w:val="00F61903"/>
    <w:rsid w:val="00F67903"/>
    <w:rsid w:val="00FA3340"/>
    <w:rsid w:val="00FB168F"/>
    <w:rsid w:val="00FF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693E4A5"/>
  <w15:chartTrackingRefBased/>
  <w15:docId w15:val="{F84F9B6D-B6FE-4EA7-8D9D-401A1814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5E4"/>
    <w:pPr>
      <w:spacing w:after="0" w:line="240" w:lineRule="auto"/>
    </w:pPr>
    <w:rPr>
      <w:rFonts w:ascii="Century Gothic" w:eastAsia="Century Gothic" w:hAnsi="Century Gothic" w:cs="Century Gothic"/>
      <w:kern w:val="0"/>
      <w:sz w:val="22"/>
      <w:szCs w:val="24"/>
      <w:lang w:val="pt-BR" w:eastAsia="pt-BR"/>
      <w14:ligatures w14:val="none"/>
    </w:rPr>
  </w:style>
  <w:style w:type="paragraph" w:styleId="Ttulo1">
    <w:name w:val="heading 1"/>
    <w:link w:val="Ttulo1Char"/>
    <w:uiPriority w:val="9"/>
    <w:qFormat/>
    <w:rsid w:val="005C71AB"/>
    <w:pPr>
      <w:keepNext/>
      <w:numPr>
        <w:numId w:val="2"/>
      </w:numPr>
      <w:spacing w:before="360" w:after="240" w:line="240" w:lineRule="auto"/>
      <w:outlineLvl w:val="0"/>
    </w:pPr>
    <w:rPr>
      <w:rFonts w:ascii="Segoe UI Semibold" w:eastAsia="Segoe UI Semibold" w:hAnsi="Segoe UI Semibold" w:cs="Segoe UI Semibold"/>
      <w:b/>
      <w:bCs/>
      <w:color w:val="000000" w:themeColor="text1"/>
      <w:kern w:val="0"/>
      <w:sz w:val="21"/>
      <w:szCs w:val="26"/>
      <w:lang w:val="pt-BR" w:eastAsia="pt-BR"/>
      <w14:ligatures w14:val="none"/>
    </w:rPr>
  </w:style>
  <w:style w:type="paragraph" w:styleId="Ttulo2">
    <w:name w:val="heading 2"/>
    <w:basedOn w:val="Ttulo1"/>
    <w:link w:val="Ttulo2Char"/>
    <w:uiPriority w:val="9"/>
    <w:unhideWhenUsed/>
    <w:qFormat/>
    <w:rsid w:val="00E13B2D"/>
    <w:pPr>
      <w:numPr>
        <w:ilvl w:val="1"/>
        <w:numId w:val="6"/>
      </w:numPr>
      <w:spacing w:before="240" w:after="80"/>
      <w:outlineLvl w:val="1"/>
    </w:pPr>
    <w:rPr>
      <w:rFonts w:ascii="Century Gothic" w:hAnsi="Century Gothic"/>
      <w:color w:val="000000"/>
      <w:sz w:val="23"/>
      <w:szCs w:val="23"/>
    </w:rPr>
  </w:style>
  <w:style w:type="paragraph" w:styleId="Ttulo3">
    <w:name w:val="heading 3"/>
    <w:link w:val="Ttulo3Char"/>
    <w:uiPriority w:val="9"/>
    <w:unhideWhenUsed/>
    <w:qFormat/>
    <w:rsid w:val="006B3B86"/>
    <w:pPr>
      <w:keepNext/>
      <w:numPr>
        <w:ilvl w:val="2"/>
        <w:numId w:val="2"/>
      </w:numPr>
      <w:spacing w:before="200" w:after="60" w:line="276" w:lineRule="auto"/>
      <w:outlineLvl w:val="2"/>
    </w:pPr>
    <w:rPr>
      <w:rFonts w:ascii="Segoe UI" w:eastAsia="Segoe UI" w:hAnsi="Segoe UI" w:cs="Segoe UI"/>
      <w:iCs/>
      <w:color w:val="000000"/>
      <w:kern w:val="0"/>
      <w:sz w:val="21"/>
      <w:szCs w:val="21"/>
      <w:lang w:val="pt-BR" w:eastAsia="pt-BR"/>
      <w14:ligatures w14:val="none"/>
    </w:rPr>
  </w:style>
  <w:style w:type="paragraph" w:styleId="Ttulo4">
    <w:name w:val="heading 4"/>
    <w:link w:val="Ttulo4Char"/>
    <w:uiPriority w:val="9"/>
    <w:unhideWhenUsed/>
    <w:qFormat/>
    <w:rsid w:val="00D23383"/>
    <w:pPr>
      <w:numPr>
        <w:ilvl w:val="3"/>
        <w:numId w:val="2"/>
      </w:numPr>
      <w:spacing w:after="0" w:line="240" w:lineRule="auto"/>
      <w:outlineLvl w:val="3"/>
    </w:pPr>
    <w:rPr>
      <w:rFonts w:ascii="Segoe UI" w:eastAsia="Segoe UI" w:hAnsi="Segoe UI" w:cs="Segoe UI"/>
      <w:i/>
      <w:iCs/>
      <w:color w:val="2E74B5"/>
      <w:kern w:val="0"/>
      <w:sz w:val="21"/>
      <w:szCs w:val="21"/>
      <w:lang w:val="pt-BR" w:eastAsia="pt-BR"/>
      <w14:ligatures w14:val="none"/>
    </w:rPr>
  </w:style>
  <w:style w:type="paragraph" w:styleId="Ttulo5">
    <w:name w:val="heading 5"/>
    <w:link w:val="Ttulo5Char"/>
    <w:uiPriority w:val="9"/>
    <w:semiHidden/>
    <w:unhideWhenUsed/>
    <w:qFormat/>
    <w:rsid w:val="00D23383"/>
    <w:pPr>
      <w:numPr>
        <w:ilvl w:val="4"/>
        <w:numId w:val="2"/>
      </w:numPr>
      <w:spacing w:after="0" w:line="240" w:lineRule="auto"/>
      <w:outlineLvl w:val="4"/>
    </w:pPr>
    <w:rPr>
      <w:rFonts w:ascii="Segoe UI" w:eastAsia="Segoe UI" w:hAnsi="Segoe UI" w:cs="Segoe UI"/>
      <w:color w:val="2E74B5"/>
      <w:kern w:val="0"/>
      <w:sz w:val="21"/>
      <w:szCs w:val="21"/>
      <w:lang w:val="pt-BR" w:eastAsia="pt-BR"/>
      <w14:ligatures w14:val="none"/>
    </w:rPr>
  </w:style>
  <w:style w:type="paragraph" w:styleId="Ttulo6">
    <w:name w:val="heading 6"/>
    <w:link w:val="Ttulo6Char"/>
    <w:uiPriority w:val="9"/>
    <w:semiHidden/>
    <w:unhideWhenUsed/>
    <w:qFormat/>
    <w:rsid w:val="00D23383"/>
    <w:pPr>
      <w:numPr>
        <w:ilvl w:val="5"/>
        <w:numId w:val="2"/>
      </w:numPr>
      <w:spacing w:after="0" w:line="240" w:lineRule="auto"/>
      <w:outlineLvl w:val="5"/>
    </w:pPr>
    <w:rPr>
      <w:rFonts w:ascii="Segoe UI" w:eastAsia="Segoe UI" w:hAnsi="Segoe UI" w:cs="Segoe UI"/>
      <w:color w:val="1F4D78"/>
      <w:kern w:val="0"/>
      <w:sz w:val="21"/>
      <w:szCs w:val="21"/>
      <w:lang w:val="pt-BR" w:eastAsia="pt-BR"/>
      <w14:ligatures w14:val="none"/>
    </w:rPr>
  </w:style>
  <w:style w:type="paragraph" w:styleId="Ttulo7">
    <w:name w:val="heading 7"/>
    <w:basedOn w:val="Normal"/>
    <w:next w:val="Normal"/>
    <w:link w:val="Ttulo7Char"/>
    <w:uiPriority w:val="9"/>
    <w:semiHidden/>
    <w:unhideWhenUsed/>
    <w:qFormat/>
    <w:rsid w:val="00D23383"/>
    <w:pPr>
      <w:keepNext/>
      <w:keepLines/>
      <w:numPr>
        <w:ilvl w:val="6"/>
        <w:numId w:val="2"/>
      </w:numPr>
      <w:spacing w:before="40" w:after="160" w:line="288" w:lineRule="auto"/>
      <w:outlineLvl w:val="6"/>
    </w:pPr>
    <w:rPr>
      <w:rFonts w:asciiTheme="majorHAnsi" w:eastAsiaTheme="majorEastAsia" w:hAnsiTheme="majorHAnsi" w:cstheme="majorBidi"/>
      <w:i/>
      <w:iCs/>
      <w:color w:val="1F3763" w:themeColor="accent1" w:themeShade="7F"/>
      <w:sz w:val="21"/>
      <w:szCs w:val="21"/>
    </w:rPr>
  </w:style>
  <w:style w:type="paragraph" w:styleId="Ttulo8">
    <w:name w:val="heading 8"/>
    <w:basedOn w:val="Normal"/>
    <w:next w:val="Normal"/>
    <w:link w:val="Ttulo8Char"/>
    <w:uiPriority w:val="9"/>
    <w:semiHidden/>
    <w:unhideWhenUsed/>
    <w:qFormat/>
    <w:rsid w:val="00D23383"/>
    <w:pPr>
      <w:keepNext/>
      <w:keepLines/>
      <w:numPr>
        <w:ilvl w:val="7"/>
        <w:numId w:val="2"/>
      </w:numPr>
      <w:spacing w:before="40" w:after="160" w:line="288" w:lineRule="auto"/>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D23383"/>
    <w:pPr>
      <w:keepNext/>
      <w:keepLines/>
      <w:numPr>
        <w:ilvl w:val="8"/>
        <w:numId w:val="2"/>
      </w:numPr>
      <w:spacing w:before="40" w:after="160" w:line="288" w:lineRule="auto"/>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A549F"/>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CabealhoChar">
    <w:name w:val="Cabeçalho Char"/>
    <w:basedOn w:val="Fontepargpadro"/>
    <w:link w:val="Cabealho"/>
    <w:uiPriority w:val="99"/>
    <w:rsid w:val="008A549F"/>
  </w:style>
  <w:style w:type="paragraph" w:styleId="Rodap">
    <w:name w:val="footer"/>
    <w:basedOn w:val="Normal"/>
    <w:link w:val="RodapChar"/>
    <w:uiPriority w:val="99"/>
    <w:unhideWhenUsed/>
    <w:rsid w:val="008A549F"/>
    <w:pPr>
      <w:tabs>
        <w:tab w:val="center" w:pos="4680"/>
        <w:tab w:val="right" w:pos="9360"/>
      </w:tabs>
    </w:pPr>
    <w:rPr>
      <w:rFonts w:asciiTheme="minorHAnsi" w:eastAsiaTheme="minorHAnsi" w:hAnsiTheme="minorHAnsi" w:cstheme="minorBidi"/>
      <w:kern w:val="2"/>
      <w:sz w:val="22"/>
      <w:szCs w:val="22"/>
      <w:lang w:val="en-US" w:eastAsia="en-US"/>
      <w14:ligatures w14:val="standardContextual"/>
    </w:rPr>
  </w:style>
  <w:style w:type="character" w:customStyle="1" w:styleId="RodapChar">
    <w:name w:val="Rodapé Char"/>
    <w:basedOn w:val="Fontepargpadro"/>
    <w:link w:val="Rodap"/>
    <w:uiPriority w:val="99"/>
    <w:rsid w:val="008A549F"/>
  </w:style>
  <w:style w:type="character" w:customStyle="1" w:styleId="Ttulo1Char">
    <w:name w:val="Título 1 Char"/>
    <w:basedOn w:val="Fontepargpadro"/>
    <w:link w:val="Ttulo1"/>
    <w:uiPriority w:val="9"/>
    <w:rsid w:val="005C71AB"/>
    <w:rPr>
      <w:rFonts w:ascii="Segoe UI Semibold" w:eastAsia="Segoe UI Semibold" w:hAnsi="Segoe UI Semibold" w:cs="Segoe UI Semibold"/>
      <w:b/>
      <w:bCs/>
      <w:color w:val="000000" w:themeColor="text1"/>
      <w:kern w:val="0"/>
      <w:sz w:val="21"/>
      <w:szCs w:val="26"/>
      <w:lang w:val="pt-BR" w:eastAsia="pt-BR"/>
      <w14:ligatures w14:val="none"/>
    </w:rPr>
  </w:style>
  <w:style w:type="character" w:customStyle="1" w:styleId="Ttulo2Char">
    <w:name w:val="Título 2 Char"/>
    <w:basedOn w:val="Fontepargpadro"/>
    <w:link w:val="Ttulo2"/>
    <w:uiPriority w:val="9"/>
    <w:rsid w:val="00E13B2D"/>
    <w:rPr>
      <w:rFonts w:ascii="Century Gothic" w:eastAsia="Segoe UI Semibold" w:hAnsi="Century Gothic" w:cs="Segoe UI Semibold"/>
      <w:b/>
      <w:bCs/>
      <w:color w:val="000000"/>
      <w:kern w:val="0"/>
      <w:sz w:val="23"/>
      <w:szCs w:val="23"/>
      <w:lang w:val="pt-BR" w:eastAsia="pt-BR"/>
      <w14:ligatures w14:val="none"/>
    </w:rPr>
  </w:style>
  <w:style w:type="character" w:customStyle="1" w:styleId="Ttulo3Char">
    <w:name w:val="Título 3 Char"/>
    <w:basedOn w:val="Fontepargpadro"/>
    <w:link w:val="Ttulo3"/>
    <w:uiPriority w:val="9"/>
    <w:rsid w:val="006B3B86"/>
    <w:rPr>
      <w:rFonts w:ascii="Segoe UI" w:eastAsia="Segoe UI" w:hAnsi="Segoe UI" w:cs="Segoe UI"/>
      <w:iCs/>
      <w:color w:val="000000"/>
      <w:kern w:val="0"/>
      <w:sz w:val="21"/>
      <w:szCs w:val="21"/>
      <w:lang w:val="pt-BR" w:eastAsia="pt-BR"/>
      <w14:ligatures w14:val="none"/>
    </w:rPr>
  </w:style>
  <w:style w:type="character" w:customStyle="1" w:styleId="Ttulo4Char">
    <w:name w:val="Título 4 Char"/>
    <w:basedOn w:val="Fontepargpadro"/>
    <w:link w:val="Ttulo4"/>
    <w:uiPriority w:val="9"/>
    <w:rsid w:val="00D23383"/>
    <w:rPr>
      <w:rFonts w:ascii="Segoe UI" w:eastAsia="Segoe UI" w:hAnsi="Segoe UI" w:cs="Segoe UI"/>
      <w:i/>
      <w:iCs/>
      <w:color w:val="2E74B5"/>
      <w:kern w:val="0"/>
      <w:sz w:val="21"/>
      <w:szCs w:val="21"/>
      <w:lang w:val="pt-BR" w:eastAsia="pt-BR"/>
      <w14:ligatures w14:val="none"/>
    </w:rPr>
  </w:style>
  <w:style w:type="character" w:customStyle="1" w:styleId="Ttulo5Char">
    <w:name w:val="Título 5 Char"/>
    <w:basedOn w:val="Fontepargpadro"/>
    <w:link w:val="Ttulo5"/>
    <w:uiPriority w:val="9"/>
    <w:semiHidden/>
    <w:rsid w:val="00D23383"/>
    <w:rPr>
      <w:rFonts w:ascii="Segoe UI" w:eastAsia="Segoe UI" w:hAnsi="Segoe UI" w:cs="Segoe UI"/>
      <w:color w:val="2E74B5"/>
      <w:kern w:val="0"/>
      <w:sz w:val="21"/>
      <w:szCs w:val="21"/>
      <w:lang w:val="pt-BR" w:eastAsia="pt-BR"/>
      <w14:ligatures w14:val="none"/>
    </w:rPr>
  </w:style>
  <w:style w:type="character" w:customStyle="1" w:styleId="Ttulo6Char">
    <w:name w:val="Título 6 Char"/>
    <w:basedOn w:val="Fontepargpadro"/>
    <w:link w:val="Ttulo6"/>
    <w:uiPriority w:val="9"/>
    <w:semiHidden/>
    <w:rsid w:val="00D23383"/>
    <w:rPr>
      <w:rFonts w:ascii="Segoe UI" w:eastAsia="Segoe UI" w:hAnsi="Segoe UI" w:cs="Segoe UI"/>
      <w:color w:val="1F4D78"/>
      <w:kern w:val="0"/>
      <w:sz w:val="21"/>
      <w:szCs w:val="21"/>
      <w:lang w:val="pt-BR" w:eastAsia="pt-BR"/>
      <w14:ligatures w14:val="none"/>
    </w:rPr>
  </w:style>
  <w:style w:type="character" w:customStyle="1" w:styleId="Ttulo7Char">
    <w:name w:val="Título 7 Char"/>
    <w:basedOn w:val="Fontepargpadro"/>
    <w:link w:val="Ttulo7"/>
    <w:uiPriority w:val="9"/>
    <w:semiHidden/>
    <w:rsid w:val="00D23383"/>
    <w:rPr>
      <w:rFonts w:asciiTheme="majorHAnsi" w:eastAsiaTheme="majorEastAsia" w:hAnsiTheme="majorHAnsi" w:cstheme="majorBidi"/>
      <w:i/>
      <w:iCs/>
      <w:color w:val="1F3763" w:themeColor="accent1" w:themeShade="7F"/>
      <w:kern w:val="0"/>
      <w:sz w:val="21"/>
      <w:szCs w:val="21"/>
      <w:lang w:val="pt-BR" w:eastAsia="pt-BR"/>
      <w14:ligatures w14:val="none"/>
    </w:rPr>
  </w:style>
  <w:style w:type="character" w:customStyle="1" w:styleId="Ttulo8Char">
    <w:name w:val="Título 8 Char"/>
    <w:basedOn w:val="Fontepargpadro"/>
    <w:link w:val="Ttulo8"/>
    <w:uiPriority w:val="9"/>
    <w:semiHidden/>
    <w:rsid w:val="00D23383"/>
    <w:rPr>
      <w:rFonts w:asciiTheme="majorHAnsi" w:eastAsiaTheme="majorEastAsia" w:hAnsiTheme="majorHAnsi" w:cstheme="majorBidi"/>
      <w:color w:val="272727" w:themeColor="text1" w:themeTint="D8"/>
      <w:kern w:val="0"/>
      <w:sz w:val="21"/>
      <w:szCs w:val="21"/>
      <w:lang w:val="pt-BR" w:eastAsia="pt-BR"/>
      <w14:ligatures w14:val="none"/>
    </w:rPr>
  </w:style>
  <w:style w:type="character" w:customStyle="1" w:styleId="Ttulo9Char">
    <w:name w:val="Título 9 Char"/>
    <w:basedOn w:val="Fontepargpadro"/>
    <w:link w:val="Ttulo9"/>
    <w:uiPriority w:val="9"/>
    <w:semiHidden/>
    <w:rsid w:val="00D23383"/>
    <w:rPr>
      <w:rFonts w:asciiTheme="majorHAnsi" w:eastAsiaTheme="majorEastAsia" w:hAnsiTheme="majorHAnsi" w:cstheme="majorBidi"/>
      <w:i/>
      <w:iCs/>
      <w:color w:val="272727" w:themeColor="text1" w:themeTint="D8"/>
      <w:kern w:val="0"/>
      <w:sz w:val="21"/>
      <w:szCs w:val="21"/>
      <w:lang w:val="pt-BR" w:eastAsia="pt-BR"/>
      <w14:ligatures w14:val="none"/>
    </w:rPr>
  </w:style>
  <w:style w:type="paragraph" w:styleId="PargrafodaLista">
    <w:name w:val="List Paragraph"/>
    <w:link w:val="PargrafodaListaChar"/>
    <w:qFormat/>
    <w:rsid w:val="00D23383"/>
    <w:pPr>
      <w:spacing w:after="0" w:line="240" w:lineRule="auto"/>
    </w:pPr>
    <w:rPr>
      <w:rFonts w:ascii="Segoe UI" w:eastAsia="Segoe UI" w:hAnsi="Segoe UI" w:cs="Segoe UI"/>
      <w:kern w:val="0"/>
      <w:sz w:val="21"/>
      <w:szCs w:val="21"/>
      <w:lang w:val="pt-BR" w:eastAsia="pt-BR"/>
      <w14:ligatures w14:val="none"/>
    </w:rPr>
  </w:style>
  <w:style w:type="character" w:styleId="Refdenotaderodap">
    <w:name w:val="footnote reference"/>
    <w:uiPriority w:val="99"/>
    <w:semiHidden/>
    <w:unhideWhenUsed/>
    <w:rsid w:val="00D23383"/>
    <w:rPr>
      <w:vertAlign w:val="superscript"/>
    </w:rPr>
  </w:style>
  <w:style w:type="table" w:styleId="TabeladeGradeClara">
    <w:name w:val="Grid Table Light"/>
    <w:basedOn w:val="Tabelanormal"/>
    <w:uiPriority w:val="40"/>
    <w:rsid w:val="00D23383"/>
    <w:pPr>
      <w:spacing w:after="0" w:line="240" w:lineRule="auto"/>
    </w:pPr>
    <w:rPr>
      <w:rFonts w:ascii="Segoe UI" w:eastAsia="Segoe UI" w:hAnsi="Segoe UI" w:cs="Segoe UI"/>
      <w:kern w:val="0"/>
      <w:sz w:val="21"/>
      <w:szCs w:val="21"/>
      <w:lang w:val="pt-BR" w:eastAsia="pt-BR"/>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2">
    <w:name w:val="Plain Table 2"/>
    <w:basedOn w:val="Tabelanormal"/>
    <w:uiPriority w:val="42"/>
    <w:rsid w:val="00D2338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977576"/>
    <w:pPr>
      <w:spacing w:before="100" w:beforeAutospacing="1" w:after="100" w:afterAutospacing="1"/>
    </w:pPr>
    <w:rPr>
      <w:rFonts w:ascii="Times New Roman" w:eastAsia="Times New Roman" w:hAnsi="Times New Roman" w:cs="Times New Roman"/>
    </w:rPr>
  </w:style>
  <w:style w:type="character" w:styleId="Forte">
    <w:name w:val="Strong"/>
    <w:basedOn w:val="Fontepargpadro"/>
    <w:uiPriority w:val="22"/>
    <w:qFormat/>
    <w:rsid w:val="00977576"/>
    <w:rPr>
      <w:b/>
      <w:bCs/>
    </w:rPr>
  </w:style>
  <w:style w:type="paragraph" w:customStyle="1" w:styleId="Sub">
    <w:name w:val="Sub"/>
    <w:basedOn w:val="PargrafodaLista"/>
    <w:link w:val="SubChar"/>
    <w:qFormat/>
    <w:rsid w:val="00BA192E"/>
    <w:pPr>
      <w:numPr>
        <w:ilvl w:val="1"/>
        <w:numId w:val="17"/>
      </w:numPr>
      <w:spacing w:before="400" w:after="200"/>
      <w:jc w:val="both"/>
    </w:pPr>
    <w:rPr>
      <w:rFonts w:ascii="Century Gothic" w:hAnsi="Century Gothic"/>
      <w:b/>
      <w:bCs/>
      <w:u w:val="single"/>
    </w:rPr>
  </w:style>
  <w:style w:type="paragraph" w:customStyle="1" w:styleId="SubSub">
    <w:name w:val="SubSub"/>
    <w:basedOn w:val="PargrafodaLista"/>
    <w:link w:val="SubSubChar"/>
    <w:qFormat/>
    <w:rsid w:val="00BA192E"/>
    <w:pPr>
      <w:numPr>
        <w:numId w:val="18"/>
      </w:numPr>
      <w:spacing w:before="400" w:after="200"/>
      <w:jc w:val="both"/>
    </w:pPr>
    <w:rPr>
      <w:rFonts w:ascii="Century Gothic" w:hAnsi="Century Gothic"/>
      <w:sz w:val="22"/>
      <w:szCs w:val="22"/>
    </w:rPr>
  </w:style>
  <w:style w:type="character" w:customStyle="1" w:styleId="PargrafodaListaChar">
    <w:name w:val="Parágrafo da Lista Char"/>
    <w:basedOn w:val="Fontepargpadro"/>
    <w:link w:val="PargrafodaLista"/>
    <w:rsid w:val="00BA192E"/>
    <w:rPr>
      <w:rFonts w:ascii="Segoe UI" w:eastAsia="Segoe UI" w:hAnsi="Segoe UI" w:cs="Segoe UI"/>
      <w:kern w:val="0"/>
      <w:sz w:val="21"/>
      <w:szCs w:val="21"/>
      <w:lang w:val="pt-BR" w:eastAsia="pt-BR"/>
      <w14:ligatures w14:val="none"/>
    </w:rPr>
  </w:style>
  <w:style w:type="character" w:customStyle="1" w:styleId="SubChar">
    <w:name w:val="Sub Char"/>
    <w:basedOn w:val="PargrafodaListaChar"/>
    <w:link w:val="Sub"/>
    <w:rsid w:val="00BA192E"/>
    <w:rPr>
      <w:rFonts w:ascii="Century Gothic" w:eastAsia="Segoe UI" w:hAnsi="Century Gothic" w:cs="Segoe UI"/>
      <w:b/>
      <w:bCs/>
      <w:kern w:val="0"/>
      <w:sz w:val="21"/>
      <w:szCs w:val="21"/>
      <w:u w:val="single"/>
      <w:lang w:val="pt-BR" w:eastAsia="pt-BR"/>
      <w14:ligatures w14:val="none"/>
    </w:rPr>
  </w:style>
  <w:style w:type="character" w:customStyle="1" w:styleId="SubSubChar">
    <w:name w:val="SubSub Char"/>
    <w:basedOn w:val="PargrafodaListaChar"/>
    <w:link w:val="SubSub"/>
    <w:rsid w:val="00BA192E"/>
    <w:rPr>
      <w:rFonts w:ascii="Century Gothic" w:eastAsia="Segoe UI" w:hAnsi="Century Gothic" w:cs="Segoe UI"/>
      <w:kern w:val="0"/>
      <w:sz w:val="21"/>
      <w:szCs w:val="21"/>
      <w:lang w:val="pt-BR"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560407">
      <w:bodyDiv w:val="1"/>
      <w:marLeft w:val="0"/>
      <w:marRight w:val="0"/>
      <w:marTop w:val="0"/>
      <w:marBottom w:val="0"/>
      <w:divBdr>
        <w:top w:val="none" w:sz="0" w:space="0" w:color="auto"/>
        <w:left w:val="none" w:sz="0" w:space="0" w:color="auto"/>
        <w:bottom w:val="none" w:sz="0" w:space="0" w:color="auto"/>
        <w:right w:val="none" w:sz="0" w:space="0" w:color="auto"/>
      </w:divBdr>
      <w:divsChild>
        <w:div w:id="386802198">
          <w:marLeft w:val="0"/>
          <w:marRight w:val="0"/>
          <w:marTop w:val="0"/>
          <w:marBottom w:val="0"/>
          <w:divBdr>
            <w:top w:val="none" w:sz="0" w:space="0" w:color="auto"/>
            <w:left w:val="none" w:sz="0" w:space="0" w:color="auto"/>
            <w:bottom w:val="none" w:sz="0" w:space="0" w:color="auto"/>
            <w:right w:val="none" w:sz="0" w:space="0" w:color="auto"/>
          </w:divBdr>
          <w:divsChild>
            <w:div w:id="1016540083">
              <w:marLeft w:val="0"/>
              <w:marRight w:val="0"/>
              <w:marTop w:val="0"/>
              <w:marBottom w:val="0"/>
              <w:divBdr>
                <w:top w:val="none" w:sz="0" w:space="0" w:color="auto"/>
                <w:left w:val="none" w:sz="0" w:space="0" w:color="auto"/>
                <w:bottom w:val="none" w:sz="0" w:space="0" w:color="auto"/>
                <w:right w:val="none" w:sz="0" w:space="0" w:color="auto"/>
              </w:divBdr>
              <w:divsChild>
                <w:div w:id="1935819315">
                  <w:marLeft w:val="0"/>
                  <w:marRight w:val="0"/>
                  <w:marTop w:val="0"/>
                  <w:marBottom w:val="0"/>
                  <w:divBdr>
                    <w:top w:val="none" w:sz="0" w:space="0" w:color="auto"/>
                    <w:left w:val="none" w:sz="0" w:space="0" w:color="auto"/>
                    <w:bottom w:val="none" w:sz="0" w:space="0" w:color="auto"/>
                    <w:right w:val="none" w:sz="0" w:space="0" w:color="auto"/>
                  </w:divBdr>
                  <w:divsChild>
                    <w:div w:id="108546396">
                      <w:marLeft w:val="0"/>
                      <w:marRight w:val="0"/>
                      <w:marTop w:val="0"/>
                      <w:marBottom w:val="0"/>
                      <w:divBdr>
                        <w:top w:val="none" w:sz="0" w:space="0" w:color="auto"/>
                        <w:left w:val="none" w:sz="0" w:space="0" w:color="auto"/>
                        <w:bottom w:val="none" w:sz="0" w:space="0" w:color="auto"/>
                        <w:right w:val="none" w:sz="0" w:space="0" w:color="auto"/>
                      </w:divBdr>
                      <w:divsChild>
                        <w:div w:id="684018019">
                          <w:marLeft w:val="0"/>
                          <w:marRight w:val="0"/>
                          <w:marTop w:val="0"/>
                          <w:marBottom w:val="0"/>
                          <w:divBdr>
                            <w:top w:val="none" w:sz="0" w:space="0" w:color="auto"/>
                            <w:left w:val="none" w:sz="0" w:space="0" w:color="auto"/>
                            <w:bottom w:val="none" w:sz="0" w:space="0" w:color="auto"/>
                            <w:right w:val="none" w:sz="0" w:space="0" w:color="auto"/>
                          </w:divBdr>
                          <w:divsChild>
                            <w:div w:id="1921327050">
                              <w:marLeft w:val="0"/>
                              <w:marRight w:val="0"/>
                              <w:marTop w:val="0"/>
                              <w:marBottom w:val="0"/>
                              <w:divBdr>
                                <w:top w:val="none" w:sz="0" w:space="0" w:color="auto"/>
                                <w:left w:val="none" w:sz="0" w:space="0" w:color="auto"/>
                                <w:bottom w:val="none" w:sz="0" w:space="0" w:color="auto"/>
                                <w:right w:val="none" w:sz="0" w:space="0" w:color="auto"/>
                              </w:divBdr>
                              <w:divsChild>
                                <w:div w:id="142308660">
                                  <w:marLeft w:val="0"/>
                                  <w:marRight w:val="0"/>
                                  <w:marTop w:val="0"/>
                                  <w:marBottom w:val="0"/>
                                  <w:divBdr>
                                    <w:top w:val="none" w:sz="0" w:space="0" w:color="auto"/>
                                    <w:left w:val="none" w:sz="0" w:space="0" w:color="auto"/>
                                    <w:bottom w:val="none" w:sz="0" w:space="0" w:color="auto"/>
                                    <w:right w:val="none" w:sz="0" w:space="0" w:color="auto"/>
                                  </w:divBdr>
                                  <w:divsChild>
                                    <w:div w:id="91154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3597566">
      <w:bodyDiv w:val="1"/>
      <w:marLeft w:val="0"/>
      <w:marRight w:val="0"/>
      <w:marTop w:val="0"/>
      <w:marBottom w:val="0"/>
      <w:divBdr>
        <w:top w:val="none" w:sz="0" w:space="0" w:color="auto"/>
        <w:left w:val="none" w:sz="0" w:space="0" w:color="auto"/>
        <w:bottom w:val="none" w:sz="0" w:space="0" w:color="auto"/>
        <w:right w:val="none" w:sz="0" w:space="0" w:color="auto"/>
      </w:divBdr>
    </w:div>
    <w:div w:id="1021125161">
      <w:bodyDiv w:val="1"/>
      <w:marLeft w:val="0"/>
      <w:marRight w:val="0"/>
      <w:marTop w:val="0"/>
      <w:marBottom w:val="0"/>
      <w:divBdr>
        <w:top w:val="none" w:sz="0" w:space="0" w:color="auto"/>
        <w:left w:val="none" w:sz="0" w:space="0" w:color="auto"/>
        <w:bottom w:val="none" w:sz="0" w:space="0" w:color="auto"/>
        <w:right w:val="none" w:sz="0" w:space="0" w:color="auto"/>
      </w:divBdr>
    </w:div>
    <w:div w:id="1061103011">
      <w:bodyDiv w:val="1"/>
      <w:marLeft w:val="0"/>
      <w:marRight w:val="0"/>
      <w:marTop w:val="0"/>
      <w:marBottom w:val="0"/>
      <w:divBdr>
        <w:top w:val="none" w:sz="0" w:space="0" w:color="auto"/>
        <w:left w:val="none" w:sz="0" w:space="0" w:color="auto"/>
        <w:bottom w:val="none" w:sz="0" w:space="0" w:color="auto"/>
        <w:right w:val="none" w:sz="0" w:space="0" w:color="auto"/>
      </w:divBdr>
      <w:divsChild>
        <w:div w:id="70009862">
          <w:marLeft w:val="0"/>
          <w:marRight w:val="0"/>
          <w:marTop w:val="0"/>
          <w:marBottom w:val="0"/>
          <w:divBdr>
            <w:top w:val="none" w:sz="0" w:space="0" w:color="auto"/>
            <w:left w:val="none" w:sz="0" w:space="0" w:color="auto"/>
            <w:bottom w:val="none" w:sz="0" w:space="0" w:color="auto"/>
            <w:right w:val="none" w:sz="0" w:space="0" w:color="auto"/>
          </w:divBdr>
          <w:divsChild>
            <w:div w:id="1153372672">
              <w:marLeft w:val="0"/>
              <w:marRight w:val="0"/>
              <w:marTop w:val="0"/>
              <w:marBottom w:val="0"/>
              <w:divBdr>
                <w:top w:val="none" w:sz="0" w:space="0" w:color="auto"/>
                <w:left w:val="none" w:sz="0" w:space="0" w:color="auto"/>
                <w:bottom w:val="none" w:sz="0" w:space="0" w:color="auto"/>
                <w:right w:val="none" w:sz="0" w:space="0" w:color="auto"/>
              </w:divBdr>
              <w:divsChild>
                <w:div w:id="1872570860">
                  <w:marLeft w:val="0"/>
                  <w:marRight w:val="0"/>
                  <w:marTop w:val="0"/>
                  <w:marBottom w:val="0"/>
                  <w:divBdr>
                    <w:top w:val="none" w:sz="0" w:space="0" w:color="auto"/>
                    <w:left w:val="none" w:sz="0" w:space="0" w:color="auto"/>
                    <w:bottom w:val="none" w:sz="0" w:space="0" w:color="auto"/>
                    <w:right w:val="none" w:sz="0" w:space="0" w:color="auto"/>
                  </w:divBdr>
                  <w:divsChild>
                    <w:div w:id="1525247564">
                      <w:marLeft w:val="0"/>
                      <w:marRight w:val="0"/>
                      <w:marTop w:val="0"/>
                      <w:marBottom w:val="0"/>
                      <w:divBdr>
                        <w:top w:val="none" w:sz="0" w:space="0" w:color="auto"/>
                        <w:left w:val="none" w:sz="0" w:space="0" w:color="auto"/>
                        <w:bottom w:val="none" w:sz="0" w:space="0" w:color="auto"/>
                        <w:right w:val="none" w:sz="0" w:space="0" w:color="auto"/>
                      </w:divBdr>
                      <w:divsChild>
                        <w:div w:id="1200627540">
                          <w:marLeft w:val="0"/>
                          <w:marRight w:val="0"/>
                          <w:marTop w:val="0"/>
                          <w:marBottom w:val="0"/>
                          <w:divBdr>
                            <w:top w:val="none" w:sz="0" w:space="0" w:color="auto"/>
                            <w:left w:val="none" w:sz="0" w:space="0" w:color="auto"/>
                            <w:bottom w:val="none" w:sz="0" w:space="0" w:color="auto"/>
                            <w:right w:val="none" w:sz="0" w:space="0" w:color="auto"/>
                          </w:divBdr>
                          <w:divsChild>
                            <w:div w:id="183521741">
                              <w:marLeft w:val="0"/>
                              <w:marRight w:val="0"/>
                              <w:marTop w:val="0"/>
                              <w:marBottom w:val="0"/>
                              <w:divBdr>
                                <w:top w:val="none" w:sz="0" w:space="0" w:color="auto"/>
                                <w:left w:val="none" w:sz="0" w:space="0" w:color="auto"/>
                                <w:bottom w:val="none" w:sz="0" w:space="0" w:color="auto"/>
                                <w:right w:val="none" w:sz="0" w:space="0" w:color="auto"/>
                              </w:divBdr>
                              <w:divsChild>
                                <w:div w:id="1443914866">
                                  <w:marLeft w:val="0"/>
                                  <w:marRight w:val="0"/>
                                  <w:marTop w:val="0"/>
                                  <w:marBottom w:val="0"/>
                                  <w:divBdr>
                                    <w:top w:val="none" w:sz="0" w:space="0" w:color="auto"/>
                                    <w:left w:val="none" w:sz="0" w:space="0" w:color="auto"/>
                                    <w:bottom w:val="none" w:sz="0" w:space="0" w:color="auto"/>
                                    <w:right w:val="none" w:sz="0" w:space="0" w:color="auto"/>
                                  </w:divBdr>
                                  <w:divsChild>
                                    <w:div w:id="125039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417021">
      <w:bodyDiv w:val="1"/>
      <w:marLeft w:val="0"/>
      <w:marRight w:val="0"/>
      <w:marTop w:val="0"/>
      <w:marBottom w:val="0"/>
      <w:divBdr>
        <w:top w:val="none" w:sz="0" w:space="0" w:color="auto"/>
        <w:left w:val="none" w:sz="0" w:space="0" w:color="auto"/>
        <w:bottom w:val="none" w:sz="0" w:space="0" w:color="auto"/>
        <w:right w:val="none" w:sz="0" w:space="0" w:color="auto"/>
      </w:divBdr>
      <w:divsChild>
        <w:div w:id="1456944904">
          <w:marLeft w:val="0"/>
          <w:marRight w:val="0"/>
          <w:marTop w:val="0"/>
          <w:marBottom w:val="0"/>
          <w:divBdr>
            <w:top w:val="none" w:sz="0" w:space="0" w:color="auto"/>
            <w:left w:val="none" w:sz="0" w:space="0" w:color="auto"/>
            <w:bottom w:val="none" w:sz="0" w:space="0" w:color="auto"/>
            <w:right w:val="none" w:sz="0" w:space="0" w:color="auto"/>
          </w:divBdr>
          <w:divsChild>
            <w:div w:id="1456951474">
              <w:marLeft w:val="0"/>
              <w:marRight w:val="0"/>
              <w:marTop w:val="0"/>
              <w:marBottom w:val="0"/>
              <w:divBdr>
                <w:top w:val="none" w:sz="0" w:space="0" w:color="auto"/>
                <w:left w:val="none" w:sz="0" w:space="0" w:color="auto"/>
                <w:bottom w:val="none" w:sz="0" w:space="0" w:color="auto"/>
                <w:right w:val="none" w:sz="0" w:space="0" w:color="auto"/>
              </w:divBdr>
              <w:divsChild>
                <w:div w:id="2091926825">
                  <w:marLeft w:val="0"/>
                  <w:marRight w:val="0"/>
                  <w:marTop w:val="0"/>
                  <w:marBottom w:val="0"/>
                  <w:divBdr>
                    <w:top w:val="none" w:sz="0" w:space="0" w:color="auto"/>
                    <w:left w:val="none" w:sz="0" w:space="0" w:color="auto"/>
                    <w:bottom w:val="none" w:sz="0" w:space="0" w:color="auto"/>
                    <w:right w:val="none" w:sz="0" w:space="0" w:color="auto"/>
                  </w:divBdr>
                  <w:divsChild>
                    <w:div w:id="1385183222">
                      <w:marLeft w:val="0"/>
                      <w:marRight w:val="0"/>
                      <w:marTop w:val="0"/>
                      <w:marBottom w:val="0"/>
                      <w:divBdr>
                        <w:top w:val="none" w:sz="0" w:space="0" w:color="auto"/>
                        <w:left w:val="none" w:sz="0" w:space="0" w:color="auto"/>
                        <w:bottom w:val="none" w:sz="0" w:space="0" w:color="auto"/>
                        <w:right w:val="none" w:sz="0" w:space="0" w:color="auto"/>
                      </w:divBdr>
                      <w:divsChild>
                        <w:div w:id="602226531">
                          <w:marLeft w:val="0"/>
                          <w:marRight w:val="0"/>
                          <w:marTop w:val="0"/>
                          <w:marBottom w:val="0"/>
                          <w:divBdr>
                            <w:top w:val="none" w:sz="0" w:space="0" w:color="auto"/>
                            <w:left w:val="none" w:sz="0" w:space="0" w:color="auto"/>
                            <w:bottom w:val="none" w:sz="0" w:space="0" w:color="auto"/>
                            <w:right w:val="none" w:sz="0" w:space="0" w:color="auto"/>
                          </w:divBdr>
                          <w:divsChild>
                            <w:div w:id="1344672924">
                              <w:marLeft w:val="0"/>
                              <w:marRight w:val="0"/>
                              <w:marTop w:val="0"/>
                              <w:marBottom w:val="0"/>
                              <w:divBdr>
                                <w:top w:val="none" w:sz="0" w:space="0" w:color="auto"/>
                                <w:left w:val="none" w:sz="0" w:space="0" w:color="auto"/>
                                <w:bottom w:val="none" w:sz="0" w:space="0" w:color="auto"/>
                                <w:right w:val="none" w:sz="0" w:space="0" w:color="auto"/>
                              </w:divBdr>
                              <w:divsChild>
                                <w:div w:id="1406563161">
                                  <w:marLeft w:val="0"/>
                                  <w:marRight w:val="0"/>
                                  <w:marTop w:val="0"/>
                                  <w:marBottom w:val="0"/>
                                  <w:divBdr>
                                    <w:top w:val="none" w:sz="0" w:space="0" w:color="auto"/>
                                    <w:left w:val="none" w:sz="0" w:space="0" w:color="auto"/>
                                    <w:bottom w:val="none" w:sz="0" w:space="0" w:color="auto"/>
                                    <w:right w:val="none" w:sz="0" w:space="0" w:color="auto"/>
                                  </w:divBdr>
                                  <w:divsChild>
                                    <w:div w:id="15376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012685">
      <w:bodyDiv w:val="1"/>
      <w:marLeft w:val="0"/>
      <w:marRight w:val="0"/>
      <w:marTop w:val="0"/>
      <w:marBottom w:val="0"/>
      <w:divBdr>
        <w:top w:val="none" w:sz="0" w:space="0" w:color="auto"/>
        <w:left w:val="none" w:sz="0" w:space="0" w:color="auto"/>
        <w:bottom w:val="none" w:sz="0" w:space="0" w:color="auto"/>
        <w:right w:val="none" w:sz="0" w:space="0" w:color="auto"/>
      </w:divBdr>
    </w:div>
    <w:div w:id="1948389548">
      <w:bodyDiv w:val="1"/>
      <w:marLeft w:val="0"/>
      <w:marRight w:val="0"/>
      <w:marTop w:val="0"/>
      <w:marBottom w:val="0"/>
      <w:divBdr>
        <w:top w:val="none" w:sz="0" w:space="0" w:color="auto"/>
        <w:left w:val="none" w:sz="0" w:space="0" w:color="auto"/>
        <w:bottom w:val="none" w:sz="0" w:space="0" w:color="auto"/>
        <w:right w:val="none" w:sz="0" w:space="0" w:color="auto"/>
      </w:divBdr>
    </w:div>
    <w:div w:id="205287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4"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83FCF-1EC6-4CEA-BF7D-D2ED6BC6F2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MERAKI ARTS BRASIL</dc:creator>
  <cp:keywords/>
  <dc:description/>
  <cp:lastModifiedBy>Nascimento Advogados</cp:lastModifiedBy>
  <cp:revision>12</cp:revision>
  <cp:lastPrinted>2026-04-21T19:37:00Z</cp:lastPrinted>
  <dcterms:created xsi:type="dcterms:W3CDTF">2026-04-27T15:11:00Z</dcterms:created>
  <dcterms:modified xsi:type="dcterms:W3CDTF">2026-05-27T23:19:00Z</dcterms:modified>
</cp:coreProperties>
</file>