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0" w:after="200" w:line="240" w:lineRule="auto"/>
        <w:ind w:firstLine="0"/>
        <w:jc w:val="both"/>
      </w:pPr>
      <w:r>
        <w:rPr>
          <w:rFonts w:ascii="Century Gothic" w:hAnsi="Century Gothic" w:cs="Century Gothic" w:eastAsia="Century Gothic"/>
          <w:sz w:val="22"/>
        </w:rPr>
        <w:t>EXCELENTÍSSIMO(A) SENHOR(A) DOUTOR(A) JUIZ(A) DE DIREITO DA VARA CÍVEL DA COMARCA DE CANAÃ DOS CARAJÁS — ESTADO DO PARÁ</w:t>
      </w:r>
    </w:p>
    <w:p>
      <w:pPr>
        <w:spacing w:before="400" w:after="200" w:line="240" w:lineRule="auto"/>
        <w:ind w:firstLine="0"/>
        <w:jc w:val="both"/>
      </w:pPr>
      <w:r>
        <w:rPr>
          <w:rFonts w:ascii="Century Gothic" w:hAnsi="Century Gothic" w:cs="Century Gothic" w:eastAsia="Century Gothic"/>
          <w:b/>
          <w:sz w:val="22"/>
        </w:rPr>
        <w:t>NASCIMENTO FERRO E AÇO LTDA</w:t>
      </w:r>
      <w:r>
        <w:rPr>
          <w:rFonts w:ascii="Century Gothic" w:hAnsi="Century Gothic" w:cs="Century Gothic" w:eastAsia="Century Gothic"/>
          <w:sz w:val="22"/>
        </w:rPr>
        <w:t xml:space="preserve"> (primeira autora), pessoa jurídica de direito privado, inscrita no CNPJ sob nº 56.001.353/0001-60, com sede na Av. Weyne Cavalcante, s/nº, Quadra 02, Lote 07, Loteamento Vale dos Sonhos III, Canaã dos Carajás/PA, neste ato representada por seu sócio-administrador Herbeth Matheus Mendonça do Nascimento (atos constitutivos e documento de identificação anexos — doc. DOC-02), e </w:t>
      </w:r>
      <w:r>
        <w:rPr>
          <w:rFonts w:ascii="Century Gothic" w:hAnsi="Century Gothic" w:cs="Century Gothic" w:eastAsia="Century Gothic"/>
          <w:b/>
          <w:sz w:val="22"/>
        </w:rPr>
        <w:t>DAIANE COSTA ASSUNÇÃO</w:t>
      </w:r>
      <w:r>
        <w:rPr>
          <w:rFonts w:ascii="Century Gothic" w:hAnsi="Century Gothic" w:cs="Century Gothic" w:eastAsia="Century Gothic"/>
          <w:sz w:val="22"/>
        </w:rPr>
        <w:t xml:space="preserve"> (segunda autora), brasileira, em união estável, auxiliar administrativa, portadora do RG nº 7.936.461 (PC/PA) e inscrita no CPF sob nº 042.831.402-36, residente e domiciliada na Rua Avenida A, Quadra 37, Lote 14, Bairro Vale dos Sonhos III, CEP 68.537-000, Canaã dos Carajás/PA (doc. DOC-12), por seu advogado infra-assinado (procuração — doc. DOC-11), vêm, respeitosamente, propor a presente</w:t>
      </w:r>
    </w:p>
    <w:p>
      <w:pPr>
        <w:spacing w:before="400" w:after="200" w:line="240" w:lineRule="auto"/>
        <w:ind w:firstLine="0"/>
        <w:jc w:val="center"/>
      </w:pPr>
      <w:r>
        <w:rPr>
          <w:rFonts w:ascii="Century Gothic" w:hAnsi="Century Gothic" w:cs="Century Gothic" w:eastAsia="Century Gothic"/>
          <w:b/>
          <w:sz w:val="22"/>
        </w:rPr>
        <w:t>AÇÃO DE OBRIGAÇÃO DE FAZER C/C INDENIZAÇÃO POR DANOS MORAIS, COM PEDIDOS DE TUTELA DE URGÊNCIA E DE PRESERVAÇÃO E EXIBIÇÃO DE DADOS</w:t>
      </w:r>
    </w:p>
    <w:p>
      <w:pPr>
        <w:spacing w:before="400" w:after="200" w:line="240" w:lineRule="auto"/>
        <w:ind w:firstLine="0"/>
        <w:jc w:val="both"/>
      </w:pPr>
      <w:r>
        <w:rPr>
          <w:rFonts w:ascii="Century Gothic" w:hAnsi="Century Gothic" w:cs="Century Gothic" w:eastAsia="Century Gothic"/>
          <w:sz w:val="22"/>
        </w:rPr>
        <w:t xml:space="preserve">em face de </w:t>
      </w:r>
      <w:r>
        <w:rPr>
          <w:rFonts w:ascii="Century Gothic" w:hAnsi="Century Gothic" w:cs="Century Gothic" w:eastAsia="Century Gothic"/>
          <w:b/>
          <w:sz w:val="22"/>
        </w:rPr>
        <w:t>BRUNA AURORA DE ALMEIDA DOROTEIO</w:t>
      </w:r>
      <w:r>
        <w:rPr>
          <w:rFonts w:ascii="Century Gothic" w:hAnsi="Century Gothic" w:cs="Century Gothic" w:eastAsia="Century Gothic"/>
          <w:sz w:val="22"/>
        </w:rPr>
        <w:t>, brasileira, profissão desconhecida, administradora dos perfis comerciais de Instagram "@babadosdecanaareserva" e "@babadosdecanaarsv" ("Babados de Canaã"), com CPF, endereço e endereço eletrônico desconhecidos pelas autoras — cuja obtenção se requer pelas diligências adiante especificadas —, pelos fatos e fundamentos que passa a expor.</w:t>
      </w:r>
    </w:p>
    <w:p>
      <w:pPr>
        <w:spacing w:before="400" w:after="200" w:line="240" w:lineRule="auto"/>
        <w:ind w:firstLine="0"/>
        <w:jc w:val="left"/>
      </w:pPr>
      <w:r>
        <w:rPr>
          <w:rFonts w:ascii="Century Gothic" w:hAnsi="Century Gothic" w:cs="Century Gothic" w:eastAsia="Century Gothic"/>
          <w:b/>
          <w:sz w:val="22"/>
        </w:rPr>
        <w:t>I) DOS FATOS</w:t>
      </w:r>
    </w:p>
    <w:p>
      <w:pPr>
        <w:spacing w:before="400" w:after="200" w:line="240" w:lineRule="auto"/>
        <w:ind w:firstLine="0"/>
        <w:jc w:val="both"/>
      </w:pPr>
      <w:r>
        <w:rPr>
          <w:rFonts w:ascii="Century Gothic" w:hAnsi="Century Gothic" w:cs="Century Gothic" w:eastAsia="Century Gothic"/>
          <w:b/>
          <w:sz w:val="22"/>
        </w:rPr>
        <w:t>1. A publicação ofensiva.</w:t>
      </w:r>
      <w:r>
        <w:rPr>
          <w:rFonts w:ascii="Century Gothic" w:hAnsi="Century Gothic" w:cs="Century Gothic" w:eastAsia="Century Gothic"/>
          <w:sz w:val="22"/>
        </w:rPr>
        <w:t xml:space="preserve"> No dia 05 de julho de 2026, por volta das 19h19min, o perfil comercial de Instagram "@babadosdecanaareserva" — página local de divulgação de "fofocas", administrada pela ré — publicou em seus </w:t>
      </w:r>
      <w:r>
        <w:rPr>
          <w:rFonts w:ascii="Century Gothic" w:hAnsi="Century Gothic" w:cs="Century Gothic" w:eastAsia="Century Gothic"/>
          <w:i/>
          <w:sz w:val="22"/>
        </w:rPr>
        <w:t>stories</w:t>
      </w:r>
      <w:r>
        <w:rPr>
          <w:rFonts w:ascii="Century Gothic" w:hAnsi="Century Gothic" w:cs="Century Gothic" w:eastAsia="Century Gothic"/>
          <w:sz w:val="22"/>
        </w:rPr>
        <w:t xml:space="preserve"> mensagem atribuída a fonte anônima, alegadamente uma seguidora, com o seguinte teor, transcrito na literalidade (doc. DOC-07):</w:t>
      </w:r>
    </w:p>
    <w:p>
      <w:pPr>
        <w:spacing w:before="400" w:after="200" w:line="240" w:lineRule="auto"/>
        <w:ind w:firstLine="0"/>
        <w:jc w:val="both"/>
      </w:pPr>
      <w:r>
        <w:rPr>
          <w:rFonts w:ascii="Century Gothic" w:hAnsi="Century Gothic" w:cs="Century Gothic" w:eastAsia="Century Gothic"/>
          <w:i/>
          <w:sz w:val="22"/>
        </w:rPr>
        <w:t>"A empresa de ferro lá no final da cidade, que colocou uma pessoa sem um pingo de caráter pra gerenciar uma empresa, fica dano [sic] em cima do homem casado na cara dura, eu comprava muito lá, mas depois desse episódio não compro mas [sic] lá nunca mais, o dono precisa rever o quadro de funcionário e principalmente quem vai está [sic] na frente da sua empresa."</w:t>
      </w:r>
    </w:p>
    <w:p>
      <w:pPr>
        <w:spacing w:before="400" w:after="200" w:line="240" w:lineRule="auto"/>
        <w:ind w:firstLine="0"/>
        <w:jc w:val="both"/>
      </w:pPr>
      <w:r>
        <w:rPr>
          <w:rFonts w:ascii="Century Gothic" w:hAnsi="Century Gothic" w:cs="Century Gothic" w:eastAsia="Century Gothic"/>
          <w:b/>
          <w:sz w:val="22"/>
        </w:rPr>
        <w:t>2. A imputação é falsa — e as autoras a negam frontalmente.</w:t>
      </w:r>
      <w:r>
        <w:rPr>
          <w:rFonts w:ascii="Century Gothic" w:hAnsi="Century Gothic" w:cs="Century Gothic" w:eastAsia="Century Gothic"/>
          <w:sz w:val="22"/>
        </w:rPr>
        <w:t xml:space="preserve"> A segunda autora </w:t>
      </w:r>
      <w:r>
        <w:rPr>
          <w:rFonts w:ascii="Century Gothic" w:hAnsi="Century Gothic" w:cs="Century Gothic" w:eastAsia="Century Gothic"/>
          <w:b/>
          <w:sz w:val="22"/>
        </w:rPr>
        <w:t>jamais manteve qualquer investida, aproximação imprópria ou comportamento de assédio em relação a homem casado</w:t>
      </w:r>
      <w:r>
        <w:rPr>
          <w:rFonts w:ascii="Century Gothic" w:hAnsi="Century Gothic" w:cs="Century Gothic" w:eastAsia="Century Gothic"/>
          <w:sz w:val="22"/>
        </w:rPr>
        <w:t xml:space="preserve">, no ambiente de trabalho ou fora dele. A ré divulgou acusação grave, de fonte anônima, sem apresentar qualquer elemento de prova, sem diligência mínima de verificação e sem jamais procurar as autoras. A mensagem, aliás, reúne três agressões distintas: </w:t>
      </w:r>
      <w:r>
        <w:rPr>
          <w:rFonts w:ascii="Century Gothic" w:hAnsi="Century Gothic" w:cs="Century Gothic" w:eastAsia="Century Gothic"/>
          <w:b/>
          <w:sz w:val="22"/>
        </w:rPr>
        <w:t>(i)</w:t>
      </w:r>
      <w:r>
        <w:rPr>
          <w:rFonts w:ascii="Century Gothic" w:hAnsi="Century Gothic" w:cs="Century Gothic" w:eastAsia="Century Gothic"/>
          <w:sz w:val="22"/>
        </w:rPr>
        <w:t xml:space="preserve"> a imputação de um fato determinado e falso ("fica dando em cima do homem casado"); </w:t>
      </w:r>
      <w:r>
        <w:rPr>
          <w:rFonts w:ascii="Century Gothic" w:hAnsi="Century Gothic" w:cs="Century Gothic" w:eastAsia="Century Gothic"/>
          <w:b/>
          <w:sz w:val="22"/>
        </w:rPr>
        <w:t>(ii)</w:t>
      </w:r>
      <w:r>
        <w:rPr>
          <w:rFonts w:ascii="Century Gothic" w:hAnsi="Century Gothic" w:cs="Century Gothic" w:eastAsia="Century Gothic"/>
          <w:sz w:val="22"/>
        </w:rPr>
        <w:t xml:space="preserve"> o insulto puro ("sem um pingo de caráter"); e </w:t>
      </w:r>
      <w:r>
        <w:rPr>
          <w:rFonts w:ascii="Century Gothic" w:hAnsi="Century Gothic" w:cs="Century Gothic" w:eastAsia="Century Gothic"/>
          <w:b/>
          <w:sz w:val="22"/>
        </w:rPr>
        <w:t>(iii)</w:t>
      </w:r>
      <w:r>
        <w:rPr>
          <w:rFonts w:ascii="Century Gothic" w:hAnsi="Century Gothic" w:cs="Century Gothic" w:eastAsia="Century Gothic"/>
          <w:sz w:val="22"/>
        </w:rPr>
        <w:t xml:space="preserve"> a conclamação expressa ao boicote comercial ("não compro mas lá nunca mais... o dono precisa rever o quadro"). Nada disso é crítica de consumo legítima: é ataque à honra de uma mulher e à reputação de uma empresa.</w:t>
      </w:r>
    </w:p>
    <w:p>
      <w:pPr>
        <w:spacing w:before="400" w:after="200" w:line="240" w:lineRule="auto"/>
        <w:ind w:firstLine="0"/>
        <w:jc w:val="both"/>
      </w:pPr>
      <w:r>
        <w:rPr>
          <w:rFonts w:ascii="Century Gothic" w:hAnsi="Century Gothic" w:cs="Century Gothic" w:eastAsia="Century Gothic"/>
          <w:b/>
          <w:sz w:val="22"/>
        </w:rPr>
        <w:t>3. A identificação inequívoca dos ofendidos.</w:t>
      </w:r>
      <w:r>
        <w:rPr>
          <w:rFonts w:ascii="Century Gothic" w:hAnsi="Century Gothic" w:cs="Century Gothic" w:eastAsia="Century Gothic"/>
          <w:sz w:val="22"/>
        </w:rPr>
        <w:t xml:space="preserve"> A mensagem não declina nomes — e não precisava: no trecho da via a que se refere, no final da cidade de Canaã dos Carajás, existem apenas </w:t>
      </w:r>
      <w:r>
        <w:rPr>
          <w:rFonts w:ascii="Century Gothic" w:hAnsi="Century Gothic" w:cs="Century Gothic" w:eastAsia="Century Gothic"/>
          <w:b/>
          <w:sz w:val="22"/>
        </w:rPr>
        <w:t>duas</w:t>
      </w:r>
      <w:r>
        <w:rPr>
          <w:rFonts w:ascii="Century Gothic" w:hAnsi="Century Gothic" w:cs="Century Gothic" w:eastAsia="Century Gothic"/>
          <w:sz w:val="22"/>
        </w:rPr>
        <w:t xml:space="preserve"> empresas do ramo de ferro e aço, situadas defronte uma da outra, e </w:t>
      </w:r>
      <w:r>
        <w:rPr>
          <w:rFonts w:ascii="Century Gothic" w:hAnsi="Century Gothic" w:cs="Century Gothic" w:eastAsia="Century Gothic"/>
          <w:b/>
          <w:sz w:val="22"/>
        </w:rPr>
        <w:t>somente a primeira autora tem a sua administração cotidiana exercida por uma mulher — precisamente a segunda autora</w:t>
      </w:r>
      <w:r>
        <w:rPr>
          <w:rFonts w:ascii="Century Gothic" w:hAnsi="Century Gothic" w:cs="Century Gothic" w:eastAsia="Century Gothic"/>
          <w:sz w:val="22"/>
        </w:rPr>
        <w:t>. A conjugação dos três elementos objetivos da publicação — ramo ("empresa de ferro"), localização ("lá no final da cidade") e gênero de quem gere ("quem vai está na frente da sua empresa") — individualiza os ofendidos perante o público local (prova documental da exclusividade a instruir esta inicial, e prova testemunhal adiante requerida).</w:t>
      </w:r>
    </w:p>
    <w:p>
      <w:pPr>
        <w:spacing w:before="400" w:after="200" w:line="240" w:lineRule="auto"/>
        <w:ind w:firstLine="0"/>
        <w:jc w:val="both"/>
      </w:pPr>
      <w:r>
        <w:rPr>
          <w:rFonts w:ascii="Century Gothic" w:hAnsi="Century Gothic" w:cs="Century Gothic" w:eastAsia="Century Gothic"/>
          <w:b/>
          <w:sz w:val="22"/>
        </w:rPr>
        <w:t>4. A identificação de fato ocorreu no próprio dia.</w:t>
      </w:r>
      <w:r>
        <w:rPr>
          <w:rFonts w:ascii="Century Gothic" w:hAnsi="Century Gothic" w:cs="Century Gothic" w:eastAsia="Century Gothic"/>
          <w:sz w:val="22"/>
        </w:rPr>
        <w:t xml:space="preserve"> O conteúdo foi recebido e reencaminhado por mais de um interlocutor, que reconheceu de imediato a quem a mensagem se referia — como demonstram as mensagens recebidas pelo sócio-administrador da primeira autora de um colaborador da empresa (doc. DOC-09, contendo inclusive o </w:t>
      </w:r>
      <w:r>
        <w:rPr>
          <w:rFonts w:ascii="Century Gothic" w:hAnsi="Century Gothic" w:cs="Century Gothic" w:eastAsia="Century Gothic"/>
          <w:i/>
          <w:sz w:val="22"/>
        </w:rPr>
        <w:t>link</w:t>
      </w:r>
      <w:r>
        <w:rPr>
          <w:rFonts w:ascii="Century Gothic" w:hAnsi="Century Gothic" w:cs="Century Gothic" w:eastAsia="Century Gothic"/>
          <w:sz w:val="22"/>
        </w:rPr>
        <w:t xml:space="preserve"> da publicação) e de ex-colaboradora (doc. DOC-07), e por ele repassadas à segunda autora (doc. DOC-10). Registre-se, por lealdade processual: esses interlocutores mantêm ou mantiveram vínculo com a primeira autora — circunstância declarada às claras, e que não infirma a individualização, que decorre dos elementos objetivos do item anterior.</w:t>
      </w:r>
    </w:p>
    <w:p>
      <w:pPr>
        <w:spacing w:before="400" w:after="200" w:line="240" w:lineRule="auto"/>
        <w:ind w:firstLine="0"/>
        <w:jc w:val="both"/>
      </w:pPr>
      <w:r>
        <w:rPr>
          <w:rFonts w:ascii="Century Gothic" w:hAnsi="Century Gothic" w:cs="Century Gothic" w:eastAsia="Century Gothic"/>
          <w:b/>
          <w:sz w:val="22"/>
        </w:rPr>
        <w:t>5. Quem é a ré: a confissão e a trilha do dinheiro.</w:t>
      </w:r>
      <w:r>
        <w:rPr>
          <w:rFonts w:ascii="Century Gothic" w:hAnsi="Century Gothic" w:cs="Century Gothic" w:eastAsia="Century Gothic"/>
          <w:sz w:val="22"/>
        </w:rPr>
        <w:t xml:space="preserve"> Instada por mensagem direta com a pergunta </w:t>
      </w:r>
      <w:r>
        <w:rPr>
          <w:rFonts w:ascii="Century Gothic" w:hAnsi="Century Gothic" w:cs="Century Gothic" w:eastAsia="Century Gothic"/>
          <w:i/>
          <w:sz w:val="22"/>
        </w:rPr>
        <w:t>"vocês são os donos dessa outra página babadosdecanaareserva enquanto esta não estava pegando?"</w:t>
      </w:r>
      <w:r>
        <w:rPr>
          <w:rFonts w:ascii="Century Gothic" w:hAnsi="Century Gothic" w:cs="Century Gothic" w:eastAsia="Century Gothic"/>
          <w:sz w:val="22"/>
        </w:rPr>
        <w:t xml:space="preserve">, a página "Babados de Canaã" (@babadosdecanaarsv) respondeu, textualmente: </w:t>
      </w:r>
      <w:r>
        <w:rPr>
          <w:rFonts w:ascii="Century Gothic" w:hAnsi="Century Gothic" w:cs="Century Gothic" w:eastAsia="Century Gothic"/>
          <w:b/>
          <w:sz w:val="22"/>
        </w:rPr>
        <w:t>"Sim as duas são minhas"</w:t>
      </w:r>
      <w:r>
        <w:rPr>
          <w:rFonts w:ascii="Century Gothic" w:hAnsi="Century Gothic" w:cs="Century Gothic" w:eastAsia="Century Gothic"/>
          <w:sz w:val="22"/>
        </w:rPr>
        <w:t xml:space="preserve"> (doc. DOC-03) — confissão que abrange exatamente os dois perfis indicados nesta inicial: o que publicou a ofensa (@babadosdecanaareserva) e o que respondeu (@babadosdecanaarsv). O mesmo perfil divulga tabela comercial de publicações — R$ 30,00 por </w:t>
      </w:r>
      <w:r>
        <w:rPr>
          <w:rFonts w:ascii="Century Gothic" w:hAnsi="Century Gothic" w:cs="Century Gothic" w:eastAsia="Century Gothic"/>
          <w:i/>
          <w:sz w:val="22"/>
        </w:rPr>
        <w:t>story</w:t>
      </w:r>
      <w:r>
        <w:rPr>
          <w:rFonts w:ascii="Century Gothic" w:hAnsi="Century Gothic" w:cs="Century Gothic" w:eastAsia="Century Gothic"/>
          <w:sz w:val="22"/>
        </w:rPr>
        <w:t xml:space="preserve">, até R$ 150,00 por pacote de oito, além de "destaques" e posts de </w:t>
      </w:r>
      <w:r>
        <w:rPr>
          <w:rFonts w:ascii="Century Gothic" w:hAnsi="Century Gothic" w:cs="Century Gothic" w:eastAsia="Century Gothic"/>
          <w:i/>
          <w:sz w:val="22"/>
        </w:rPr>
        <w:t>feed</w:t>
      </w:r>
      <w:r>
        <w:rPr>
          <w:rFonts w:ascii="Century Gothic" w:hAnsi="Century Gothic" w:cs="Century Gothic" w:eastAsia="Century Gothic"/>
          <w:sz w:val="22"/>
        </w:rPr>
        <w:t xml:space="preserve"> — cobradas pela chave Pix </w:t>
      </w:r>
      <w:r>
        <w:rPr>
          <w:rFonts w:ascii="Century Gothic" w:hAnsi="Century Gothic" w:cs="Century Gothic" w:eastAsia="Century Gothic"/>
          <w:b/>
          <w:sz w:val="22"/>
        </w:rPr>
        <w:t>babadosdecanaa@yahoo.com</w:t>
      </w:r>
      <w:r>
        <w:rPr>
          <w:rFonts w:ascii="Century Gothic" w:hAnsi="Century Gothic" w:cs="Century Gothic" w:eastAsia="Century Gothic"/>
          <w:sz w:val="22"/>
        </w:rPr>
        <w:t xml:space="preserve"> (doc. DOC-04). A consulta dessa chave no sistema Pix identifica sua titular: </w:t>
      </w:r>
      <w:r>
        <w:rPr>
          <w:rFonts w:ascii="Century Gothic" w:hAnsi="Century Gothic" w:cs="Century Gothic" w:eastAsia="Century Gothic"/>
          <w:b/>
          <w:sz w:val="22"/>
        </w:rPr>
        <w:t>Bruna Aurora de Almeida Doroteio</w:t>
      </w:r>
      <w:r>
        <w:rPr>
          <w:rFonts w:ascii="Century Gothic" w:hAnsi="Century Gothic" w:cs="Century Gothic" w:eastAsia="Century Gothic"/>
          <w:sz w:val="22"/>
        </w:rPr>
        <w:t>, com conta na instituição Stone IP S.A. (docs. DOC-05 e DOC-06). A cadeia é fechada: o perfil que publicou → confessa a titularidade de ambos → cobra pela chave Pix → cuja titular é a ré.</w:t>
      </w:r>
    </w:p>
    <w:p>
      <w:pPr>
        <w:spacing w:before="400" w:after="200" w:line="240" w:lineRule="auto"/>
        <w:ind w:firstLine="0"/>
        <w:jc w:val="both"/>
      </w:pPr>
      <w:r>
        <w:rPr>
          <w:rFonts w:ascii="Century Gothic" w:hAnsi="Century Gothic" w:cs="Century Gothic" w:eastAsia="Century Gothic"/>
          <w:b/>
          <w:sz w:val="22"/>
        </w:rPr>
        <w:t>6. Um veículo comercial, não um diário pessoal.</w:t>
      </w:r>
      <w:r>
        <w:rPr>
          <w:rFonts w:ascii="Century Gothic" w:hAnsi="Century Gothic" w:cs="Century Gothic" w:eastAsia="Century Gothic"/>
          <w:sz w:val="22"/>
        </w:rPr>
        <w:t xml:space="preserve"> A tabela de preços revela o essencial: a página seleciona, edita e publica conteúdo </w:t>
      </w:r>
      <w:r>
        <w:rPr>
          <w:rFonts w:ascii="Century Gothic" w:hAnsi="Century Gothic" w:cs="Century Gothic" w:eastAsia="Century Gothic"/>
          <w:b/>
          <w:sz w:val="22"/>
        </w:rPr>
        <w:t>mediante remuneração</w:t>
      </w:r>
      <w:r>
        <w:rPr>
          <w:rFonts w:ascii="Century Gothic" w:hAnsi="Century Gothic" w:cs="Century Gothic" w:eastAsia="Century Gothic"/>
          <w:sz w:val="22"/>
        </w:rPr>
        <w:t>, vivendo do alcance que suas publicações geram. Não se afirma que a mensagem ofensiva tenha sido, ela própria, paga — o que os dados requeridos adiante poderão esclarecer —, mas sim que ela foi publicada por um veículo profissional de divulgação, sob a lógica comercial de audiência que o sustenta.</w:t>
      </w:r>
    </w:p>
    <w:p>
      <w:pPr>
        <w:spacing w:before="400" w:after="200" w:line="240" w:lineRule="auto"/>
        <w:ind w:firstLine="0"/>
        <w:jc w:val="both"/>
      </w:pPr>
      <w:r>
        <w:rPr>
          <w:rFonts w:ascii="Century Gothic" w:hAnsi="Century Gothic" w:cs="Century Gothic" w:eastAsia="Century Gothic"/>
          <w:b/>
          <w:sz w:val="22"/>
        </w:rPr>
        <w:t>7. Providências e o registro policial.</w:t>
      </w:r>
      <w:r>
        <w:rPr>
          <w:rFonts w:ascii="Century Gothic" w:hAnsi="Century Gothic" w:cs="Century Gothic" w:eastAsia="Century Gothic"/>
          <w:sz w:val="22"/>
        </w:rPr>
        <w:t xml:space="preserve"> No dia seguinte ao fato, 06/07/2026, a segunda autora registrou o Boletim de Ocorrência nº 00156/2026.102866-5 perante a Delegacia de Polícia Civil de Canaã dos Carajás, tipificado como difamação (doc. DOC-01). </w:t>
      </w:r>
      <w:r>
        <w:rPr>
          <w:rFonts w:ascii="Century Gothic" w:hAnsi="Century Gothic" w:cs="Century Gothic" w:eastAsia="Century Gothic"/>
          <w:b/>
          <w:sz w:val="22"/>
        </w:rPr>
        <w:t>Esclarece-se, desde logo:</w:t>
      </w:r>
      <w:r>
        <w:rPr>
          <w:rFonts w:ascii="Century Gothic" w:hAnsi="Century Gothic" w:cs="Century Gothic" w:eastAsia="Century Gothic"/>
          <w:sz w:val="22"/>
        </w:rPr>
        <w:t xml:space="preserve"> o BO consigna, por evidente erro material de digitação no registro, a data do fato como "05/06/2026"; a data correta — 05/07/2026 — é a que consta das capturas de tela anexas e é corroborada pela própria lavratura do boletim no dia 06/07/2026, imediatamente seguinte ao fato.</w:t>
      </w:r>
    </w:p>
    <w:p>
      <w:pPr>
        <w:spacing w:before="400" w:after="200" w:line="240" w:lineRule="auto"/>
        <w:ind w:firstLine="0"/>
        <w:jc w:val="both"/>
      </w:pPr>
      <w:r>
        <w:rPr>
          <w:rFonts w:ascii="Century Gothic" w:hAnsi="Century Gothic" w:cs="Century Gothic" w:eastAsia="Century Gothic"/>
          <w:b/>
          <w:sz w:val="22"/>
        </w:rPr>
        <w:t>8. O conteúdo saiu do ar — e as evidências têm prazo de validade.</w:t>
      </w:r>
      <w:r>
        <w:rPr>
          <w:rFonts w:ascii="Century Gothic" w:hAnsi="Century Gothic" w:cs="Century Gothic" w:eastAsia="Century Gothic"/>
          <w:sz w:val="22"/>
        </w:rPr>
        <w:t xml:space="preserve"> O </w:t>
      </w:r>
      <w:r>
        <w:rPr>
          <w:rFonts w:ascii="Century Gothic" w:hAnsi="Century Gothic" w:cs="Century Gothic" w:eastAsia="Century Gothic"/>
          <w:i/>
          <w:sz w:val="22"/>
        </w:rPr>
        <w:t>story</w:t>
      </w:r>
      <w:r>
        <w:rPr>
          <w:rFonts w:ascii="Century Gothic" w:hAnsi="Century Gothic" w:cs="Century Gothic" w:eastAsia="Century Gothic"/>
          <w:sz w:val="22"/>
        </w:rPr>
        <w:t xml:space="preserve"> ofensivo já não está disponível (formato efêmero), como registra o doc. DOC-03 ("Story indisponível"). Os registros de acesso que documentam a publicação são guardados pelo provedor por apenas </w:t>
      </w:r>
      <w:r>
        <w:rPr>
          <w:rFonts w:ascii="Century Gothic" w:hAnsi="Century Gothic" w:cs="Century Gothic" w:eastAsia="Century Gothic"/>
          <w:b/>
          <w:sz w:val="22"/>
        </w:rPr>
        <w:t>6 (seis) meses</w:t>
      </w:r>
      <w:r>
        <w:rPr>
          <w:rFonts w:ascii="Century Gothic" w:hAnsi="Century Gothic" w:cs="Century Gothic" w:eastAsia="Century Gothic"/>
          <w:sz w:val="22"/>
        </w:rPr>
        <w:t xml:space="preserve"> (art. 15, </w:t>
      </w:r>
      <w:r>
        <w:rPr>
          <w:rFonts w:ascii="Century Gothic" w:hAnsi="Century Gothic" w:cs="Century Gothic" w:eastAsia="Century Gothic"/>
          <w:i/>
          <w:sz w:val="22"/>
        </w:rPr>
        <w:t>caput</w:t>
      </w:r>
      <w:r>
        <w:rPr>
          <w:rFonts w:ascii="Century Gothic" w:hAnsi="Century Gothic" w:cs="Century Gothic" w:eastAsia="Century Gothic"/>
          <w:sz w:val="22"/>
        </w:rPr>
        <w:t>, da Lei nº 12.965/2014); há, portanto, fundado receio de que a verificação dos fatos se torne impossível na pendência da ação (art. 381, I, do CPC). E os elementos mais sensíveis — a mensagem original recebida da fonte anônima, os arquivos e as métricas da publicação — estão em poder da própria ré, que pode apagá-los a qualquer momento. Daí as medidas de preservação adiante requeridas, dirigidas a quem detém cada categoria de prova.</w:t>
      </w:r>
    </w:p>
    <w:p>
      <w:pPr>
        <w:spacing w:before="400" w:after="200" w:line="240" w:lineRule="auto"/>
        <w:ind w:firstLine="0"/>
        <w:jc w:val="left"/>
      </w:pPr>
      <w:r>
        <w:rPr>
          <w:rFonts w:ascii="Century Gothic" w:hAnsi="Century Gothic" w:cs="Century Gothic" w:eastAsia="Century Gothic"/>
          <w:b/>
          <w:sz w:val="22"/>
        </w:rPr>
        <w:t>II) DO DIREITO</w:t>
      </w:r>
    </w:p>
    <w:p>
      <w:pPr>
        <w:spacing w:before="400" w:after="200" w:line="240" w:lineRule="auto"/>
        <w:ind w:firstLine="0"/>
        <w:jc w:val="both"/>
      </w:pPr>
      <w:r>
        <w:rPr>
          <w:rFonts w:ascii="Century Gothic" w:hAnsi="Century Gothic" w:cs="Century Gothic" w:eastAsia="Century Gothic"/>
          <w:b/>
          <w:sz w:val="22"/>
          <w:u w:val="single"/>
        </w:rPr>
        <w:t>2.1. Da competência</w:t>
      </w:r>
    </w:p>
    <w:p>
      <w:pPr>
        <w:spacing w:before="400" w:after="200" w:line="240" w:lineRule="auto"/>
        <w:ind w:firstLine="0"/>
        <w:jc w:val="both"/>
      </w:pPr>
      <w:r>
        <w:rPr>
          <w:rFonts w:ascii="Century Gothic" w:hAnsi="Century Gothic" w:cs="Century Gothic" w:eastAsia="Century Gothic"/>
          <w:sz w:val="22"/>
        </w:rPr>
        <w:t>Este juízo é competente por ser Canaã dos Carajás o lugar do ato e de sua repercussão (art. 53, IV, "a", do CPC — foro do lugar do ato ou fato para a ação de reparação de dano).</w:t>
      </w:r>
    </w:p>
    <w:p>
      <w:pPr>
        <w:spacing w:before="400" w:after="200" w:line="240" w:lineRule="auto"/>
        <w:ind w:firstLine="0"/>
        <w:jc w:val="both"/>
      </w:pPr>
      <w:r>
        <w:rPr>
          <w:rFonts w:ascii="Century Gothic" w:hAnsi="Century Gothic" w:cs="Century Gothic" w:eastAsia="Century Gothic"/>
          <w:b/>
          <w:sz w:val="22"/>
          <w:u w:val="single"/>
        </w:rPr>
        <w:t>2.2. Da identificabilidade: ofensa não precisa de nome para ter alvo</w:t>
      </w:r>
    </w:p>
    <w:p>
      <w:pPr>
        <w:spacing w:before="400" w:after="200" w:line="240" w:lineRule="auto"/>
        <w:ind w:firstLine="0"/>
        <w:jc w:val="both"/>
      </w:pPr>
      <w:r>
        <w:rPr>
          <w:rFonts w:ascii="Century Gothic" w:hAnsi="Century Gothic" w:cs="Century Gothic" w:eastAsia="Century Gothic"/>
          <w:sz w:val="22"/>
        </w:rPr>
        <w:t xml:space="preserve">A tutela da honra não exige menção nominal: basta que a vítima seja </w:t>
      </w:r>
      <w:r>
        <w:rPr>
          <w:rFonts w:ascii="Century Gothic" w:hAnsi="Century Gothic" w:cs="Century Gothic" w:eastAsia="Century Gothic"/>
          <w:b/>
          <w:sz w:val="22"/>
        </w:rPr>
        <w:t>determinável de forma inequívoca</w:t>
      </w:r>
      <w:r>
        <w:rPr>
          <w:rFonts w:ascii="Century Gothic" w:hAnsi="Century Gothic" w:cs="Century Gothic" w:eastAsia="Century Gothic"/>
          <w:sz w:val="22"/>
        </w:rPr>
        <w:t xml:space="preserve"> pelo destinatário médio da mensagem, a partir do contexto — quem escreve "a empresa de ferro lá no final da cidade", gerida por uma mulher, num trecho em que só existe uma empresa assim, nomeou sem nomear. Os três elementos objetivos da publicação reduzem o universo de possíveis visados a exatamente uma empresa e uma gestora — e a identificação, como provado, efetivamente ocorreu no próprio dia.</w:t>
      </w:r>
    </w:p>
    <w:p>
      <w:pPr>
        <w:spacing w:before="400" w:after="200" w:line="240" w:lineRule="auto"/>
        <w:ind w:firstLine="0"/>
        <w:jc w:val="both"/>
      </w:pPr>
      <w:r>
        <w:rPr>
          <w:rFonts w:ascii="Century Gothic" w:hAnsi="Century Gothic" w:cs="Century Gothic" w:eastAsia="Century Gothic"/>
          <w:b/>
          <w:sz w:val="22"/>
          <w:u w:val="single"/>
        </w:rPr>
        <w:t>2.3. Da responsabilidade civil direta da ré</w:t>
      </w:r>
    </w:p>
    <w:p>
      <w:pPr>
        <w:spacing w:before="400" w:after="200" w:line="240" w:lineRule="auto"/>
        <w:ind w:firstLine="0"/>
        <w:jc w:val="both"/>
      </w:pPr>
      <w:r>
        <w:rPr>
          <w:rFonts w:ascii="Century Gothic" w:hAnsi="Century Gothic" w:cs="Century Gothic" w:eastAsia="Century Gothic"/>
          <w:sz w:val="22"/>
        </w:rPr>
        <w:t xml:space="preserve">O art. 19 da Lei nº 12.965/2014 disciplina a responsabilidade do </w:t>
      </w:r>
      <w:r>
        <w:rPr>
          <w:rFonts w:ascii="Century Gothic" w:hAnsi="Century Gothic" w:cs="Century Gothic" w:eastAsia="Century Gothic"/>
          <w:b/>
          <w:sz w:val="22"/>
        </w:rPr>
        <w:t>provedor de aplicações</w:t>
      </w:r>
      <w:r>
        <w:rPr>
          <w:rFonts w:ascii="Century Gothic" w:hAnsi="Century Gothic" w:cs="Century Gothic" w:eastAsia="Century Gothic"/>
          <w:sz w:val="22"/>
        </w:rPr>
        <w:t xml:space="preserve"> que hospeda conteúdo gerado por terceiros. A ré, contudo, não é provedora nem intermediária tecnológica: é a própria usuária que </w:t>
      </w:r>
      <w:r>
        <w:rPr>
          <w:rFonts w:ascii="Century Gothic" w:hAnsi="Century Gothic" w:cs="Century Gothic" w:eastAsia="Century Gothic"/>
          <w:b/>
          <w:sz w:val="22"/>
        </w:rPr>
        <w:t>selecionou, chancelou e publicou</w:t>
      </w:r>
      <w:r>
        <w:rPr>
          <w:rFonts w:ascii="Century Gothic" w:hAnsi="Century Gothic" w:cs="Century Gothic" w:eastAsia="Century Gothic"/>
          <w:sz w:val="22"/>
        </w:rPr>
        <w:t xml:space="preserve"> o conteúdo impugnado, em página que explora comercialmente. Sua responsabilidade decorre diretamente dos arts. 186, 187 e 927, </w:t>
      </w:r>
      <w:r>
        <w:rPr>
          <w:rFonts w:ascii="Century Gothic" w:hAnsi="Century Gothic" w:cs="Century Gothic" w:eastAsia="Century Gothic"/>
          <w:i/>
          <w:sz w:val="22"/>
        </w:rPr>
        <w:t>caput</w:t>
      </w:r>
      <w:r>
        <w:rPr>
          <w:rFonts w:ascii="Century Gothic" w:hAnsi="Century Gothic" w:cs="Century Gothic" w:eastAsia="Century Gothic"/>
          <w:sz w:val="22"/>
        </w:rPr>
        <w:t xml:space="preserve">, do Código Civil: quem mantém veículo profissional de divulgação e escolhe publicar acusação anônima, grave e não verificada contra pessoa determinável, excede manifestamente os limites da boa-fé no exercício da liberdade de informar e responde pelos danos que causa. É a orientação consolidada do Superior Tribunal de Justiça: </w:t>
      </w:r>
      <w:r>
        <w:rPr>
          <w:rFonts w:ascii="Century Gothic" w:hAnsi="Century Gothic" w:cs="Century Gothic" w:eastAsia="Century Gothic"/>
          <w:i/>
          <w:sz w:val="22"/>
        </w:rPr>
        <w:t>"a ampla liberdade de informação, opinião e crítica jornalística [...] não é um direito absoluto, encontrando limitações, tais como a preservação dos direitos da personalidade, nestes incluídos os direitos à honra, à imagem, à privacidade e à intimidade, sendo vedada a veiculação de críticas com a intenção de difamar, injuriar ou caluniar"</w:t>
      </w:r>
      <w:r>
        <w:rPr>
          <w:rFonts w:ascii="Century Gothic" w:hAnsi="Century Gothic" w:cs="Century Gothic" w:eastAsia="Century Gothic"/>
          <w:sz w:val="22"/>
        </w:rPr>
        <w:t xml:space="preserve"> (Jurisprudência em Teses, ed. 130, tese 8 — por todos: REsp 1.771.866/DF, 3ª Turma, j. 12/02/2019; REsp 1.322.264/AL, 4ª Turma, j. 20/09/2018). A responsabilidade nasce do ato próprio de publicar — não de inércia posterior a qualquer notificação.</w:t>
      </w:r>
    </w:p>
    <w:p>
      <w:pPr>
        <w:spacing w:before="400" w:after="200" w:line="240" w:lineRule="auto"/>
        <w:ind w:firstLine="0"/>
        <w:jc w:val="both"/>
      </w:pPr>
      <w:r>
        <w:rPr>
          <w:rFonts w:ascii="Century Gothic" w:hAnsi="Century Gothic" w:cs="Century Gothic" w:eastAsia="Century Gothic"/>
          <w:b/>
          <w:sz w:val="22"/>
          <w:u w:val="single"/>
        </w:rPr>
        <w:t>2.4. Do dano moral da pessoa jurídica</w:t>
      </w:r>
    </w:p>
    <w:p>
      <w:pPr>
        <w:spacing w:before="400" w:after="200" w:line="240" w:lineRule="auto"/>
        <w:ind w:firstLine="0"/>
        <w:jc w:val="both"/>
      </w:pPr>
      <w:r>
        <w:rPr>
          <w:rFonts w:ascii="Century Gothic" w:hAnsi="Century Gothic" w:cs="Century Gothic" w:eastAsia="Century Gothic"/>
          <w:sz w:val="22"/>
        </w:rPr>
        <w:t xml:space="preserve">"A pessoa jurídica pode sofrer dano moral" (Súmula 227/STJ), mediante ofensa à sua honra objetiva com repercussão sobre seu nome e credibilidade. Aqui, a aptidão lesiva está no corpo do próprio ilícito — a mensagem </w:t>
      </w:r>
      <w:r>
        <w:rPr>
          <w:rFonts w:ascii="Century Gothic" w:hAnsi="Century Gothic" w:cs="Century Gothic" w:eastAsia="Century Gothic"/>
          <w:b/>
          <w:sz w:val="22"/>
        </w:rPr>
        <w:t>conclama ao boicote</w:t>
      </w:r>
      <w:r>
        <w:rPr>
          <w:rFonts w:ascii="Century Gothic" w:hAnsi="Century Gothic" w:cs="Century Gothic" w:eastAsia="Century Gothic"/>
          <w:sz w:val="22"/>
        </w:rPr>
        <w:t xml:space="preserve"> ("eu comprava muito lá... não compro mas lá nunca mais") e desqualifica publicamente a gestão da empresa perante seu mercado consumidor imediato — e a circulação está documentada (docs. DOC-07, DOC-09 e DOC-10). Para dimensionar a extensão exata da repercussão, requer-se adiante a exibição, pela ré, das métricas da publicação (alcance, visualizações, respostas e compartilhamentos), que estão em seu poder exclusivo.</w:t>
      </w:r>
    </w:p>
    <w:p>
      <w:pPr>
        <w:spacing w:before="400" w:after="200" w:line="240" w:lineRule="auto"/>
        <w:ind w:firstLine="0"/>
        <w:jc w:val="both"/>
      </w:pPr>
      <w:r>
        <w:rPr>
          <w:rFonts w:ascii="Century Gothic" w:hAnsi="Century Gothic" w:cs="Century Gothic" w:eastAsia="Century Gothic"/>
          <w:b/>
          <w:sz w:val="22"/>
          <w:u w:val="single"/>
        </w:rPr>
        <w:t>2.5. Do dano moral da segunda autora</w:t>
      </w:r>
    </w:p>
    <w:p>
      <w:pPr>
        <w:spacing w:before="400" w:after="200" w:line="240" w:lineRule="auto"/>
        <w:ind w:firstLine="0"/>
        <w:jc w:val="both"/>
      </w:pPr>
      <w:r>
        <w:rPr>
          <w:rFonts w:ascii="Century Gothic" w:hAnsi="Century Gothic" w:cs="Century Gothic" w:eastAsia="Century Gothic"/>
          <w:sz w:val="22"/>
        </w:rPr>
        <w:t xml:space="preserve">À gestora, a publicação imputou falsamente assédio a "homem casado" e ausência de "um pingo de caráter" — ataque frontal à honra subjetiva, com inequívoco recorte de gênero: é a mulher, pela condição de mulher à frente de um negócio, quem é convertida em alvo de escárnio sexual e moral perante a comunidade em que vive e trabalha. O dano é </w:t>
      </w:r>
      <w:r>
        <w:rPr>
          <w:rFonts w:ascii="Century Gothic" w:hAnsi="Century Gothic" w:cs="Century Gothic" w:eastAsia="Century Gothic"/>
          <w:i/>
          <w:sz w:val="22"/>
        </w:rPr>
        <w:t>in re ipsa</w:t>
      </w:r>
      <w:r>
        <w:rPr>
          <w:rFonts w:ascii="Century Gothic" w:hAnsi="Century Gothic" w:cs="Century Gothic" w:eastAsia="Century Gothic"/>
          <w:sz w:val="22"/>
        </w:rPr>
        <w:t>, agravado pela circulação comprovada.</w:t>
      </w:r>
    </w:p>
    <w:p>
      <w:pPr>
        <w:spacing w:before="400" w:after="200" w:line="240" w:lineRule="auto"/>
        <w:ind w:firstLine="0"/>
        <w:jc w:val="both"/>
      </w:pPr>
      <w:r>
        <w:rPr>
          <w:rFonts w:ascii="Century Gothic" w:hAnsi="Century Gothic" w:cs="Century Gothic" w:eastAsia="Century Gothic"/>
          <w:b/>
          <w:sz w:val="22"/>
          <w:u w:val="single"/>
        </w:rPr>
        <w:t>2.6. Da preservação e exibição de dados: cada ordem ao seu destinatário</w:t>
      </w:r>
    </w:p>
    <w:p>
      <w:pPr>
        <w:spacing w:before="400" w:after="200" w:line="240" w:lineRule="auto"/>
        <w:ind w:firstLine="0"/>
        <w:jc w:val="both"/>
      </w:pPr>
      <w:r>
        <w:rPr>
          <w:rFonts w:ascii="Century Gothic" w:hAnsi="Century Gothic" w:cs="Century Gothic" w:eastAsia="Century Gothic"/>
          <w:sz w:val="22"/>
        </w:rPr>
        <w:t>Duas fontes detêm a prova técnica do ilícito, e a lei dá tratamento próprio a cada uma:</w:t>
      </w:r>
    </w:p>
    <w:p>
      <w:pPr>
        <w:spacing w:before="400" w:after="200" w:line="240" w:lineRule="auto"/>
        <w:ind w:firstLine="0"/>
        <w:jc w:val="both"/>
      </w:pPr>
      <w:r>
        <w:rPr>
          <w:rFonts w:ascii="Century Gothic" w:hAnsi="Century Gothic" w:cs="Century Gothic" w:eastAsia="Century Gothic"/>
          <w:b/>
          <w:sz w:val="22"/>
        </w:rPr>
        <w:t>(a) A META PLATFORMS, INC. — como TERCEIRA, não como ré.</w:t>
      </w:r>
      <w:r>
        <w:rPr>
          <w:rFonts w:ascii="Century Gothic" w:hAnsi="Century Gothic" w:cs="Century Gothic" w:eastAsia="Century Gothic"/>
          <w:sz w:val="22"/>
        </w:rPr>
        <w:t xml:space="preserve"> Na forma dos arts. 22 e 23 da Lei nº 12.965/2014 e do art. 380 do CPC (dever do terceiro de informar e exibir), requer-se ordem judicial à Meta, na pessoa de sua representante no Brasil, para </w:t>
      </w:r>
      <w:r>
        <w:rPr>
          <w:rFonts w:ascii="Century Gothic" w:hAnsi="Century Gothic" w:cs="Century Gothic" w:eastAsia="Century Gothic"/>
          <w:b/>
          <w:sz w:val="22"/>
        </w:rPr>
        <w:t>preservar imediatamente e, oportunamente, fornecer</w:t>
      </w:r>
      <w:r>
        <w:rPr>
          <w:rFonts w:ascii="Century Gothic" w:hAnsi="Century Gothic" w:cs="Century Gothic" w:eastAsia="Century Gothic"/>
          <w:sz w:val="22"/>
        </w:rPr>
        <w:t xml:space="preserve">, quanto aos perfis "@babadosdecanaareserva" e "@babadosdecanaarsv" e ao período de 05 a 06/07/2026: </w:t>
      </w:r>
      <w:r>
        <w:rPr>
          <w:rFonts w:ascii="Century Gothic" w:hAnsi="Century Gothic" w:cs="Century Gothic" w:eastAsia="Century Gothic"/>
          <w:b/>
          <w:sz w:val="22"/>
        </w:rPr>
        <w:t>(i)</w:t>
      </w:r>
      <w:r>
        <w:rPr>
          <w:rFonts w:ascii="Century Gothic" w:hAnsi="Century Gothic" w:cs="Century Gothic" w:eastAsia="Century Gothic"/>
          <w:sz w:val="22"/>
        </w:rPr>
        <w:t xml:space="preserve"> os registros de acesso à aplicação (IP, data, hora, fuso e porta lógica, quando disponível) relacionados à criação, administração e às publicações do período; </w:t>
      </w:r>
      <w:r>
        <w:rPr>
          <w:rFonts w:ascii="Century Gothic" w:hAnsi="Century Gothic" w:cs="Century Gothic" w:eastAsia="Century Gothic"/>
          <w:b/>
          <w:sz w:val="22"/>
        </w:rPr>
        <w:t>(ii)</w:t>
      </w:r>
      <w:r>
        <w:rPr>
          <w:rFonts w:ascii="Century Gothic" w:hAnsi="Century Gothic" w:cs="Century Gothic" w:eastAsia="Century Gothic"/>
          <w:sz w:val="22"/>
        </w:rPr>
        <w:t xml:space="preserve"> os dados cadastrais eventualmente coletados (nome, e-mail, telefone e identificadores vinculados às contas); e </w:t>
      </w:r>
      <w:r>
        <w:rPr>
          <w:rFonts w:ascii="Century Gothic" w:hAnsi="Century Gothic" w:cs="Century Gothic" w:eastAsia="Century Gothic"/>
          <w:b/>
          <w:sz w:val="22"/>
        </w:rPr>
        <w:t>(iii)</w:t>
      </w:r>
      <w:r>
        <w:rPr>
          <w:rFonts w:ascii="Century Gothic" w:hAnsi="Century Gothic" w:cs="Century Gothic" w:eastAsia="Century Gothic"/>
          <w:sz w:val="22"/>
        </w:rPr>
        <w:t xml:space="preserve"> o conteúdo eventualmente preservado (o </w:t>
      </w:r>
      <w:r>
        <w:rPr>
          <w:rFonts w:ascii="Century Gothic" w:hAnsi="Century Gothic" w:cs="Century Gothic" w:eastAsia="Century Gothic"/>
          <w:i/>
          <w:sz w:val="22"/>
        </w:rPr>
        <w:t>story</w:t>
      </w:r>
      <w:r>
        <w:rPr>
          <w:rFonts w:ascii="Century Gothic" w:hAnsi="Century Gothic" w:cs="Century Gothic" w:eastAsia="Century Gothic"/>
          <w:sz w:val="22"/>
        </w:rPr>
        <w:t xml:space="preserve"> de 05/07/2026, o arquivo de mídia respectivo, a mensagem original encaminhada à página e as métricas de alcance) — </w:t>
      </w:r>
      <w:r>
        <w:rPr>
          <w:rFonts w:ascii="Century Gothic" w:hAnsi="Century Gothic" w:cs="Century Gothic" w:eastAsia="Century Gothic"/>
          <w:b/>
          <w:sz w:val="22"/>
        </w:rPr>
        <w:t>caso ainda tecnicamente armazenados ou disponíveis em seus sistemas</w:t>
      </w:r>
      <w:r>
        <w:rPr>
          <w:rFonts w:ascii="Century Gothic" w:hAnsi="Century Gothic" w:cs="Century Gothic" w:eastAsia="Century Gothic"/>
          <w:sz w:val="22"/>
        </w:rPr>
        <w:t xml:space="preserve">. Estão demonstrados os requisitos do art. 22, parágrafo único: </w:t>
      </w:r>
      <w:r>
        <w:rPr>
          <w:rFonts w:ascii="Century Gothic" w:hAnsi="Century Gothic" w:cs="Century Gothic" w:eastAsia="Century Gothic"/>
          <w:b/>
          <w:sz w:val="22"/>
        </w:rPr>
        <w:t>(I)</w:t>
      </w:r>
      <w:r>
        <w:rPr>
          <w:rFonts w:ascii="Century Gothic" w:hAnsi="Century Gothic" w:cs="Century Gothic" w:eastAsia="Century Gothic"/>
          <w:sz w:val="22"/>
        </w:rPr>
        <w:t xml:space="preserve"> fundados indícios do ilícito (BO e capturas anexas); </w:t>
      </w:r>
      <w:r>
        <w:rPr>
          <w:rFonts w:ascii="Century Gothic" w:hAnsi="Century Gothic" w:cs="Century Gothic" w:eastAsia="Century Gothic"/>
          <w:b/>
          <w:sz w:val="22"/>
        </w:rPr>
        <w:t>(II)</w:t>
      </w:r>
      <w:r>
        <w:rPr>
          <w:rFonts w:ascii="Century Gothic" w:hAnsi="Century Gothic" w:cs="Century Gothic" w:eastAsia="Century Gothic"/>
          <w:sz w:val="22"/>
        </w:rPr>
        <w:t xml:space="preserve"> utilidade (identificar o autor da mensagem original e confirmar a administração dos perfis); </w:t>
      </w:r>
      <w:r>
        <w:rPr>
          <w:rFonts w:ascii="Century Gothic" w:hAnsi="Century Gothic" w:cs="Century Gothic" w:eastAsia="Century Gothic"/>
          <w:b/>
          <w:sz w:val="22"/>
        </w:rPr>
        <w:t>(III)</w:t>
      </w:r>
      <w:r>
        <w:rPr>
          <w:rFonts w:ascii="Century Gothic" w:hAnsi="Century Gothic" w:cs="Century Gothic" w:eastAsia="Century Gothic"/>
          <w:sz w:val="22"/>
        </w:rPr>
        <w:t xml:space="preserve"> período determinado (05-06/07/2026). A urgência decorre do prazo legal de guarda de seis meses (art. 15, </w:t>
      </w:r>
      <w:r>
        <w:rPr>
          <w:rFonts w:ascii="Century Gothic" w:hAnsi="Century Gothic" w:cs="Century Gothic" w:eastAsia="Century Gothic"/>
          <w:i/>
          <w:sz w:val="22"/>
        </w:rPr>
        <w:t>caput</w:t>
      </w:r>
      <w:r>
        <w:rPr>
          <w:rFonts w:ascii="Century Gothic" w:hAnsi="Century Gothic" w:cs="Century Gothic" w:eastAsia="Century Gothic"/>
          <w:sz w:val="22"/>
        </w:rPr>
        <w:t>) e do risco de perecimento (art. 381, I, do CPC).</w:t>
      </w:r>
    </w:p>
    <w:p>
      <w:pPr>
        <w:spacing w:before="400" w:after="200" w:line="240" w:lineRule="auto"/>
        <w:ind w:firstLine="0"/>
        <w:jc w:val="both"/>
      </w:pPr>
      <w:r>
        <w:rPr>
          <w:rFonts w:ascii="Century Gothic" w:hAnsi="Century Gothic" w:cs="Century Gothic" w:eastAsia="Century Gothic"/>
          <w:b/>
          <w:sz w:val="22"/>
        </w:rPr>
        <w:t>(b) A PRÓPRIA RÉ — que detém a prova mais sensível.</w:t>
      </w:r>
      <w:r>
        <w:rPr>
          <w:rFonts w:ascii="Century Gothic" w:hAnsi="Century Gothic" w:cs="Century Gothic" w:eastAsia="Century Gothic"/>
          <w:sz w:val="22"/>
        </w:rPr>
        <w:t xml:space="preserve"> Na forma dos arts. 396 a 400 do CPC, requer-se ordem para que a ré </w:t>
      </w:r>
      <w:r>
        <w:rPr>
          <w:rFonts w:ascii="Century Gothic" w:hAnsi="Century Gothic" w:cs="Century Gothic" w:eastAsia="Century Gothic"/>
          <w:b/>
          <w:sz w:val="22"/>
        </w:rPr>
        <w:t>preserve e exiba</w:t>
      </w:r>
      <w:r>
        <w:rPr>
          <w:rFonts w:ascii="Century Gothic" w:hAnsi="Century Gothic" w:cs="Century Gothic" w:eastAsia="Century Gothic"/>
          <w:sz w:val="22"/>
        </w:rPr>
        <w:t xml:space="preserve">: a mensagem original recebida da suposta seguidora (íntegra, com remetente, data e hora); os arquivos utilizados na publicação; as métricas do </w:t>
      </w:r>
      <w:r>
        <w:rPr>
          <w:rFonts w:ascii="Century Gothic" w:hAnsi="Century Gothic" w:cs="Century Gothic" w:eastAsia="Century Gothic"/>
          <w:i/>
          <w:sz w:val="22"/>
        </w:rPr>
        <w:t>story</w:t>
      </w:r>
      <w:r>
        <w:rPr>
          <w:rFonts w:ascii="Century Gothic" w:hAnsi="Century Gothic" w:cs="Century Gothic" w:eastAsia="Century Gothic"/>
          <w:sz w:val="22"/>
        </w:rPr>
        <w:t xml:space="preserve"> (alcance, visualizações, respostas, compartilhamentos e número de seguidores na data); e a informação de quem administrava os perfis em 05/07/2026. A recusa ilegítima sujeitará a ré à presunção de veracidade dos fatos que se pretendia provar (art. 400 do CPC).</w:t>
      </w:r>
    </w:p>
    <w:p>
      <w:pPr>
        <w:spacing w:before="400" w:after="200" w:line="240" w:lineRule="auto"/>
        <w:ind w:firstLine="0"/>
        <w:jc w:val="both"/>
      </w:pPr>
      <w:r>
        <w:rPr>
          <w:rFonts w:ascii="Century Gothic" w:hAnsi="Century Gothic" w:cs="Century Gothic" w:eastAsia="Century Gothic"/>
          <w:b/>
          <w:sz w:val="22"/>
          <w:u w:val="single"/>
        </w:rPr>
        <w:t>2.7. Da tutela de urgência</w:t>
      </w:r>
    </w:p>
    <w:p>
      <w:pPr>
        <w:spacing w:before="400" w:after="200" w:line="240" w:lineRule="auto"/>
        <w:ind w:firstLine="0"/>
        <w:jc w:val="both"/>
      </w:pPr>
      <w:r>
        <w:rPr>
          <w:rFonts w:ascii="Century Gothic" w:hAnsi="Century Gothic" w:cs="Century Gothic" w:eastAsia="Century Gothic"/>
          <w:sz w:val="22"/>
        </w:rPr>
        <w:t xml:space="preserve">Presentes os requisitos do art. 300 do CPC: a </w:t>
      </w:r>
      <w:r>
        <w:rPr>
          <w:rFonts w:ascii="Century Gothic" w:hAnsi="Century Gothic" w:cs="Century Gothic" w:eastAsia="Century Gothic"/>
          <w:b/>
          <w:sz w:val="22"/>
        </w:rPr>
        <w:t>probabilidade do direito</w:t>
      </w:r>
      <w:r>
        <w:rPr>
          <w:rFonts w:ascii="Century Gothic" w:hAnsi="Century Gothic" w:cs="Century Gothic" w:eastAsia="Century Gothic"/>
          <w:sz w:val="22"/>
        </w:rPr>
        <w:t xml:space="preserve"> resulta da prova documental (teor da publicação, cadeia de identificação da ré, caráter comercial do perfil, BO); o </w:t>
      </w:r>
      <w:r>
        <w:rPr>
          <w:rFonts w:ascii="Century Gothic" w:hAnsi="Century Gothic" w:cs="Century Gothic" w:eastAsia="Century Gothic"/>
          <w:b/>
          <w:sz w:val="22"/>
        </w:rPr>
        <w:t>perigo de dano e o risco ao resultado útil do processo</w:t>
      </w:r>
      <w:r>
        <w:rPr>
          <w:rFonts w:ascii="Century Gothic" w:hAnsi="Century Gothic" w:cs="Century Gothic" w:eastAsia="Century Gothic"/>
          <w:sz w:val="22"/>
        </w:rPr>
        <w:t xml:space="preserve"> têm dupla face — a possibilidade concreta de nova veiculação pela ré, que mantém o controle dos perfis, e, sobretudo, o </w:t>
      </w:r>
      <w:r>
        <w:rPr>
          <w:rFonts w:ascii="Century Gothic" w:hAnsi="Century Gothic" w:cs="Century Gothic" w:eastAsia="Century Gothic"/>
          <w:b/>
          <w:sz w:val="22"/>
        </w:rPr>
        <w:t>perecimento iminente da prova</w:t>
      </w:r>
      <w:r>
        <w:rPr>
          <w:rFonts w:ascii="Century Gothic" w:hAnsi="Century Gothic" w:cs="Century Gothic" w:eastAsia="Century Gothic"/>
          <w:sz w:val="22"/>
        </w:rPr>
        <w:t xml:space="preserve"> (registros com prazo legal de guarda; elementos apagáveis em poder da ré). O poder geral de efetivação (art. 297 do CPC) autoriza as medidas adequadas a cada destinatário.</w:t>
      </w:r>
    </w:p>
    <w:p>
      <w:pPr>
        <w:spacing w:before="400" w:after="200" w:line="240" w:lineRule="auto"/>
        <w:ind w:firstLine="0"/>
        <w:jc w:val="left"/>
      </w:pPr>
      <w:r>
        <w:rPr>
          <w:rFonts w:ascii="Century Gothic" w:hAnsi="Century Gothic" w:cs="Century Gothic" w:eastAsia="Century Gothic"/>
          <w:b/>
          <w:sz w:val="22"/>
        </w:rPr>
        <w:t>III) DA TUTELA DE URGÊNCIA (PEDIDOS LIMINARES)</w:t>
      </w:r>
    </w:p>
    <w:p>
      <w:pPr>
        <w:spacing w:before="400" w:after="200" w:line="240" w:lineRule="auto"/>
        <w:ind w:firstLine="0"/>
        <w:jc w:val="both"/>
      </w:pPr>
      <w:r>
        <w:rPr>
          <w:rFonts w:ascii="Century Gothic" w:hAnsi="Century Gothic" w:cs="Century Gothic" w:eastAsia="Century Gothic"/>
          <w:sz w:val="22"/>
        </w:rPr>
        <w:t xml:space="preserve">Requer-se, </w:t>
      </w:r>
      <w:r>
        <w:rPr>
          <w:rFonts w:ascii="Century Gothic" w:hAnsi="Century Gothic" w:cs="Century Gothic" w:eastAsia="Century Gothic"/>
          <w:i/>
          <w:sz w:val="22"/>
        </w:rPr>
        <w:t>inaudita altera parte</w:t>
      </w:r>
      <w:r>
        <w:rPr>
          <w:rFonts w:ascii="Century Gothic" w:hAnsi="Century Gothic" w:cs="Century Gothic" w:eastAsia="Century Gothic"/>
          <w:sz w:val="22"/>
        </w:rPr>
        <w:t>:</w:t>
      </w:r>
    </w:p>
    <w:p>
      <w:pPr>
        <w:spacing w:before="400" w:after="200" w:line="240" w:lineRule="auto"/>
        <w:ind w:firstLine="0"/>
        <w:jc w:val="both"/>
      </w:pPr>
      <w:r>
        <w:rPr>
          <w:rFonts w:ascii="Century Gothic" w:hAnsi="Century Gothic" w:cs="Century Gothic" w:eastAsia="Century Gothic"/>
          <w:b/>
          <w:sz w:val="22"/>
        </w:rPr>
        <w:t>a)</w:t>
      </w:r>
      <w:r>
        <w:rPr>
          <w:rFonts w:ascii="Century Gothic" w:hAnsi="Century Gothic" w:cs="Century Gothic" w:eastAsia="Century Gothic"/>
          <w:sz w:val="22"/>
        </w:rPr>
        <w:t xml:space="preserve"> ordem à </w:t>
      </w:r>
      <w:r>
        <w:rPr>
          <w:rFonts w:ascii="Century Gothic" w:hAnsi="Century Gothic" w:cs="Century Gothic" w:eastAsia="Century Gothic"/>
          <w:b/>
          <w:sz w:val="22"/>
        </w:rPr>
        <w:t>META PLATFORMS, INC.</w:t>
      </w:r>
      <w:r>
        <w:rPr>
          <w:rFonts w:ascii="Century Gothic" w:hAnsi="Century Gothic" w:cs="Century Gothic" w:eastAsia="Century Gothic"/>
          <w:sz w:val="22"/>
        </w:rPr>
        <w:t xml:space="preserve">, como terceira (arts. 22 e 23 do MCI; art. 380 do CPC), para </w:t>
      </w:r>
      <w:r>
        <w:rPr>
          <w:rFonts w:ascii="Century Gothic" w:hAnsi="Century Gothic" w:cs="Century Gothic" w:eastAsia="Century Gothic"/>
          <w:b/>
          <w:sz w:val="22"/>
        </w:rPr>
        <w:t>preservação imediata</w:t>
      </w:r>
      <w:r>
        <w:rPr>
          <w:rFonts w:ascii="Century Gothic" w:hAnsi="Century Gothic" w:cs="Century Gothic" w:eastAsia="Century Gothic"/>
          <w:sz w:val="22"/>
        </w:rPr>
        <w:t xml:space="preserve"> das três categorias de dados especificadas no item (a) do capítulo anterior, relativas aos perfis "@babadosdecanaareserva" e "@babadosdecanaarsv" e ao período de 05 a 06/07/2026, caso ainda tecnicamente armazenados;</w:t>
      </w:r>
    </w:p>
    <w:p>
      <w:pPr>
        <w:spacing w:before="400" w:after="200" w:line="240" w:lineRule="auto"/>
        <w:ind w:firstLine="0"/>
        <w:jc w:val="both"/>
      </w:pPr>
      <w:r>
        <w:rPr>
          <w:rFonts w:ascii="Century Gothic" w:hAnsi="Century Gothic" w:cs="Century Gothic" w:eastAsia="Century Gothic"/>
          <w:b/>
          <w:sz w:val="22"/>
        </w:rPr>
        <w:t>b)</w:t>
      </w:r>
      <w:r>
        <w:rPr>
          <w:rFonts w:ascii="Century Gothic" w:hAnsi="Century Gothic" w:cs="Century Gothic" w:eastAsia="Century Gothic"/>
          <w:sz w:val="22"/>
        </w:rPr>
        <w:t xml:space="preserve"> ordem à </w:t>
      </w:r>
      <w:r>
        <w:rPr>
          <w:rFonts w:ascii="Century Gothic" w:hAnsi="Century Gothic" w:cs="Century Gothic" w:eastAsia="Century Gothic"/>
          <w:b/>
          <w:sz w:val="22"/>
        </w:rPr>
        <w:t>ré</w:t>
      </w:r>
      <w:r>
        <w:rPr>
          <w:rFonts w:ascii="Century Gothic" w:hAnsi="Century Gothic" w:cs="Century Gothic" w:eastAsia="Century Gothic"/>
          <w:sz w:val="22"/>
        </w:rPr>
        <w:t xml:space="preserve"> para que </w:t>
      </w:r>
      <w:r>
        <w:rPr>
          <w:rFonts w:ascii="Century Gothic" w:hAnsi="Century Gothic" w:cs="Century Gothic" w:eastAsia="Century Gothic"/>
          <w:b/>
          <w:sz w:val="22"/>
        </w:rPr>
        <w:t>se abstenha de apagar, alterar ou tornar inacessíveis</w:t>
      </w:r>
      <w:r>
        <w:rPr>
          <w:rFonts w:ascii="Century Gothic" w:hAnsi="Century Gothic" w:cs="Century Gothic" w:eastAsia="Century Gothic"/>
          <w:sz w:val="22"/>
        </w:rPr>
        <w:t xml:space="preserve"> a mensagem original recebida, os arquivos, as métricas e os demais elementos relacionados à publicação de 05/07/2026, sob pena de multa e da presunção do art. 400 do CPC;</w:t>
      </w:r>
    </w:p>
    <w:p>
      <w:pPr>
        <w:spacing w:before="400" w:after="200" w:line="240" w:lineRule="auto"/>
        <w:ind w:firstLine="0"/>
        <w:jc w:val="both"/>
      </w:pPr>
      <w:r>
        <w:rPr>
          <w:rFonts w:ascii="Century Gothic" w:hAnsi="Century Gothic" w:cs="Century Gothic" w:eastAsia="Century Gothic"/>
          <w:b/>
          <w:sz w:val="22"/>
        </w:rPr>
        <w:t>c)</w:t>
      </w:r>
      <w:r>
        <w:rPr>
          <w:rFonts w:ascii="Century Gothic" w:hAnsi="Century Gothic" w:cs="Century Gothic" w:eastAsia="Century Gothic"/>
          <w:sz w:val="22"/>
        </w:rPr>
        <w:t xml:space="preserve"> ordem à </w:t>
      </w:r>
      <w:r>
        <w:rPr>
          <w:rFonts w:ascii="Century Gothic" w:hAnsi="Century Gothic" w:cs="Century Gothic" w:eastAsia="Century Gothic"/>
          <w:b/>
          <w:sz w:val="22"/>
        </w:rPr>
        <w:t>ré</w:t>
      </w:r>
      <w:r>
        <w:rPr>
          <w:rFonts w:ascii="Century Gothic" w:hAnsi="Century Gothic" w:cs="Century Gothic" w:eastAsia="Century Gothic"/>
          <w:sz w:val="22"/>
        </w:rPr>
        <w:t xml:space="preserve"> para que se abstenha de </w:t>
      </w:r>
      <w:r>
        <w:rPr>
          <w:rFonts w:ascii="Century Gothic" w:hAnsi="Century Gothic" w:cs="Century Gothic" w:eastAsia="Century Gothic"/>
          <w:b/>
          <w:sz w:val="22"/>
        </w:rPr>
        <w:t>republicar o texto transcrito no item 1</w:t>
      </w:r>
      <w:r>
        <w:rPr>
          <w:rFonts w:ascii="Century Gothic" w:hAnsi="Century Gothic" w:cs="Century Gothic" w:eastAsia="Century Gothic"/>
          <w:sz w:val="22"/>
        </w:rPr>
        <w:t xml:space="preserve"> desta inicial, bem como de reiterar, como fato, a acusação de que a segunda autora mantém investidas sobre homem casado ou de que carece de caráter em razão dessa suposta conduta, em qualquer dos perfis que administra — ressalvado o exercício regular de defesa nos autos —, sob pena de multa de </w:t>
      </w:r>
      <w:r>
        <w:rPr>
          <w:rFonts w:ascii="Century Gothic" w:hAnsi="Century Gothic" w:cs="Century Gothic" w:eastAsia="Century Gothic"/>
          <w:b/>
          <w:sz w:val="22"/>
        </w:rPr>
        <w:t>R$ 2.000,00 (dois mil reais) por nova publicação</w:t>
      </w:r>
      <w:r>
        <w:rPr>
          <w:rFonts w:ascii="Century Gothic" w:hAnsi="Century Gothic" w:cs="Century Gothic" w:eastAsia="Century Gothic"/>
          <w:sz w:val="22"/>
        </w:rPr>
        <w:t xml:space="preserve">, cumulada com multa diária de </w:t>
      </w:r>
      <w:r>
        <w:rPr>
          <w:rFonts w:ascii="Century Gothic" w:hAnsi="Century Gothic" w:cs="Century Gothic" w:eastAsia="Century Gothic"/>
          <w:b/>
          <w:sz w:val="22"/>
        </w:rPr>
        <w:t>R$ 500,00 (quinhentos reais)</w:t>
      </w:r>
      <w:r>
        <w:rPr>
          <w:rFonts w:ascii="Century Gothic" w:hAnsi="Century Gothic" w:cs="Century Gothic" w:eastAsia="Century Gothic"/>
          <w:sz w:val="22"/>
        </w:rPr>
        <w:t xml:space="preserve"> enquanto cada conteúdo permanecer disponível, limitadas, por ora, a R$ 20.000,00 (vinte mil reais), sem prejuízo de majoração;</w:t>
      </w:r>
    </w:p>
    <w:p>
      <w:pPr>
        <w:spacing w:before="400" w:after="200" w:line="240" w:lineRule="auto"/>
        <w:ind w:firstLine="0"/>
        <w:jc w:val="both"/>
      </w:pPr>
      <w:r>
        <w:rPr>
          <w:rFonts w:ascii="Century Gothic" w:hAnsi="Century Gothic" w:cs="Century Gothic" w:eastAsia="Century Gothic"/>
          <w:b/>
          <w:sz w:val="22"/>
        </w:rPr>
        <w:t>d)</w:t>
      </w:r>
      <w:r>
        <w:rPr>
          <w:rFonts w:ascii="Century Gothic" w:hAnsi="Century Gothic" w:cs="Century Gothic" w:eastAsia="Century Gothic"/>
          <w:sz w:val="22"/>
        </w:rPr>
        <w:t xml:space="preserve"> que os dados fornecidos em cumprimento às ordens acima sejam juntados em </w:t>
      </w:r>
      <w:r>
        <w:rPr>
          <w:rFonts w:ascii="Century Gothic" w:hAnsi="Century Gothic" w:cs="Century Gothic" w:eastAsia="Century Gothic"/>
          <w:b/>
          <w:sz w:val="22"/>
        </w:rPr>
        <w:t>apartado sigiloso</w:t>
      </w:r>
      <w:r>
        <w:rPr>
          <w:rFonts w:ascii="Century Gothic" w:hAnsi="Century Gothic" w:cs="Century Gothic" w:eastAsia="Century Gothic"/>
          <w:sz w:val="22"/>
        </w:rPr>
        <w:t>, com acesso restrito às partes, aos advogados e ao juízo (art. 23 da Lei nº 12.965/2014).</w:t>
      </w:r>
    </w:p>
    <w:p>
      <w:pPr>
        <w:spacing w:before="400" w:after="200" w:line="240" w:lineRule="auto"/>
        <w:ind w:firstLine="0"/>
        <w:jc w:val="left"/>
      </w:pPr>
      <w:r>
        <w:rPr>
          <w:rFonts w:ascii="Century Gothic" w:hAnsi="Century Gothic" w:cs="Century Gothic" w:eastAsia="Century Gothic"/>
          <w:b/>
          <w:sz w:val="22"/>
        </w:rPr>
        <w:t>IV) DOS PEDIDOS</w:t>
      </w:r>
    </w:p>
    <w:p>
      <w:pPr>
        <w:spacing w:before="400" w:after="200" w:line="240" w:lineRule="auto"/>
        <w:ind w:firstLine="0"/>
        <w:jc w:val="both"/>
      </w:pPr>
      <w:r>
        <w:rPr>
          <w:rFonts w:ascii="Century Gothic" w:hAnsi="Century Gothic" w:cs="Century Gothic" w:eastAsia="Century Gothic"/>
          <w:sz w:val="22"/>
        </w:rPr>
        <w:t>Requer-se, ao final:</w:t>
      </w:r>
    </w:p>
    <w:p>
      <w:pPr>
        <w:spacing w:before="400" w:after="200" w:line="240" w:lineRule="auto"/>
        <w:ind w:firstLine="0"/>
        <w:jc w:val="both"/>
      </w:pPr>
      <w:r>
        <w:rPr>
          <w:rFonts w:ascii="Century Gothic" w:hAnsi="Century Gothic" w:cs="Century Gothic" w:eastAsia="Century Gothic"/>
          <w:b/>
          <w:sz w:val="22"/>
        </w:rPr>
        <w:t>e)</w:t>
      </w:r>
      <w:r>
        <w:rPr>
          <w:rFonts w:ascii="Century Gothic" w:hAnsi="Century Gothic" w:cs="Century Gothic" w:eastAsia="Century Gothic"/>
          <w:sz w:val="22"/>
        </w:rPr>
        <w:t xml:space="preserve"> a </w:t>
      </w:r>
      <w:r>
        <w:rPr>
          <w:rFonts w:ascii="Century Gothic" w:hAnsi="Century Gothic" w:cs="Century Gothic" w:eastAsia="Century Gothic"/>
          <w:b/>
          <w:sz w:val="22"/>
        </w:rPr>
        <w:t>citação da ré</w:t>
      </w:r>
      <w:r>
        <w:rPr>
          <w:rFonts w:ascii="Century Gothic" w:hAnsi="Century Gothic" w:cs="Century Gothic" w:eastAsia="Century Gothic"/>
          <w:sz w:val="22"/>
        </w:rPr>
        <w:t>, deferindo-se, desde logo, a pesquisa de sua qualificação completa e endereço pelos sistemas conveniados a partir do nome completo constante dos autos (docs. DOC-05/DOC-06), declarando as autoras desconhecerem seu endereço físico e eletrônico;</w:t>
      </w:r>
    </w:p>
    <w:p>
      <w:pPr>
        <w:spacing w:before="400" w:after="200" w:line="240" w:lineRule="auto"/>
        <w:ind w:firstLine="0"/>
        <w:jc w:val="both"/>
      </w:pPr>
      <w:r>
        <w:rPr>
          <w:rFonts w:ascii="Century Gothic" w:hAnsi="Century Gothic" w:cs="Century Gothic" w:eastAsia="Century Gothic"/>
          <w:b/>
          <w:sz w:val="22"/>
        </w:rPr>
        <w:t>f)</w:t>
      </w:r>
      <w:r>
        <w:rPr>
          <w:rFonts w:ascii="Century Gothic" w:hAnsi="Century Gothic" w:cs="Century Gothic" w:eastAsia="Century Gothic"/>
          <w:sz w:val="22"/>
        </w:rPr>
        <w:t xml:space="preserve"> a confirmação, em definitivo, das tutelas de urgência;</w:t>
      </w:r>
    </w:p>
    <w:p>
      <w:pPr>
        <w:spacing w:before="400" w:after="200" w:line="240" w:lineRule="auto"/>
        <w:ind w:firstLine="0"/>
        <w:jc w:val="both"/>
      </w:pPr>
      <w:r>
        <w:rPr>
          <w:rFonts w:ascii="Century Gothic" w:hAnsi="Century Gothic" w:cs="Century Gothic" w:eastAsia="Century Gothic"/>
          <w:b/>
          <w:sz w:val="22"/>
        </w:rPr>
        <w:t>g)</w:t>
      </w:r>
      <w:r>
        <w:rPr>
          <w:rFonts w:ascii="Century Gothic" w:hAnsi="Century Gothic" w:cs="Century Gothic" w:eastAsia="Century Gothic"/>
          <w:sz w:val="22"/>
        </w:rPr>
        <w:t xml:space="preserve"> a condenação da ré ao pagamento de indenização por </w:t>
      </w:r>
      <w:r>
        <w:rPr>
          <w:rFonts w:ascii="Century Gothic" w:hAnsi="Century Gothic" w:cs="Century Gothic" w:eastAsia="Century Gothic"/>
          <w:b/>
          <w:sz w:val="22"/>
        </w:rPr>
        <w:t>danos morais</w:t>
      </w:r>
      <w:r>
        <w:rPr>
          <w:rFonts w:ascii="Century Gothic" w:hAnsi="Century Gothic" w:cs="Century Gothic" w:eastAsia="Century Gothic"/>
          <w:sz w:val="22"/>
        </w:rPr>
        <w:t xml:space="preserve"> de </w:t>
      </w:r>
      <w:r>
        <w:rPr>
          <w:rFonts w:ascii="Century Gothic" w:hAnsi="Century Gothic" w:cs="Century Gothic" w:eastAsia="Century Gothic"/>
          <w:b/>
          <w:sz w:val="22"/>
        </w:rPr>
        <w:t>R$ 10.000,00</w:t>
      </w:r>
      <w:r>
        <w:rPr>
          <w:rFonts w:ascii="Century Gothic" w:hAnsi="Century Gothic" w:cs="Century Gothic" w:eastAsia="Century Gothic"/>
          <w:sz w:val="22"/>
        </w:rPr>
        <w:t xml:space="preserve"> (dez mil reais) à primeira autora e </w:t>
      </w:r>
      <w:r>
        <w:rPr>
          <w:rFonts w:ascii="Century Gothic" w:hAnsi="Century Gothic" w:cs="Century Gothic" w:eastAsia="Century Gothic"/>
          <w:b/>
          <w:sz w:val="22"/>
        </w:rPr>
        <w:t>R$ 10.000,00</w:t>
      </w:r>
      <w:r>
        <w:rPr>
          <w:rFonts w:ascii="Century Gothic" w:hAnsi="Century Gothic" w:cs="Century Gothic" w:eastAsia="Century Gothic"/>
          <w:sz w:val="22"/>
        </w:rPr>
        <w:t xml:space="preserve"> (dez mil reais) à segunda autora, com </w:t>
      </w:r>
      <w:r>
        <w:rPr>
          <w:rFonts w:ascii="Century Gothic" w:hAnsi="Century Gothic" w:cs="Century Gothic" w:eastAsia="Century Gothic"/>
          <w:b/>
          <w:sz w:val="22"/>
        </w:rPr>
        <w:t>juros moratórios desde o evento danoso, em 05/07/2026 (Súmula 54/STJ), e correção monetária desde o arbitramento (Súmula 362/STJ)</w:t>
      </w:r>
      <w:r>
        <w:rPr>
          <w:rFonts w:ascii="Century Gothic" w:hAnsi="Century Gothic" w:cs="Century Gothic" w:eastAsia="Century Gothic"/>
          <w:sz w:val="22"/>
        </w:rPr>
        <w:t>;</w:t>
      </w:r>
    </w:p>
    <w:p>
      <w:pPr>
        <w:spacing w:before="400" w:after="200" w:line="240" w:lineRule="auto"/>
        <w:ind w:firstLine="0"/>
        <w:jc w:val="both"/>
      </w:pPr>
      <w:r>
        <w:rPr>
          <w:rFonts w:ascii="Century Gothic" w:hAnsi="Century Gothic" w:cs="Century Gothic" w:eastAsia="Century Gothic"/>
          <w:b/>
          <w:sz w:val="22"/>
        </w:rPr>
        <w:t>h)</w:t>
      </w:r>
      <w:r>
        <w:rPr>
          <w:rFonts w:ascii="Century Gothic" w:hAnsi="Century Gothic" w:cs="Century Gothic" w:eastAsia="Century Gothic"/>
          <w:sz w:val="22"/>
        </w:rPr>
        <w:t xml:space="preserve"> a condenação da ré à </w:t>
      </w:r>
      <w:r>
        <w:rPr>
          <w:rFonts w:ascii="Century Gothic" w:hAnsi="Century Gothic" w:cs="Century Gothic" w:eastAsia="Century Gothic"/>
          <w:b/>
          <w:sz w:val="22"/>
        </w:rPr>
        <w:t>obrigação de fazer</w:t>
      </w:r>
      <w:r>
        <w:rPr>
          <w:rFonts w:ascii="Century Gothic" w:hAnsi="Century Gothic" w:cs="Century Gothic" w:eastAsia="Century Gothic"/>
          <w:sz w:val="22"/>
        </w:rPr>
        <w:t xml:space="preserve"> consistente em publicar, em todos os perfis que administra e que tenham sido empregados na divulgação, </w:t>
      </w:r>
      <w:r>
        <w:rPr>
          <w:rFonts w:ascii="Century Gothic" w:hAnsi="Century Gothic" w:cs="Century Gothic" w:eastAsia="Century Gothic"/>
          <w:b/>
          <w:sz w:val="22"/>
        </w:rPr>
        <w:t>retratação em story legível, mantido em destaque pelo prazo de 7 (sete) dias</w:t>
      </w:r>
      <w:r>
        <w:rPr>
          <w:rFonts w:ascii="Century Gothic" w:hAnsi="Century Gothic" w:cs="Century Gothic" w:eastAsia="Century Gothic"/>
          <w:sz w:val="22"/>
        </w:rPr>
        <w:t xml:space="preserve">, sem sobreposição de outros conteúdos e sem comentários depreciativos, no prazo de 5 dias do trânsito em julgado, sob a mesma multa do item "c", com o seguinte teor, sujeito à aprovação deste juízo: </w:t>
      </w:r>
      <w:r>
        <w:rPr>
          <w:rFonts w:ascii="Century Gothic" w:hAnsi="Century Gothic" w:cs="Century Gothic" w:eastAsia="Century Gothic"/>
          <w:i/>
          <w:sz w:val="22"/>
        </w:rPr>
        <w:t>"Em 05/07/2026, este perfil publicou relato não verificado que permitiu a identificação da empresa Nascimento Ferro e Aço Ltda. e de sua gestora, Daiane Costa Assunção, atribuindo-lhe conduta pessoal desabonadora. A alegação não foi comprovada, razão pela qual nos retratamos pela publicação e pelos prejuízos causados."</w:t>
      </w:r>
      <w:r>
        <w:rPr>
          <w:rFonts w:ascii="Century Gothic" w:hAnsi="Century Gothic" w:cs="Century Gothic" w:eastAsia="Century Gothic"/>
          <w:sz w:val="22"/>
        </w:rPr>
        <w:t>;</w:t>
      </w:r>
    </w:p>
    <w:p>
      <w:pPr>
        <w:spacing w:before="400" w:after="200" w:line="240" w:lineRule="auto"/>
        <w:ind w:firstLine="0"/>
        <w:jc w:val="both"/>
      </w:pPr>
      <w:r>
        <w:rPr>
          <w:rFonts w:ascii="Century Gothic" w:hAnsi="Century Gothic" w:cs="Century Gothic" w:eastAsia="Century Gothic"/>
          <w:b/>
          <w:sz w:val="22"/>
        </w:rPr>
        <w:t>i)</w:t>
      </w:r>
      <w:r>
        <w:rPr>
          <w:rFonts w:ascii="Century Gothic" w:hAnsi="Century Gothic" w:cs="Century Gothic" w:eastAsia="Century Gothic"/>
          <w:sz w:val="22"/>
        </w:rPr>
        <w:t xml:space="preserve"> a </w:t>
      </w:r>
      <w:r>
        <w:rPr>
          <w:rFonts w:ascii="Century Gothic" w:hAnsi="Century Gothic" w:cs="Century Gothic" w:eastAsia="Century Gothic"/>
          <w:b/>
          <w:sz w:val="22"/>
        </w:rPr>
        <w:t>exibição, pela ré</w:t>
      </w:r>
      <w:r>
        <w:rPr>
          <w:rFonts w:ascii="Century Gothic" w:hAnsi="Century Gothic" w:cs="Century Gothic" w:eastAsia="Century Gothic"/>
          <w:sz w:val="22"/>
        </w:rPr>
        <w:t xml:space="preserve">, dos documentos e dados especificados no item (b) do capítulo do direito (arts. 396 a 400 do CPC), e, subsidiariamente, o </w:t>
      </w:r>
      <w:r>
        <w:rPr>
          <w:rFonts w:ascii="Century Gothic" w:hAnsi="Century Gothic" w:cs="Century Gothic" w:eastAsia="Century Gothic"/>
          <w:b/>
          <w:sz w:val="22"/>
        </w:rPr>
        <w:t>fornecimento pela META</w:t>
      </w:r>
      <w:r>
        <w:rPr>
          <w:rFonts w:ascii="Century Gothic" w:hAnsi="Century Gothic" w:cs="Century Gothic" w:eastAsia="Century Gothic"/>
          <w:sz w:val="22"/>
        </w:rPr>
        <w:t xml:space="preserve"> dos dados preservados (item "a"), caso sobrevenha controvérsia sobre administração dos perfis ou autoria;</w:t>
      </w:r>
    </w:p>
    <w:p>
      <w:pPr>
        <w:spacing w:before="400" w:after="200" w:line="240" w:lineRule="auto"/>
        <w:ind w:firstLine="0"/>
        <w:jc w:val="both"/>
      </w:pPr>
      <w:r>
        <w:rPr>
          <w:rFonts w:ascii="Century Gothic" w:hAnsi="Century Gothic" w:cs="Century Gothic" w:eastAsia="Century Gothic"/>
          <w:b/>
          <w:sz w:val="22"/>
        </w:rPr>
        <w:t>j)</w:t>
      </w:r>
      <w:r>
        <w:rPr>
          <w:rFonts w:ascii="Century Gothic" w:hAnsi="Century Gothic" w:cs="Century Gothic" w:eastAsia="Century Gothic"/>
          <w:sz w:val="22"/>
        </w:rPr>
        <w:t xml:space="preserve"> a condenação da ré em custas e honorários advocatícios (art. 85 do CPC).</w:t>
      </w:r>
    </w:p>
    <w:p>
      <w:pPr>
        <w:spacing w:before="400" w:after="200" w:line="240" w:lineRule="auto"/>
        <w:ind w:firstLine="0"/>
        <w:jc w:val="both"/>
      </w:pPr>
      <w:r>
        <w:rPr>
          <w:rFonts w:ascii="Century Gothic" w:hAnsi="Century Gothic" w:cs="Century Gothic" w:eastAsia="Century Gothic"/>
          <w:b/>
          <w:sz w:val="22"/>
        </w:rPr>
        <w:t>Da audiência de conciliação:</w:t>
      </w:r>
      <w:r>
        <w:rPr>
          <w:rFonts w:ascii="Century Gothic" w:hAnsi="Century Gothic" w:cs="Century Gothic" w:eastAsia="Century Gothic"/>
          <w:sz w:val="22"/>
        </w:rPr>
        <w:t xml:space="preserve"> em atenção ao art. 319, VII, do CPC, as autoras manifestam, por ora, </w:t>
      </w:r>
      <w:r>
        <w:rPr>
          <w:rFonts w:ascii="Century Gothic" w:hAnsi="Century Gothic" w:cs="Century Gothic" w:eastAsia="Century Gothic"/>
          <w:b/>
          <w:sz w:val="22"/>
        </w:rPr>
        <w:t>desinteresse na audiência de autocomposição</w:t>
      </w:r>
      <w:r>
        <w:rPr>
          <w:rFonts w:ascii="Century Gothic" w:hAnsi="Century Gothic" w:cs="Century Gothic" w:eastAsia="Century Gothic"/>
          <w:sz w:val="22"/>
        </w:rPr>
        <w:t>, sem prejuízo de reavaliação a qualquer tempo.</w:t>
      </w:r>
    </w:p>
    <w:p>
      <w:pPr>
        <w:spacing w:before="400" w:after="200" w:line="240" w:lineRule="auto"/>
        <w:ind w:firstLine="0"/>
        <w:jc w:val="both"/>
      </w:pPr>
      <w:r>
        <w:rPr>
          <w:rFonts w:ascii="Century Gothic" w:hAnsi="Century Gothic" w:cs="Century Gothic" w:eastAsia="Century Gothic"/>
          <w:b/>
          <w:sz w:val="22"/>
        </w:rPr>
        <w:t>Das provas:</w:t>
      </w:r>
      <w:r>
        <w:rPr>
          <w:rFonts w:ascii="Century Gothic" w:hAnsi="Century Gothic" w:cs="Century Gothic" w:eastAsia="Century Gothic"/>
          <w:sz w:val="22"/>
        </w:rPr>
        <w:t xml:space="preserve"> protesta-se pela prova documental que instrui a inicial (capturas arquivadas com registro de integridade — hash SHA-256 — desde o recebimento no acervo do escritório, sem prejuízo de outros meios de comprovação de origem), pelo depoimento pessoal da ré, pela exibição referida no item "i", e pela oitiva de testemunhas — entre elas colaboradores e ex-colaboradora que receberam a publicação no próprio dia, cujos vínculos com a primeira autora ficam desde logo declarados e que confirmarão, ainda, a autenticidade das conversas juntadas.</w:t>
      </w:r>
    </w:p>
    <w:p>
      <w:pPr>
        <w:spacing w:before="400" w:after="200" w:line="240" w:lineRule="auto"/>
        <w:ind w:firstLine="0"/>
        <w:jc w:val="both"/>
      </w:pPr>
      <w:r>
        <w:rPr>
          <w:rFonts w:ascii="Century Gothic" w:hAnsi="Century Gothic" w:cs="Century Gothic" w:eastAsia="Century Gothic"/>
          <w:b/>
          <w:sz w:val="22"/>
        </w:rPr>
        <w:t>Do valor da causa:</w:t>
      </w:r>
      <w:r>
        <w:rPr>
          <w:rFonts w:ascii="Century Gothic" w:hAnsi="Century Gothic" w:cs="Century Gothic" w:eastAsia="Century Gothic"/>
          <w:sz w:val="22"/>
        </w:rPr>
        <w:t xml:space="preserve"> dá-se à causa o valor de </w:t>
      </w:r>
      <w:r>
        <w:rPr>
          <w:rFonts w:ascii="Century Gothic" w:hAnsi="Century Gothic" w:cs="Century Gothic" w:eastAsia="Century Gothic"/>
          <w:b/>
          <w:sz w:val="22"/>
        </w:rPr>
        <w:t>R$ 20.000,00</w:t>
      </w:r>
      <w:r>
        <w:rPr>
          <w:rFonts w:ascii="Century Gothic" w:hAnsi="Century Gothic" w:cs="Century Gothic" w:eastAsia="Century Gothic"/>
          <w:sz w:val="22"/>
        </w:rPr>
        <w:t xml:space="preserve"> (vinte mil reais).</w:t>
      </w:r>
    </w:p>
    <w:p>
      <w:pPr>
        <w:spacing w:before="400" w:after="200" w:line="240" w:lineRule="auto"/>
        <w:ind w:firstLine="0"/>
        <w:jc w:val="both"/>
      </w:pPr>
      <w:r>
        <w:rPr>
          <w:rFonts w:ascii="Century Gothic" w:hAnsi="Century Gothic" w:cs="Century Gothic" w:eastAsia="Century Gothic"/>
          <w:sz w:val="22"/>
        </w:rPr>
        <w:t>Nestes termos, pede deferimento.</w:t>
      </w:r>
    </w:p>
    <w:p>
      <w:pPr>
        <w:spacing w:before="400" w:after="200" w:line="240" w:lineRule="auto"/>
        <w:ind w:firstLine="0"/>
        <w:jc w:val="both"/>
      </w:pPr>
      <w:r>
        <w:rPr>
          <w:rFonts w:ascii="Century Gothic" w:hAnsi="Century Gothic" w:cs="Century Gothic" w:eastAsia="Century Gothic"/>
          <w:sz w:val="22"/>
        </w:rPr>
        <w:t>Canaã dos Carajás/PA, ____ de julho de 2026.</w:t>
      </w:r>
    </w:p>
    <w:p>
      <w:pPr>
        <w:spacing w:before="400" w:after="200" w:line="240" w:lineRule="auto"/>
        <w:ind w:firstLine="0"/>
        <w:jc w:val="center"/>
      </w:pPr>
      <w:r>
        <w:rPr>
          <w:rFonts w:ascii="Century Gothic" w:hAnsi="Century Gothic" w:cs="Century Gothic" w:eastAsia="Century Gothic"/>
          <w:b/>
          <w:sz w:val="22"/>
        </w:rPr>
        <w:t>CARLOS EDUARDO DE SOUSA DO NASCIMENTO</w:t>
      </w:r>
    </w:p>
    <w:p>
      <w:pPr>
        <w:spacing w:before="400" w:after="200" w:line="240" w:lineRule="auto"/>
        <w:ind w:firstLine="0"/>
        <w:jc w:val="center"/>
      </w:pPr>
      <w:r>
        <w:rPr>
          <w:rFonts w:ascii="Century Gothic" w:hAnsi="Century Gothic" w:cs="Century Gothic" w:eastAsia="Century Gothic"/>
          <w:b/>
          <w:sz w:val="22"/>
        </w:rPr>
        <w:t>OAB/PA nº 32.708</w:t>
      </w:r>
    </w:p>
    <w:sectPr w:rsidR="00F61903" w:rsidRPr="00F61903" w:rsidSect="001E246B">
      <w:headerReference w:type="default" r:id="rId8"/>
      <w:footerReference w:type="default" r:id="rId9"/>
      <w:pgSz w:w="11906" w:h="16838" w:code="9"/>
      <w:pgMar w:top="1701" w:right="1134" w:bottom="1134" w:left="1134" w:header="720" w:footer="1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A12A" w14:textId="77777777" w:rsidR="00F67903" w:rsidRDefault="00F67903" w:rsidP="008A549F">
      <w:r>
        <w:separator/>
      </w:r>
    </w:p>
  </w:endnote>
  <w:endnote w:type="continuationSeparator" w:id="0">
    <w:p w14:paraId="5D787307" w14:textId="77777777" w:rsidR="00F67903" w:rsidRDefault="00F67903" w:rsidP="008A5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9AE4" w14:textId="3BB2037A" w:rsidR="008A549F" w:rsidRPr="008A549F" w:rsidRDefault="008A549F" w:rsidP="008A549F">
    <w:pPr>
      <w:pStyle w:val="Rodap"/>
      <w:rPr>
        <w:rFonts w:ascii="Open Sans" w:hAnsi="Open Sans" w:cs="Open Sans"/>
        <w:color w:val="000031"/>
        <w:sz w:val="16"/>
        <w:szCs w:val="16"/>
        <w:lang w:val="pt-BR"/>
      </w:rPr>
    </w:pPr>
    <w:r>
      <w:rPr>
        <w:noProof/>
      </w:rPr>
      <w:drawing>
        <wp:anchor distT="0" distB="0" distL="114300" distR="114300" simplePos="0" relativeHeight="251661312" behindDoc="1" locked="0" layoutInCell="1" allowOverlap="1" wp14:anchorId="6B225F60" wp14:editId="625A1516">
          <wp:simplePos x="0" y="0"/>
          <wp:positionH relativeFrom="column">
            <wp:posOffset>-158856</wp:posOffset>
          </wp:positionH>
          <wp:positionV relativeFrom="paragraph">
            <wp:posOffset>26595</wp:posOffset>
          </wp:positionV>
          <wp:extent cx="111268" cy="364789"/>
          <wp:effectExtent l="0" t="0" r="3175"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3157" name="Imagem 1157493157"/>
                  <pic:cNvPicPr/>
                </pic:nvPicPr>
                <pic:blipFill>
                  <a:blip r:embed="rId1">
                    <a:extLst>
                      <a:ext uri="{28A0092B-C50C-407E-A947-70E740481C1C}">
                        <a14:useLocalDpi xmlns:a14="http://schemas.microsoft.com/office/drawing/2010/main" val="0"/>
                      </a:ext>
                    </a:extLst>
                  </a:blip>
                  <a:stretch>
                    <a:fillRect/>
                  </a:stretch>
                </pic:blipFill>
                <pic:spPr>
                  <a:xfrm>
                    <a:off x="0" y="0"/>
                    <a:ext cx="114437" cy="375179"/>
                  </a:xfrm>
                  <a:prstGeom prst="rect">
                    <a:avLst/>
                  </a:prstGeom>
                </pic:spPr>
              </pic:pic>
            </a:graphicData>
          </a:graphic>
          <wp14:sizeRelH relativeFrom="page">
            <wp14:pctWidth>0</wp14:pctWidth>
          </wp14:sizeRelH>
          <wp14:sizeRelV relativeFrom="page">
            <wp14:pctHeight>0</wp14:pctHeight>
          </wp14:sizeRelV>
        </wp:anchor>
      </w:drawing>
    </w:r>
    <w:r w:rsidRPr="008A549F">
      <w:rPr>
        <w:rFonts w:ascii="Open Sans" w:hAnsi="Open Sans" w:cs="Open Sans"/>
        <w:color w:val="000031"/>
        <w:sz w:val="16"/>
        <w:szCs w:val="16"/>
        <w:lang w:val="pt-BR"/>
      </w:rPr>
      <w:t xml:space="preserve">94 </w:t>
    </w:r>
    <w:r w:rsidR="00642B05" w:rsidRPr="00642B05">
      <w:rPr>
        <w:rFonts w:ascii="Open Sans" w:hAnsi="Open Sans" w:cs="Open Sans"/>
        <w:color w:val="000031"/>
        <w:sz w:val="16"/>
        <w:szCs w:val="16"/>
        <w:lang w:val="pt-BR"/>
      </w:rPr>
      <w:t>98412-8321</w:t>
    </w:r>
    <w:r w:rsidRPr="008A549F">
      <w:rPr>
        <w:rFonts w:ascii="Open Sans" w:hAnsi="Open Sans" w:cs="Open Sans"/>
        <w:color w:val="000031"/>
        <w:sz w:val="16"/>
        <w:szCs w:val="16"/>
        <w:lang w:val="pt-BR"/>
      </w:rPr>
      <w:t xml:space="preserve">| 94 </w:t>
    </w:r>
    <w:r w:rsidR="00D53A19">
      <w:rPr>
        <w:rFonts w:ascii="Open Sans" w:hAnsi="Open Sans" w:cs="Open Sans"/>
        <w:color w:val="000031"/>
        <w:sz w:val="16"/>
        <w:szCs w:val="16"/>
        <w:lang w:val="pt-BR"/>
      </w:rPr>
      <w:t>99214-7889</w:t>
    </w:r>
  </w:p>
  <w:p w14:paraId="68721FBA" w14:textId="07FE8C86" w:rsidR="008A549F" w:rsidRPr="008A549F" w:rsidRDefault="008A549F" w:rsidP="008A549F">
    <w:pPr>
      <w:pStyle w:val="Rodap"/>
      <w:rPr>
        <w:rFonts w:ascii="Open Sans" w:hAnsi="Open Sans" w:cs="Open Sans"/>
        <w:color w:val="000031"/>
        <w:sz w:val="16"/>
        <w:szCs w:val="16"/>
        <w:lang w:val="pt-BR"/>
      </w:rPr>
    </w:pPr>
    <w:r w:rsidRPr="008A549F">
      <w:rPr>
        <w:rFonts w:ascii="Open Sans" w:hAnsi="Open Sans" w:cs="Open Sans"/>
        <w:color w:val="000031"/>
        <w:sz w:val="16"/>
        <w:szCs w:val="16"/>
        <w:lang w:val="pt-BR"/>
      </w:rPr>
      <w:t>nascimento.advocacia.pa@gmail.com</w:t>
    </w:r>
  </w:p>
  <w:p w14:paraId="170DD8B1" w14:textId="2044A4DB" w:rsidR="00642B05" w:rsidRPr="00D23383" w:rsidRDefault="00642B05" w:rsidP="00642B05">
    <w:pPr>
      <w:pStyle w:val="Rodap"/>
      <w:rPr>
        <w:rFonts w:ascii="Open Sans" w:hAnsi="Open Sans" w:cs="Open Sans"/>
        <w:color w:val="000031"/>
        <w:sz w:val="16"/>
        <w:szCs w:val="16"/>
        <w:lang w:val="pt-BR"/>
      </w:rPr>
    </w:pPr>
    <w:r w:rsidRPr="00D23383">
      <w:rPr>
        <w:rFonts w:ascii="Open Sans" w:hAnsi="Open Sans" w:cs="Open Sans"/>
        <w:color w:val="000031"/>
        <w:sz w:val="16"/>
        <w:szCs w:val="16"/>
        <w:lang w:val="pt-BR"/>
      </w:rPr>
      <w:t>Rua D, n° 410, Sala B | Cidade Nova | Parauapebas/PA | 68310-418</w:t>
    </w:r>
  </w:p>
  <w:p w14:paraId="6A352BEA" w14:textId="77777777" w:rsidR="008A549F" w:rsidRPr="008A549F" w:rsidRDefault="008A549F">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7B877" w14:textId="77777777" w:rsidR="00F67903" w:rsidRDefault="00F67903" w:rsidP="008A549F">
      <w:r>
        <w:separator/>
      </w:r>
    </w:p>
  </w:footnote>
  <w:footnote w:type="continuationSeparator" w:id="0">
    <w:p w14:paraId="23231802" w14:textId="77777777" w:rsidR="00F67903" w:rsidRDefault="00F67903" w:rsidP="008A5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F6629" w14:textId="7D233818" w:rsidR="008A549F" w:rsidRDefault="00886471" w:rsidP="003414E7">
    <w:pPr>
      <w:pStyle w:val="Cabealho"/>
      <w:tabs>
        <w:tab w:val="clear" w:pos="4680"/>
        <w:tab w:val="clear" w:pos="9360"/>
        <w:tab w:val="left" w:pos="828"/>
      </w:tabs>
    </w:pPr>
    <w:r>
      <w:rPr>
        <w:noProof/>
      </w:rPr>
      <w:drawing>
        <wp:anchor distT="0" distB="0" distL="114300" distR="114300" simplePos="0" relativeHeight="251660288" behindDoc="1" locked="0" layoutInCell="1" allowOverlap="1" wp14:anchorId="6053ED85" wp14:editId="0CA4FC33">
          <wp:simplePos x="0" y="0"/>
          <wp:positionH relativeFrom="margin">
            <wp:align>center</wp:align>
          </wp:positionH>
          <wp:positionV relativeFrom="paragraph">
            <wp:posOffset>-241762</wp:posOffset>
          </wp:positionV>
          <wp:extent cx="2514600" cy="539750"/>
          <wp:effectExtent l="0" t="0" r="0" b="0"/>
          <wp:wrapNone/>
          <wp:docPr id="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80748" name="Imagem 681380748"/>
                  <pic:cNvPicPr/>
                </pic:nvPicPr>
                <pic:blipFill rotWithShape="1">
                  <a:blip r:embed="rId1">
                    <a:grayscl/>
                    <a:extLst>
                      <a:ext uri="{BEBA8EAE-BF5A-486C-A8C5-ECC9F3942E4B}">
                        <a14:imgProps xmlns:a14="http://schemas.microsoft.com/office/drawing/2010/main">
                          <a14:imgLayer r:embed="rId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 t="-1433" r="-1308"/>
                  <a:stretch/>
                </pic:blipFill>
                <pic:spPr bwMode="auto">
                  <a:xfrm>
                    <a:off x="0" y="0"/>
                    <a:ext cx="2514600" cy="539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14E7">
      <w:rPr>
        <w:noProof/>
      </w:rPr>
      <w:drawing>
        <wp:anchor distT="0" distB="0" distL="114300" distR="114300" simplePos="0" relativeHeight="251659264" behindDoc="1" locked="0" layoutInCell="1" allowOverlap="1" wp14:anchorId="7873CADC" wp14:editId="1A24B322">
          <wp:simplePos x="0" y="0"/>
          <wp:positionH relativeFrom="page">
            <wp:posOffset>-228600</wp:posOffset>
          </wp:positionH>
          <wp:positionV relativeFrom="paragraph">
            <wp:posOffset>-699770</wp:posOffset>
          </wp:positionV>
          <wp:extent cx="312420" cy="11181432"/>
          <wp:effectExtent l="0" t="0" r="0" b="127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0912" name="Imagem 967660912"/>
                  <pic:cNvPicPr/>
                </pic:nvPicPr>
                <pic:blipFill>
                  <a:blip r:embed="rId3">
                    <a:extLst>
                      <a:ext uri="{BEBA8EAE-BF5A-486C-A8C5-ECC9F3942E4B}">
                        <a14:imgProps xmlns:a14="http://schemas.microsoft.com/office/drawing/2010/main">
                          <a14:imgLayer r:embed="rId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2420" cy="11181432"/>
                  </a:xfrm>
                  <a:prstGeom prst="rect">
                    <a:avLst/>
                  </a:prstGeom>
                </pic:spPr>
              </pic:pic>
            </a:graphicData>
          </a:graphic>
          <wp14:sizeRelH relativeFrom="page">
            <wp14:pctWidth>0</wp14:pctWidth>
          </wp14:sizeRelH>
          <wp14:sizeRelV relativeFrom="page">
            <wp14:pctHeight>0</wp14:pctHeight>
          </wp14:sizeRelV>
        </wp:anchor>
      </w:drawing>
    </w:r>
    <w:r w:rsidR="003414E7">
      <w:tab/>
    </w:r>
  </w:p>
  <w:p w14:paraId="74664BB4" w14:textId="4B2BF92A" w:rsidR="008A549F" w:rsidRDefault="00886471">
    <w:pPr>
      <w:pStyle w:val="Cabealho"/>
    </w:pPr>
    <w:r>
      <w:rPr>
        <w:noProof/>
      </w:rPr>
      <w:drawing>
        <wp:anchor distT="0" distB="0" distL="114300" distR="114300" simplePos="0" relativeHeight="251658240" behindDoc="1" locked="0" layoutInCell="1" allowOverlap="1" wp14:anchorId="35E926EB" wp14:editId="7D3B868B">
          <wp:simplePos x="0" y="0"/>
          <wp:positionH relativeFrom="page">
            <wp:posOffset>632460</wp:posOffset>
          </wp:positionH>
          <wp:positionV relativeFrom="paragraph">
            <wp:posOffset>991235</wp:posOffset>
          </wp:positionV>
          <wp:extent cx="5529315" cy="7818597"/>
          <wp:effectExtent l="0" t="0" r="0" b="0"/>
          <wp:wrapNone/>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8432" name="Imagem 1948658432"/>
                  <pic:cNvPicPr/>
                </pic:nvPicPr>
                <pic:blipFill>
                  <a:blip r:embed="rId5">
                    <a:alphaModFix amt="50000"/>
                    <a:extLst>
                      <a:ext uri="{BEBA8EAE-BF5A-486C-A8C5-ECC9F3942E4B}">
                        <a14:imgProps xmlns:a14="http://schemas.microsoft.com/office/drawing/2010/main">
                          <a14:imgLayer r:embed="rId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529315" cy="781859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7EA"/>
    <w:multiLevelType w:val="hybridMultilevel"/>
    <w:tmpl w:val="1E3C5B8E"/>
    <w:lvl w:ilvl="0" w:tplc="C3BA5502">
      <w:start w:val="1"/>
      <w:numFmt w:val="upperRoman"/>
      <w:suff w:val="space"/>
      <w:lvlText w:val="%1)"/>
      <w:lvlJc w:val="left"/>
      <w:pPr>
        <w:ind w:left="0" w:firstLine="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14A52"/>
    <w:multiLevelType w:val="multilevel"/>
    <w:tmpl w:val="95EAB8FA"/>
    <w:lvl w:ilvl="0">
      <w:start w:val="1"/>
      <w:numFmt w:val="decimal"/>
      <w:lvlText w:val="%1."/>
      <w:lvlJc w:val="left"/>
      <w:pPr>
        <w:ind w:left="360" w:hanging="360"/>
      </w:pPr>
      <w:rPr>
        <w:rFonts w:hint="default"/>
      </w:rPr>
    </w:lvl>
    <w:lvl w:ilvl="1">
      <w:start w:val="1"/>
      <w:numFmt w:val="decimal"/>
      <w:pStyle w:val="Sub"/>
      <w:suff w:val="space"/>
      <w:lvlText w:val="%1.%2."/>
      <w:lvlJc w:val="left"/>
      <w:pPr>
        <w:ind w:left="0" w:firstLine="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BF0A7A"/>
    <w:multiLevelType w:val="multilevel"/>
    <w:tmpl w:val="5BD676E0"/>
    <w:lvl w:ilvl="0">
      <w:start w:val="1"/>
      <w:numFmt w:val="lowerRoman"/>
      <w:lvlText w:val="(%1)"/>
      <w:lvlJc w:val="left"/>
      <w:pPr>
        <w:ind w:left="0" w:firstLine="2268"/>
      </w:pPr>
      <w:rPr>
        <w:rFonts w:hint="default"/>
        <w:b/>
        <w:bCs/>
      </w:rPr>
    </w:lvl>
    <w:lvl w:ilvl="1">
      <w:start w:val="1"/>
      <w:numFmt w:val="lowerRoman"/>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lowerRoman"/>
      <w:lvlText w:val="(%4)"/>
      <w:lvlJc w:val="left"/>
      <w:pPr>
        <w:ind w:left="2880" w:hanging="480"/>
      </w:pPr>
      <w:rPr>
        <w:rFonts w:hint="default"/>
      </w:rPr>
    </w:lvl>
    <w:lvl w:ilvl="4">
      <w:start w:val="1"/>
      <w:numFmt w:val="lowerRoman"/>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lowerRoman"/>
      <w:lvlText w:val="(%7)"/>
      <w:lvlJc w:val="left"/>
      <w:pPr>
        <w:ind w:left="5040" w:hanging="480"/>
      </w:pPr>
      <w:rPr>
        <w:rFonts w:hint="default"/>
      </w:rPr>
    </w:lvl>
    <w:lvl w:ilvl="7">
      <w:start w:val="1"/>
      <w:numFmt w:val="lowerRoman"/>
      <w:lvlText w:val="(%8)"/>
      <w:lvlJc w:val="left"/>
      <w:pPr>
        <w:ind w:left="5760" w:hanging="480"/>
      </w:pPr>
      <w:rPr>
        <w:rFonts w:hint="default"/>
      </w:rPr>
    </w:lvl>
    <w:lvl w:ilvl="8">
      <w:start w:val="1"/>
      <w:numFmt w:val="lowerRoman"/>
      <w:lvlText w:val="(%9)"/>
      <w:lvlJc w:val="left"/>
      <w:pPr>
        <w:ind w:left="6480" w:hanging="480"/>
      </w:pPr>
      <w:rPr>
        <w:rFonts w:hint="default"/>
      </w:rPr>
    </w:lvl>
  </w:abstractNum>
  <w:abstractNum w:abstractNumId="3" w15:restartNumberingAfterBreak="0">
    <w:nsid w:val="2FFD4B13"/>
    <w:multiLevelType w:val="multilevel"/>
    <w:tmpl w:val="D076D5B2"/>
    <w:lvl w:ilvl="0">
      <w:start w:val="1"/>
      <w:numFmt w:val="upperRoman"/>
      <w:pStyle w:val="Ttulo1"/>
      <w:suff w:val="space"/>
      <w:lvlText w:val="%1 —"/>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pStyle w:val="Ttulo3"/>
      <w:lvlText w:val="%3."/>
      <w:lvlJc w:val="left"/>
      <w:pPr>
        <w:ind w:left="0" w:firstLine="1701"/>
      </w:pPr>
      <w:rPr>
        <w:rFonts w:hint="default"/>
        <w:b/>
        <w:bCs/>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4" w15:restartNumberingAfterBreak="0">
    <w:nsid w:val="30711AF7"/>
    <w:multiLevelType w:val="multilevel"/>
    <w:tmpl w:val="A73E93BE"/>
    <w:lvl w:ilvl="0">
      <w:start w:val="3"/>
      <w:numFmt w:val="decimal"/>
      <w:lvlText w:val="%1"/>
      <w:lvlJc w:val="left"/>
      <w:pPr>
        <w:ind w:left="672" w:hanging="459"/>
      </w:pPr>
      <w:rPr>
        <w:rFonts w:hint="default"/>
        <w:lang w:val="pt-PT" w:eastAsia="en-US" w:bidi="ar-SA"/>
      </w:rPr>
    </w:lvl>
    <w:lvl w:ilvl="1">
      <w:start w:val="1"/>
      <w:numFmt w:val="decimal"/>
      <w:lvlText w:val="%1.%2."/>
      <w:lvlJc w:val="left"/>
      <w:pPr>
        <w:ind w:left="0" w:firstLine="0"/>
      </w:pPr>
      <w:rPr>
        <w:rFonts w:ascii="Century Gothic" w:eastAsia="Century Gothic" w:hAnsi="Century Gothic" w:cs="Century Gothic" w:hint="default"/>
        <w:b/>
        <w:bCs/>
        <w:i w:val="0"/>
        <w:iCs w:val="0"/>
        <w:spacing w:val="-1"/>
        <w:w w:val="101"/>
        <w:sz w:val="23"/>
        <w:szCs w:val="23"/>
        <w:lang w:val="pt-PT" w:eastAsia="en-US" w:bidi="ar-SA"/>
      </w:rPr>
    </w:lvl>
    <w:lvl w:ilvl="2">
      <w:start w:val="5"/>
      <w:numFmt w:val="decimal"/>
      <w:lvlText w:val="%3."/>
      <w:lvlJc w:val="left"/>
      <w:pPr>
        <w:ind w:left="213" w:hanging="572"/>
      </w:pPr>
      <w:rPr>
        <w:rFonts w:ascii="Century Gothic" w:eastAsia="Century Gothic" w:hAnsi="Century Gothic" w:cs="Century Gothic" w:hint="default"/>
        <w:b/>
        <w:bCs/>
        <w:i w:val="0"/>
        <w:iCs w:val="0"/>
        <w:spacing w:val="-1"/>
        <w:w w:val="101"/>
        <w:sz w:val="23"/>
        <w:szCs w:val="23"/>
        <w:lang w:val="pt-PT" w:eastAsia="en-US" w:bidi="ar-SA"/>
      </w:rPr>
    </w:lvl>
    <w:lvl w:ilvl="3">
      <w:numFmt w:val="bullet"/>
      <w:lvlText w:val="•"/>
      <w:lvlJc w:val="left"/>
      <w:pPr>
        <w:ind w:left="2858" w:hanging="572"/>
      </w:pPr>
      <w:rPr>
        <w:rFonts w:hint="default"/>
        <w:lang w:val="pt-PT" w:eastAsia="en-US" w:bidi="ar-SA"/>
      </w:rPr>
    </w:lvl>
    <w:lvl w:ilvl="4">
      <w:numFmt w:val="bullet"/>
      <w:lvlText w:val="•"/>
      <w:lvlJc w:val="left"/>
      <w:pPr>
        <w:ind w:left="3948" w:hanging="572"/>
      </w:pPr>
      <w:rPr>
        <w:rFonts w:hint="default"/>
        <w:lang w:val="pt-PT" w:eastAsia="en-US" w:bidi="ar-SA"/>
      </w:rPr>
    </w:lvl>
    <w:lvl w:ilvl="5">
      <w:numFmt w:val="bullet"/>
      <w:lvlText w:val="•"/>
      <w:lvlJc w:val="left"/>
      <w:pPr>
        <w:ind w:left="5037" w:hanging="572"/>
      </w:pPr>
      <w:rPr>
        <w:rFonts w:hint="default"/>
        <w:lang w:val="pt-PT" w:eastAsia="en-US" w:bidi="ar-SA"/>
      </w:rPr>
    </w:lvl>
    <w:lvl w:ilvl="6">
      <w:numFmt w:val="bullet"/>
      <w:lvlText w:val="•"/>
      <w:lvlJc w:val="left"/>
      <w:pPr>
        <w:ind w:left="6126" w:hanging="572"/>
      </w:pPr>
      <w:rPr>
        <w:rFonts w:hint="default"/>
        <w:lang w:val="pt-PT" w:eastAsia="en-US" w:bidi="ar-SA"/>
      </w:rPr>
    </w:lvl>
    <w:lvl w:ilvl="7">
      <w:numFmt w:val="bullet"/>
      <w:lvlText w:val="•"/>
      <w:lvlJc w:val="left"/>
      <w:pPr>
        <w:ind w:left="7216" w:hanging="572"/>
      </w:pPr>
      <w:rPr>
        <w:rFonts w:hint="default"/>
        <w:lang w:val="pt-PT" w:eastAsia="en-US" w:bidi="ar-SA"/>
      </w:rPr>
    </w:lvl>
    <w:lvl w:ilvl="8">
      <w:numFmt w:val="bullet"/>
      <w:lvlText w:val="•"/>
      <w:lvlJc w:val="left"/>
      <w:pPr>
        <w:ind w:left="8305" w:hanging="572"/>
      </w:pPr>
      <w:rPr>
        <w:rFonts w:hint="default"/>
        <w:lang w:val="pt-PT" w:eastAsia="en-US" w:bidi="ar-SA"/>
      </w:rPr>
    </w:lvl>
  </w:abstractNum>
  <w:abstractNum w:abstractNumId="5" w15:restartNumberingAfterBreak="0">
    <w:nsid w:val="394A0704"/>
    <w:multiLevelType w:val="hybridMultilevel"/>
    <w:tmpl w:val="922891F2"/>
    <w:lvl w:ilvl="0" w:tplc="99B439B2">
      <w:start w:val="1"/>
      <w:numFmt w:val="decimal"/>
      <w:pStyle w:val="SubSub"/>
      <w:suff w:val="space"/>
      <w:lvlText w:val="%1."/>
      <w:lvlJc w:val="left"/>
      <w:pPr>
        <w:ind w:left="0" w:firstLine="1134"/>
      </w:pPr>
      <w:rPr>
        <w:rFonts w:hint="default"/>
        <w:b/>
        <w:bCs/>
      </w:rPr>
    </w:lvl>
    <w:lvl w:ilvl="1" w:tplc="79260CF2">
      <w:start w:val="1"/>
      <w:numFmt w:val="lowerLetter"/>
      <w:lvlText w:val="%2."/>
      <w:lvlJc w:val="left"/>
      <w:pPr>
        <w:ind w:left="1440" w:hanging="360"/>
      </w:pPr>
      <w:rPr>
        <w:b/>
        <w:bCs/>
      </w:rPr>
    </w:lvl>
    <w:lvl w:ilvl="2" w:tplc="0416001B">
      <w:start w:val="1"/>
      <w:numFmt w:val="lowerRoman"/>
      <w:lvlText w:val="%3."/>
      <w:lvlJc w:val="right"/>
      <w:pPr>
        <w:ind w:left="2160" w:hanging="18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9604E45"/>
    <w:multiLevelType w:val="hybridMultilevel"/>
    <w:tmpl w:val="6E7CF142"/>
    <w:lvl w:ilvl="0" w:tplc="718468DE">
      <w:start w:val="1"/>
      <w:numFmt w:val="upperRoman"/>
      <w:suff w:val="space"/>
      <w:lvlText w:val="%1)"/>
      <w:lvlJc w:val="left"/>
      <w:pPr>
        <w:ind w:left="0" w:firstLine="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EB7347A"/>
    <w:multiLevelType w:val="hybridMultilevel"/>
    <w:tmpl w:val="EFE26430"/>
    <w:lvl w:ilvl="0" w:tplc="1D62C058">
      <w:start w:val="1"/>
      <w:numFmt w:val="lowerLetter"/>
      <w:lvlText w:val="%1)"/>
      <w:lvlJc w:val="left"/>
      <w:pPr>
        <w:ind w:left="567" w:hanging="340"/>
      </w:pPr>
    </w:lvl>
    <w:lvl w:ilvl="1" w:tplc="924E48D0">
      <w:numFmt w:val="decimal"/>
      <w:lvlText w:val=""/>
      <w:lvlJc w:val="left"/>
    </w:lvl>
    <w:lvl w:ilvl="2" w:tplc="AB16DCB2">
      <w:numFmt w:val="decimal"/>
      <w:lvlText w:val=""/>
      <w:lvlJc w:val="left"/>
    </w:lvl>
    <w:lvl w:ilvl="3" w:tplc="18BAF0A2">
      <w:numFmt w:val="decimal"/>
      <w:lvlText w:val=""/>
      <w:lvlJc w:val="left"/>
    </w:lvl>
    <w:lvl w:ilvl="4" w:tplc="FFB8EC32">
      <w:numFmt w:val="decimal"/>
      <w:lvlText w:val=""/>
      <w:lvlJc w:val="left"/>
    </w:lvl>
    <w:lvl w:ilvl="5" w:tplc="02AAAD6A">
      <w:numFmt w:val="decimal"/>
      <w:lvlText w:val=""/>
      <w:lvlJc w:val="left"/>
    </w:lvl>
    <w:lvl w:ilvl="6" w:tplc="7182E8D6">
      <w:numFmt w:val="decimal"/>
      <w:lvlText w:val=""/>
      <w:lvlJc w:val="left"/>
    </w:lvl>
    <w:lvl w:ilvl="7" w:tplc="074A1DD2">
      <w:numFmt w:val="decimal"/>
      <w:lvlText w:val=""/>
      <w:lvlJc w:val="left"/>
    </w:lvl>
    <w:lvl w:ilvl="8" w:tplc="61904056">
      <w:numFmt w:val="decimal"/>
      <w:lvlText w:val=""/>
      <w:lvlJc w:val="left"/>
    </w:lvl>
  </w:abstractNum>
  <w:abstractNum w:abstractNumId="8" w15:restartNumberingAfterBreak="0">
    <w:nsid w:val="4F355D1F"/>
    <w:multiLevelType w:val="hybridMultilevel"/>
    <w:tmpl w:val="754A1A3E"/>
    <w:lvl w:ilvl="0" w:tplc="0EFEA79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5F25B3B"/>
    <w:multiLevelType w:val="hybridMultilevel"/>
    <w:tmpl w:val="529A43EE"/>
    <w:lvl w:ilvl="0" w:tplc="51AED4FE">
      <w:start w:val="1"/>
      <w:numFmt w:val="bullet"/>
      <w:lvlText w:val="•"/>
      <w:lvlJc w:val="left"/>
      <w:pPr>
        <w:ind w:left="1080" w:hanging="360"/>
      </w:pPr>
    </w:lvl>
    <w:lvl w:ilvl="1" w:tplc="C0EA8A7C">
      <w:numFmt w:val="decimal"/>
      <w:lvlText w:val=""/>
      <w:lvlJc w:val="left"/>
    </w:lvl>
    <w:lvl w:ilvl="2" w:tplc="60A40404">
      <w:numFmt w:val="decimal"/>
      <w:lvlText w:val=""/>
      <w:lvlJc w:val="left"/>
    </w:lvl>
    <w:lvl w:ilvl="3" w:tplc="5BDEBA3C">
      <w:numFmt w:val="decimal"/>
      <w:lvlText w:val=""/>
      <w:lvlJc w:val="left"/>
    </w:lvl>
    <w:lvl w:ilvl="4" w:tplc="1A44EE1E">
      <w:numFmt w:val="decimal"/>
      <w:lvlText w:val=""/>
      <w:lvlJc w:val="left"/>
    </w:lvl>
    <w:lvl w:ilvl="5" w:tplc="9354639E">
      <w:numFmt w:val="decimal"/>
      <w:lvlText w:val=""/>
      <w:lvlJc w:val="left"/>
    </w:lvl>
    <w:lvl w:ilvl="6" w:tplc="07E8B194">
      <w:numFmt w:val="decimal"/>
      <w:lvlText w:val=""/>
      <w:lvlJc w:val="left"/>
    </w:lvl>
    <w:lvl w:ilvl="7" w:tplc="1170642A">
      <w:numFmt w:val="decimal"/>
      <w:lvlText w:val=""/>
      <w:lvlJc w:val="left"/>
    </w:lvl>
    <w:lvl w:ilvl="8" w:tplc="30C440B6">
      <w:numFmt w:val="decimal"/>
      <w:lvlText w:val=""/>
      <w:lvlJc w:val="left"/>
    </w:lvl>
  </w:abstractNum>
  <w:abstractNum w:abstractNumId="10" w15:restartNumberingAfterBreak="0">
    <w:nsid w:val="589C10FF"/>
    <w:multiLevelType w:val="multilevel"/>
    <w:tmpl w:val="4F443F1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ECD3705"/>
    <w:multiLevelType w:val="hybridMultilevel"/>
    <w:tmpl w:val="25769784"/>
    <w:lvl w:ilvl="0" w:tplc="83CA702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0A67D25"/>
    <w:multiLevelType w:val="multilevel"/>
    <w:tmpl w:val="9DBCD144"/>
    <w:lvl w:ilvl="0">
      <w:start w:val="1"/>
      <w:numFmt w:val="decimal"/>
      <w:lvlText w:val="%1."/>
      <w:lvlJc w:val="left"/>
      <w:pPr>
        <w:ind w:left="408" w:hanging="408"/>
      </w:pPr>
      <w:rPr>
        <w:rFonts w:hint="default"/>
      </w:rPr>
    </w:lvl>
    <w:lvl w:ilvl="1">
      <w:start w:val="1"/>
      <w:numFmt w:val="decimal"/>
      <w:pStyle w:val="Ttulo2"/>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5A82620"/>
    <w:multiLevelType w:val="multilevel"/>
    <w:tmpl w:val="CB60C3F4"/>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42802E4"/>
    <w:multiLevelType w:val="multilevel"/>
    <w:tmpl w:val="51E06DAA"/>
    <w:lvl w:ilvl="0">
      <w:start w:val="1"/>
      <w:numFmt w:val="upperRoman"/>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5947D4D"/>
    <w:multiLevelType w:val="multilevel"/>
    <w:tmpl w:val="7292B4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81A4C9D"/>
    <w:multiLevelType w:val="hybridMultilevel"/>
    <w:tmpl w:val="076E4380"/>
    <w:lvl w:ilvl="0" w:tplc="9A727C40">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B1D5F8D"/>
    <w:multiLevelType w:val="hybridMultilevel"/>
    <w:tmpl w:val="033EBF72"/>
    <w:lvl w:ilvl="0" w:tplc="2FE607F0">
      <w:start w:val="1"/>
      <w:numFmt w:val="lowerRoman"/>
      <w:lvlText w:val="(%1)"/>
      <w:lvlJc w:val="left"/>
      <w:pPr>
        <w:ind w:left="1080" w:hanging="540"/>
      </w:pPr>
    </w:lvl>
    <w:lvl w:ilvl="1" w:tplc="E5FA6C22">
      <w:numFmt w:val="decimal"/>
      <w:lvlText w:val=""/>
      <w:lvlJc w:val="left"/>
    </w:lvl>
    <w:lvl w:ilvl="2" w:tplc="BDB4320E">
      <w:numFmt w:val="decimal"/>
      <w:lvlText w:val=""/>
      <w:lvlJc w:val="left"/>
    </w:lvl>
    <w:lvl w:ilvl="3" w:tplc="A4D28AF6">
      <w:numFmt w:val="decimal"/>
      <w:lvlText w:val=""/>
      <w:lvlJc w:val="left"/>
    </w:lvl>
    <w:lvl w:ilvl="4" w:tplc="5F64F0D2">
      <w:numFmt w:val="decimal"/>
      <w:lvlText w:val=""/>
      <w:lvlJc w:val="left"/>
    </w:lvl>
    <w:lvl w:ilvl="5" w:tplc="580E6C5C">
      <w:numFmt w:val="decimal"/>
      <w:lvlText w:val=""/>
      <w:lvlJc w:val="left"/>
    </w:lvl>
    <w:lvl w:ilvl="6" w:tplc="69B23112">
      <w:numFmt w:val="decimal"/>
      <w:lvlText w:val=""/>
      <w:lvlJc w:val="left"/>
    </w:lvl>
    <w:lvl w:ilvl="7" w:tplc="FCB2EF6C">
      <w:numFmt w:val="decimal"/>
      <w:lvlText w:val=""/>
      <w:lvlJc w:val="left"/>
    </w:lvl>
    <w:lvl w:ilvl="8" w:tplc="A4FA9F26">
      <w:numFmt w:val="decimal"/>
      <w:lvlText w:val=""/>
      <w:lvlJc w:val="left"/>
    </w:lvl>
  </w:abstractNum>
  <w:num w:numId="1" w16cid:durableId="735589863">
    <w:abstractNumId w:val="7"/>
    <w:lvlOverride w:ilvl="0">
      <w:startOverride w:val="1"/>
    </w:lvlOverride>
  </w:num>
  <w:num w:numId="2" w16cid:durableId="1346325591">
    <w:abstractNumId w:val="3"/>
  </w:num>
  <w:num w:numId="3" w16cid:durableId="1626039666">
    <w:abstractNumId w:val="13"/>
  </w:num>
  <w:num w:numId="4" w16cid:durableId="1074279250">
    <w:abstractNumId w:val="7"/>
  </w:num>
  <w:num w:numId="5" w16cid:durableId="1638687020">
    <w:abstractNumId w:val="3"/>
    <w:lvlOverride w:ilvl="0">
      <w:startOverride w:val="1"/>
    </w:lvlOverride>
    <w:lvlOverride w:ilvl="1">
      <w:startOverride w:val="1"/>
    </w:lvlOverride>
    <w:lvlOverride w:ilvl="2">
      <w:startOverride w:val="10"/>
    </w:lvlOverride>
  </w:num>
  <w:num w:numId="6" w16cid:durableId="1224297555">
    <w:abstractNumId w:val="12"/>
  </w:num>
  <w:num w:numId="7" w16cid:durableId="1653409094">
    <w:abstractNumId w:val="11"/>
  </w:num>
  <w:num w:numId="8" w16cid:durableId="1029336728">
    <w:abstractNumId w:val="8"/>
  </w:num>
  <w:num w:numId="9" w16cid:durableId="1548293731">
    <w:abstractNumId w:val="14"/>
  </w:num>
  <w:num w:numId="10" w16cid:durableId="1532113339">
    <w:abstractNumId w:val="16"/>
  </w:num>
  <w:num w:numId="11" w16cid:durableId="1868060637">
    <w:abstractNumId w:val="2"/>
  </w:num>
  <w:num w:numId="12" w16cid:durableId="1533229826">
    <w:abstractNumId w:val="12"/>
    <w:lvlOverride w:ilvl="0">
      <w:startOverride w:val="3"/>
    </w:lvlOverride>
    <w:lvlOverride w:ilvl="1">
      <w:startOverride w:val="1"/>
    </w:lvlOverride>
  </w:num>
  <w:num w:numId="13" w16cid:durableId="1917129542">
    <w:abstractNumId w:val="12"/>
    <w:lvlOverride w:ilvl="0">
      <w:startOverride w:val="3"/>
    </w:lvlOverride>
    <w:lvlOverride w:ilvl="1">
      <w:startOverride w:val="1"/>
    </w:lvlOverride>
  </w:num>
  <w:num w:numId="14" w16cid:durableId="570624786">
    <w:abstractNumId w:val="10"/>
  </w:num>
  <w:num w:numId="15" w16cid:durableId="470172818">
    <w:abstractNumId w:val="4"/>
  </w:num>
  <w:num w:numId="16" w16cid:durableId="946233346">
    <w:abstractNumId w:val="6"/>
  </w:num>
  <w:num w:numId="17" w16cid:durableId="330333857">
    <w:abstractNumId w:val="1"/>
  </w:num>
  <w:num w:numId="18" w16cid:durableId="148864864">
    <w:abstractNumId w:val="5"/>
  </w:num>
  <w:num w:numId="19" w16cid:durableId="763920309">
    <w:abstractNumId w:val="9"/>
    <w:lvlOverride w:ilvl="0">
      <w:startOverride w:val="1"/>
    </w:lvlOverride>
  </w:num>
  <w:num w:numId="20" w16cid:durableId="1610352978">
    <w:abstractNumId w:val="17"/>
    <w:lvlOverride w:ilvl="0">
      <w:startOverride w:val="1"/>
    </w:lvlOverride>
  </w:num>
  <w:num w:numId="21" w16cid:durableId="152842541">
    <w:abstractNumId w:val="15"/>
  </w:num>
  <w:num w:numId="22" w16cid:durableId="122155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9F"/>
    <w:rsid w:val="00005A47"/>
    <w:rsid w:val="00055C8A"/>
    <w:rsid w:val="000E0C4C"/>
    <w:rsid w:val="000E6676"/>
    <w:rsid w:val="00144789"/>
    <w:rsid w:val="00190668"/>
    <w:rsid w:val="001E246B"/>
    <w:rsid w:val="0022655A"/>
    <w:rsid w:val="00273C3A"/>
    <w:rsid w:val="003414E7"/>
    <w:rsid w:val="003601D3"/>
    <w:rsid w:val="003931E1"/>
    <w:rsid w:val="003F0A12"/>
    <w:rsid w:val="003F204E"/>
    <w:rsid w:val="003F74E8"/>
    <w:rsid w:val="004858EB"/>
    <w:rsid w:val="00485C8A"/>
    <w:rsid w:val="004A5552"/>
    <w:rsid w:val="004C3F3A"/>
    <w:rsid w:val="004E4431"/>
    <w:rsid w:val="0054267E"/>
    <w:rsid w:val="005C71AB"/>
    <w:rsid w:val="006255B4"/>
    <w:rsid w:val="00642B05"/>
    <w:rsid w:val="00696A35"/>
    <w:rsid w:val="006B3B86"/>
    <w:rsid w:val="006F3DDA"/>
    <w:rsid w:val="007B7972"/>
    <w:rsid w:val="00817178"/>
    <w:rsid w:val="008378E9"/>
    <w:rsid w:val="00886471"/>
    <w:rsid w:val="008A549F"/>
    <w:rsid w:val="008D0FD2"/>
    <w:rsid w:val="008E25E4"/>
    <w:rsid w:val="009228AC"/>
    <w:rsid w:val="00977576"/>
    <w:rsid w:val="009F5D5A"/>
    <w:rsid w:val="00A15195"/>
    <w:rsid w:val="00A4178D"/>
    <w:rsid w:val="00B00B38"/>
    <w:rsid w:val="00B427D3"/>
    <w:rsid w:val="00B51FAC"/>
    <w:rsid w:val="00BA192E"/>
    <w:rsid w:val="00BA2F68"/>
    <w:rsid w:val="00BA6FCE"/>
    <w:rsid w:val="00BC01E7"/>
    <w:rsid w:val="00BF6385"/>
    <w:rsid w:val="00BF77E6"/>
    <w:rsid w:val="00C21696"/>
    <w:rsid w:val="00CC36E1"/>
    <w:rsid w:val="00D23383"/>
    <w:rsid w:val="00D3299D"/>
    <w:rsid w:val="00D43E97"/>
    <w:rsid w:val="00D52ADE"/>
    <w:rsid w:val="00D52BB0"/>
    <w:rsid w:val="00D53A19"/>
    <w:rsid w:val="00E13B2D"/>
    <w:rsid w:val="00E9127E"/>
    <w:rsid w:val="00F61903"/>
    <w:rsid w:val="00F67903"/>
    <w:rsid w:val="00FA3340"/>
    <w:rsid w:val="00FB168F"/>
    <w:rsid w:val="00FF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693E4A5"/>
  <w15:chartTrackingRefBased/>
  <w15:docId w15:val="{F84F9B6D-B6FE-4EA7-8D9D-401A1814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5E4"/>
    <w:pPr>
      <w:spacing w:after="0" w:line="240" w:lineRule="auto"/>
    </w:pPr>
    <w:rPr>
      <w:rFonts w:ascii="Century Gothic" w:eastAsia="Century Gothic" w:hAnsi="Century Gothic" w:cs="Century Gothic"/>
      <w:kern w:val="0"/>
      <w:sz w:val="22"/>
      <w:szCs w:val="24"/>
      <w:lang w:val="pt-BR" w:eastAsia="pt-BR"/>
      <w14:ligatures w14:val="none"/>
    </w:rPr>
  </w:style>
  <w:style w:type="paragraph" w:styleId="Ttulo1">
    <w:name w:val="heading 1"/>
    <w:link w:val="Ttulo1Char"/>
    <w:uiPriority w:val="9"/>
    <w:qFormat/>
    <w:rsid w:val="005C71AB"/>
    <w:pPr>
      <w:keepNext/>
      <w:numPr>
        <w:numId w:val="2"/>
      </w:numPr>
      <w:spacing w:before="360" w:after="240" w:line="240" w:lineRule="auto"/>
      <w:outlineLvl w:val="0"/>
    </w:pPr>
    <w:rPr>
      <w:rFonts w:ascii="Segoe UI Semibold" w:eastAsia="Segoe UI Semibold" w:hAnsi="Segoe UI Semibold" w:cs="Segoe UI Semibold"/>
      <w:b/>
      <w:bCs/>
      <w:color w:val="000000" w:themeColor="text1"/>
      <w:kern w:val="0"/>
      <w:sz w:val="21"/>
      <w:szCs w:val="26"/>
      <w:lang w:val="pt-BR" w:eastAsia="pt-BR"/>
      <w14:ligatures w14:val="none"/>
    </w:rPr>
  </w:style>
  <w:style w:type="paragraph" w:styleId="Ttulo2">
    <w:name w:val="heading 2"/>
    <w:basedOn w:val="Ttulo1"/>
    <w:link w:val="Ttulo2Char"/>
    <w:uiPriority w:val="9"/>
    <w:unhideWhenUsed/>
    <w:qFormat/>
    <w:rsid w:val="00E13B2D"/>
    <w:pPr>
      <w:numPr>
        <w:ilvl w:val="1"/>
        <w:numId w:val="6"/>
      </w:numPr>
      <w:spacing w:before="240" w:after="80"/>
      <w:outlineLvl w:val="1"/>
    </w:pPr>
    <w:rPr>
      <w:rFonts w:ascii="Century Gothic" w:hAnsi="Century Gothic"/>
      <w:color w:val="000000"/>
      <w:sz w:val="23"/>
      <w:szCs w:val="23"/>
    </w:rPr>
  </w:style>
  <w:style w:type="paragraph" w:styleId="Ttulo3">
    <w:name w:val="heading 3"/>
    <w:link w:val="Ttulo3Char"/>
    <w:uiPriority w:val="9"/>
    <w:unhideWhenUsed/>
    <w:qFormat/>
    <w:rsid w:val="006B3B86"/>
    <w:pPr>
      <w:keepNext/>
      <w:numPr>
        <w:ilvl w:val="2"/>
        <w:numId w:val="2"/>
      </w:numPr>
      <w:spacing w:before="200" w:after="60" w:line="276" w:lineRule="auto"/>
      <w:outlineLvl w:val="2"/>
    </w:pPr>
    <w:rPr>
      <w:rFonts w:ascii="Segoe UI" w:eastAsia="Segoe UI" w:hAnsi="Segoe UI" w:cs="Segoe UI"/>
      <w:iCs/>
      <w:color w:val="000000"/>
      <w:kern w:val="0"/>
      <w:sz w:val="21"/>
      <w:szCs w:val="21"/>
      <w:lang w:val="pt-BR" w:eastAsia="pt-BR"/>
      <w14:ligatures w14:val="none"/>
    </w:rPr>
  </w:style>
  <w:style w:type="paragraph" w:styleId="Ttulo4">
    <w:name w:val="heading 4"/>
    <w:link w:val="Ttulo4Char"/>
    <w:uiPriority w:val="9"/>
    <w:unhideWhenUsed/>
    <w:qFormat/>
    <w:rsid w:val="00D23383"/>
    <w:pPr>
      <w:numPr>
        <w:ilvl w:val="3"/>
        <w:numId w:val="2"/>
      </w:numPr>
      <w:spacing w:after="0" w:line="240" w:lineRule="auto"/>
      <w:outlineLvl w:val="3"/>
    </w:pPr>
    <w:rPr>
      <w:rFonts w:ascii="Segoe UI" w:eastAsia="Segoe UI" w:hAnsi="Segoe UI" w:cs="Segoe UI"/>
      <w:i/>
      <w:iCs/>
      <w:color w:val="2E74B5"/>
      <w:kern w:val="0"/>
      <w:sz w:val="21"/>
      <w:szCs w:val="21"/>
      <w:lang w:val="pt-BR" w:eastAsia="pt-BR"/>
      <w14:ligatures w14:val="none"/>
    </w:rPr>
  </w:style>
  <w:style w:type="paragraph" w:styleId="Ttulo5">
    <w:name w:val="heading 5"/>
    <w:link w:val="Ttulo5Char"/>
    <w:uiPriority w:val="9"/>
    <w:semiHidden/>
    <w:unhideWhenUsed/>
    <w:qFormat/>
    <w:rsid w:val="00D23383"/>
    <w:pPr>
      <w:numPr>
        <w:ilvl w:val="4"/>
        <w:numId w:val="2"/>
      </w:numPr>
      <w:spacing w:after="0" w:line="240" w:lineRule="auto"/>
      <w:outlineLvl w:val="4"/>
    </w:pPr>
    <w:rPr>
      <w:rFonts w:ascii="Segoe UI" w:eastAsia="Segoe UI" w:hAnsi="Segoe UI" w:cs="Segoe UI"/>
      <w:color w:val="2E74B5"/>
      <w:kern w:val="0"/>
      <w:sz w:val="21"/>
      <w:szCs w:val="21"/>
      <w:lang w:val="pt-BR" w:eastAsia="pt-BR"/>
      <w14:ligatures w14:val="none"/>
    </w:rPr>
  </w:style>
  <w:style w:type="paragraph" w:styleId="Ttulo6">
    <w:name w:val="heading 6"/>
    <w:link w:val="Ttulo6Char"/>
    <w:uiPriority w:val="9"/>
    <w:semiHidden/>
    <w:unhideWhenUsed/>
    <w:qFormat/>
    <w:rsid w:val="00D23383"/>
    <w:pPr>
      <w:numPr>
        <w:ilvl w:val="5"/>
        <w:numId w:val="2"/>
      </w:numPr>
      <w:spacing w:after="0" w:line="240" w:lineRule="auto"/>
      <w:outlineLvl w:val="5"/>
    </w:pPr>
    <w:rPr>
      <w:rFonts w:ascii="Segoe UI" w:eastAsia="Segoe UI" w:hAnsi="Segoe UI" w:cs="Segoe UI"/>
      <w:color w:val="1F4D78"/>
      <w:kern w:val="0"/>
      <w:sz w:val="21"/>
      <w:szCs w:val="21"/>
      <w:lang w:val="pt-BR" w:eastAsia="pt-BR"/>
      <w14:ligatures w14:val="none"/>
    </w:rPr>
  </w:style>
  <w:style w:type="paragraph" w:styleId="Ttulo7">
    <w:name w:val="heading 7"/>
    <w:basedOn w:val="Normal"/>
    <w:next w:val="Normal"/>
    <w:link w:val="Ttulo7Char"/>
    <w:uiPriority w:val="9"/>
    <w:semiHidden/>
    <w:unhideWhenUsed/>
    <w:qFormat/>
    <w:rsid w:val="00D23383"/>
    <w:pPr>
      <w:keepNext/>
      <w:keepLines/>
      <w:numPr>
        <w:ilvl w:val="6"/>
        <w:numId w:val="2"/>
      </w:numPr>
      <w:spacing w:before="40" w:after="160" w:line="288" w:lineRule="auto"/>
      <w:outlineLvl w:val="6"/>
    </w:pPr>
    <w:rPr>
      <w:rFonts w:asciiTheme="majorHAnsi" w:eastAsiaTheme="majorEastAsia" w:hAnsiTheme="majorHAnsi" w:cstheme="majorBidi"/>
      <w:i/>
      <w:iCs/>
      <w:color w:val="1F3763" w:themeColor="accent1" w:themeShade="7F"/>
      <w:sz w:val="21"/>
      <w:szCs w:val="21"/>
    </w:rPr>
  </w:style>
  <w:style w:type="paragraph" w:styleId="Ttulo8">
    <w:name w:val="heading 8"/>
    <w:basedOn w:val="Normal"/>
    <w:next w:val="Normal"/>
    <w:link w:val="Ttulo8Char"/>
    <w:uiPriority w:val="9"/>
    <w:semiHidden/>
    <w:unhideWhenUsed/>
    <w:qFormat/>
    <w:rsid w:val="00D23383"/>
    <w:pPr>
      <w:keepNext/>
      <w:keepLines/>
      <w:numPr>
        <w:ilvl w:val="7"/>
        <w:numId w:val="2"/>
      </w:numPr>
      <w:spacing w:before="40" w:after="160" w:line="288" w:lineRule="auto"/>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23383"/>
    <w:pPr>
      <w:keepNext/>
      <w:keepLines/>
      <w:numPr>
        <w:ilvl w:val="8"/>
        <w:numId w:val="2"/>
      </w:numPr>
      <w:spacing w:before="40" w:after="160" w:line="288" w:lineRule="auto"/>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A549F"/>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CabealhoChar">
    <w:name w:val="Cabeçalho Char"/>
    <w:basedOn w:val="Fontepargpadro"/>
    <w:link w:val="Cabealho"/>
    <w:uiPriority w:val="99"/>
    <w:rsid w:val="008A549F"/>
  </w:style>
  <w:style w:type="paragraph" w:styleId="Rodap">
    <w:name w:val="footer"/>
    <w:basedOn w:val="Normal"/>
    <w:link w:val="RodapChar"/>
    <w:uiPriority w:val="99"/>
    <w:unhideWhenUsed/>
    <w:rsid w:val="008A549F"/>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RodapChar">
    <w:name w:val="Rodapé Char"/>
    <w:basedOn w:val="Fontepargpadro"/>
    <w:link w:val="Rodap"/>
    <w:uiPriority w:val="99"/>
    <w:rsid w:val="008A549F"/>
  </w:style>
  <w:style w:type="character" w:customStyle="1" w:styleId="Ttulo1Char">
    <w:name w:val="Título 1 Char"/>
    <w:basedOn w:val="Fontepargpadro"/>
    <w:link w:val="Ttulo1"/>
    <w:uiPriority w:val="9"/>
    <w:rsid w:val="005C71AB"/>
    <w:rPr>
      <w:rFonts w:ascii="Segoe UI Semibold" w:eastAsia="Segoe UI Semibold" w:hAnsi="Segoe UI Semibold" w:cs="Segoe UI Semibold"/>
      <w:b/>
      <w:bCs/>
      <w:color w:val="000000" w:themeColor="text1"/>
      <w:kern w:val="0"/>
      <w:sz w:val="21"/>
      <w:szCs w:val="26"/>
      <w:lang w:val="pt-BR" w:eastAsia="pt-BR"/>
      <w14:ligatures w14:val="none"/>
    </w:rPr>
  </w:style>
  <w:style w:type="character" w:customStyle="1" w:styleId="Ttulo2Char">
    <w:name w:val="Título 2 Char"/>
    <w:basedOn w:val="Fontepargpadro"/>
    <w:link w:val="Ttulo2"/>
    <w:uiPriority w:val="9"/>
    <w:rsid w:val="00E13B2D"/>
    <w:rPr>
      <w:rFonts w:ascii="Century Gothic" w:eastAsia="Segoe UI Semibold" w:hAnsi="Century Gothic" w:cs="Segoe UI Semibold"/>
      <w:b/>
      <w:bCs/>
      <w:color w:val="000000"/>
      <w:kern w:val="0"/>
      <w:sz w:val="23"/>
      <w:szCs w:val="23"/>
      <w:lang w:val="pt-BR" w:eastAsia="pt-BR"/>
      <w14:ligatures w14:val="none"/>
    </w:rPr>
  </w:style>
  <w:style w:type="character" w:customStyle="1" w:styleId="Ttulo3Char">
    <w:name w:val="Título 3 Char"/>
    <w:basedOn w:val="Fontepargpadro"/>
    <w:link w:val="Ttulo3"/>
    <w:uiPriority w:val="9"/>
    <w:rsid w:val="006B3B86"/>
    <w:rPr>
      <w:rFonts w:ascii="Segoe UI" w:eastAsia="Segoe UI" w:hAnsi="Segoe UI" w:cs="Segoe UI"/>
      <w:iCs/>
      <w:color w:val="000000"/>
      <w:kern w:val="0"/>
      <w:sz w:val="21"/>
      <w:szCs w:val="21"/>
      <w:lang w:val="pt-BR" w:eastAsia="pt-BR"/>
      <w14:ligatures w14:val="none"/>
    </w:rPr>
  </w:style>
  <w:style w:type="character" w:customStyle="1" w:styleId="Ttulo4Char">
    <w:name w:val="Título 4 Char"/>
    <w:basedOn w:val="Fontepargpadro"/>
    <w:link w:val="Ttulo4"/>
    <w:uiPriority w:val="9"/>
    <w:rsid w:val="00D23383"/>
    <w:rPr>
      <w:rFonts w:ascii="Segoe UI" w:eastAsia="Segoe UI" w:hAnsi="Segoe UI" w:cs="Segoe UI"/>
      <w:i/>
      <w:iCs/>
      <w:color w:val="2E74B5"/>
      <w:kern w:val="0"/>
      <w:sz w:val="21"/>
      <w:szCs w:val="21"/>
      <w:lang w:val="pt-BR" w:eastAsia="pt-BR"/>
      <w14:ligatures w14:val="none"/>
    </w:rPr>
  </w:style>
  <w:style w:type="character" w:customStyle="1" w:styleId="Ttulo5Char">
    <w:name w:val="Título 5 Char"/>
    <w:basedOn w:val="Fontepargpadro"/>
    <w:link w:val="Ttulo5"/>
    <w:uiPriority w:val="9"/>
    <w:semiHidden/>
    <w:rsid w:val="00D23383"/>
    <w:rPr>
      <w:rFonts w:ascii="Segoe UI" w:eastAsia="Segoe UI" w:hAnsi="Segoe UI" w:cs="Segoe UI"/>
      <w:color w:val="2E74B5"/>
      <w:kern w:val="0"/>
      <w:sz w:val="21"/>
      <w:szCs w:val="21"/>
      <w:lang w:val="pt-BR" w:eastAsia="pt-BR"/>
      <w14:ligatures w14:val="none"/>
    </w:rPr>
  </w:style>
  <w:style w:type="character" w:customStyle="1" w:styleId="Ttulo6Char">
    <w:name w:val="Título 6 Char"/>
    <w:basedOn w:val="Fontepargpadro"/>
    <w:link w:val="Ttulo6"/>
    <w:uiPriority w:val="9"/>
    <w:semiHidden/>
    <w:rsid w:val="00D23383"/>
    <w:rPr>
      <w:rFonts w:ascii="Segoe UI" w:eastAsia="Segoe UI" w:hAnsi="Segoe UI" w:cs="Segoe UI"/>
      <w:color w:val="1F4D78"/>
      <w:kern w:val="0"/>
      <w:sz w:val="21"/>
      <w:szCs w:val="21"/>
      <w:lang w:val="pt-BR" w:eastAsia="pt-BR"/>
      <w14:ligatures w14:val="none"/>
    </w:rPr>
  </w:style>
  <w:style w:type="character" w:customStyle="1" w:styleId="Ttulo7Char">
    <w:name w:val="Título 7 Char"/>
    <w:basedOn w:val="Fontepargpadro"/>
    <w:link w:val="Ttulo7"/>
    <w:uiPriority w:val="9"/>
    <w:semiHidden/>
    <w:rsid w:val="00D23383"/>
    <w:rPr>
      <w:rFonts w:asciiTheme="majorHAnsi" w:eastAsiaTheme="majorEastAsia" w:hAnsiTheme="majorHAnsi" w:cstheme="majorBidi"/>
      <w:i/>
      <w:iCs/>
      <w:color w:val="1F3763" w:themeColor="accent1" w:themeShade="7F"/>
      <w:kern w:val="0"/>
      <w:sz w:val="21"/>
      <w:szCs w:val="21"/>
      <w:lang w:val="pt-BR" w:eastAsia="pt-BR"/>
      <w14:ligatures w14:val="none"/>
    </w:rPr>
  </w:style>
  <w:style w:type="character" w:customStyle="1" w:styleId="Ttulo8Char">
    <w:name w:val="Título 8 Char"/>
    <w:basedOn w:val="Fontepargpadro"/>
    <w:link w:val="Ttulo8"/>
    <w:uiPriority w:val="9"/>
    <w:semiHidden/>
    <w:rsid w:val="00D23383"/>
    <w:rPr>
      <w:rFonts w:asciiTheme="majorHAnsi" w:eastAsiaTheme="majorEastAsia" w:hAnsiTheme="majorHAnsi" w:cstheme="majorBidi"/>
      <w:color w:val="272727" w:themeColor="text1" w:themeTint="D8"/>
      <w:kern w:val="0"/>
      <w:sz w:val="21"/>
      <w:szCs w:val="21"/>
      <w:lang w:val="pt-BR" w:eastAsia="pt-BR"/>
      <w14:ligatures w14:val="none"/>
    </w:rPr>
  </w:style>
  <w:style w:type="character" w:customStyle="1" w:styleId="Ttulo9Char">
    <w:name w:val="Título 9 Char"/>
    <w:basedOn w:val="Fontepargpadro"/>
    <w:link w:val="Ttulo9"/>
    <w:uiPriority w:val="9"/>
    <w:semiHidden/>
    <w:rsid w:val="00D23383"/>
    <w:rPr>
      <w:rFonts w:asciiTheme="majorHAnsi" w:eastAsiaTheme="majorEastAsia" w:hAnsiTheme="majorHAnsi" w:cstheme="majorBidi"/>
      <w:i/>
      <w:iCs/>
      <w:color w:val="272727" w:themeColor="text1" w:themeTint="D8"/>
      <w:kern w:val="0"/>
      <w:sz w:val="21"/>
      <w:szCs w:val="21"/>
      <w:lang w:val="pt-BR" w:eastAsia="pt-BR"/>
      <w14:ligatures w14:val="none"/>
    </w:rPr>
  </w:style>
  <w:style w:type="paragraph" w:styleId="PargrafodaLista">
    <w:name w:val="List Paragraph"/>
    <w:link w:val="PargrafodaListaChar"/>
    <w:qFormat/>
    <w:rsid w:val="00D23383"/>
    <w:pPr>
      <w:spacing w:after="0" w:line="240" w:lineRule="auto"/>
    </w:pPr>
    <w:rPr>
      <w:rFonts w:ascii="Segoe UI" w:eastAsia="Segoe UI" w:hAnsi="Segoe UI" w:cs="Segoe UI"/>
      <w:kern w:val="0"/>
      <w:sz w:val="21"/>
      <w:szCs w:val="21"/>
      <w:lang w:val="pt-BR" w:eastAsia="pt-BR"/>
      <w14:ligatures w14:val="none"/>
    </w:rPr>
  </w:style>
  <w:style w:type="character" w:styleId="Refdenotaderodap">
    <w:name w:val="footnote reference"/>
    <w:uiPriority w:val="99"/>
    <w:semiHidden/>
    <w:unhideWhenUsed/>
    <w:rsid w:val="00D23383"/>
    <w:rPr>
      <w:vertAlign w:val="superscript"/>
    </w:rPr>
  </w:style>
  <w:style w:type="table" w:styleId="TabeladeGradeClara">
    <w:name w:val="Grid Table Light"/>
    <w:basedOn w:val="Tabelanormal"/>
    <w:uiPriority w:val="40"/>
    <w:rsid w:val="00D23383"/>
    <w:pPr>
      <w:spacing w:after="0" w:line="240" w:lineRule="auto"/>
    </w:pPr>
    <w:rPr>
      <w:rFonts w:ascii="Segoe UI" w:eastAsia="Segoe UI" w:hAnsi="Segoe UI" w:cs="Segoe UI"/>
      <w:kern w:val="0"/>
      <w:sz w:val="21"/>
      <w:szCs w:val="21"/>
      <w:lang w:val="pt-BR" w:eastAsia="pt-B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D233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977576"/>
    <w:pPr>
      <w:spacing w:before="100" w:beforeAutospacing="1" w:after="100" w:afterAutospacing="1"/>
    </w:pPr>
    <w:rPr>
      <w:rFonts w:ascii="Times New Roman" w:eastAsia="Times New Roman" w:hAnsi="Times New Roman" w:cs="Times New Roman"/>
    </w:rPr>
  </w:style>
  <w:style w:type="character" w:styleId="Forte">
    <w:name w:val="Strong"/>
    <w:basedOn w:val="Fontepargpadro"/>
    <w:uiPriority w:val="22"/>
    <w:qFormat/>
    <w:rsid w:val="00977576"/>
    <w:rPr>
      <w:b/>
      <w:bCs/>
    </w:rPr>
  </w:style>
  <w:style w:type="paragraph" w:customStyle="1" w:styleId="Sub">
    <w:name w:val="Sub"/>
    <w:basedOn w:val="PargrafodaLista"/>
    <w:link w:val="SubChar"/>
    <w:qFormat/>
    <w:rsid w:val="00BA192E"/>
    <w:pPr>
      <w:numPr>
        <w:ilvl w:val="1"/>
        <w:numId w:val="17"/>
      </w:numPr>
      <w:spacing w:before="400" w:after="200"/>
      <w:jc w:val="both"/>
    </w:pPr>
    <w:rPr>
      <w:rFonts w:ascii="Century Gothic" w:hAnsi="Century Gothic"/>
      <w:b/>
      <w:bCs/>
      <w:u w:val="single"/>
    </w:rPr>
  </w:style>
  <w:style w:type="paragraph" w:customStyle="1" w:styleId="SubSub">
    <w:name w:val="SubSub"/>
    <w:basedOn w:val="PargrafodaLista"/>
    <w:link w:val="SubSubChar"/>
    <w:qFormat/>
    <w:rsid w:val="00BA192E"/>
    <w:pPr>
      <w:numPr>
        <w:numId w:val="18"/>
      </w:numPr>
      <w:spacing w:before="400" w:after="200"/>
      <w:jc w:val="both"/>
    </w:pPr>
    <w:rPr>
      <w:rFonts w:ascii="Century Gothic" w:hAnsi="Century Gothic"/>
      <w:sz w:val="22"/>
      <w:szCs w:val="22"/>
    </w:rPr>
  </w:style>
  <w:style w:type="character" w:customStyle="1" w:styleId="PargrafodaListaChar">
    <w:name w:val="Parágrafo da Lista Char"/>
    <w:basedOn w:val="Fontepargpadro"/>
    <w:link w:val="PargrafodaLista"/>
    <w:rsid w:val="00BA192E"/>
    <w:rPr>
      <w:rFonts w:ascii="Segoe UI" w:eastAsia="Segoe UI" w:hAnsi="Segoe UI" w:cs="Segoe UI"/>
      <w:kern w:val="0"/>
      <w:sz w:val="21"/>
      <w:szCs w:val="21"/>
      <w:lang w:val="pt-BR" w:eastAsia="pt-BR"/>
      <w14:ligatures w14:val="none"/>
    </w:rPr>
  </w:style>
  <w:style w:type="character" w:customStyle="1" w:styleId="SubChar">
    <w:name w:val="Sub Char"/>
    <w:basedOn w:val="PargrafodaListaChar"/>
    <w:link w:val="Sub"/>
    <w:rsid w:val="00BA192E"/>
    <w:rPr>
      <w:rFonts w:ascii="Century Gothic" w:eastAsia="Segoe UI" w:hAnsi="Century Gothic" w:cs="Segoe UI"/>
      <w:b/>
      <w:bCs/>
      <w:kern w:val="0"/>
      <w:sz w:val="21"/>
      <w:szCs w:val="21"/>
      <w:u w:val="single"/>
      <w:lang w:val="pt-BR" w:eastAsia="pt-BR"/>
      <w14:ligatures w14:val="none"/>
    </w:rPr>
  </w:style>
  <w:style w:type="character" w:customStyle="1" w:styleId="SubSubChar">
    <w:name w:val="SubSub Char"/>
    <w:basedOn w:val="PargrafodaListaChar"/>
    <w:link w:val="SubSub"/>
    <w:rsid w:val="00BA192E"/>
    <w:rPr>
      <w:rFonts w:ascii="Century Gothic" w:eastAsia="Segoe UI" w:hAnsi="Century Gothic" w:cs="Segoe UI"/>
      <w:kern w:val="0"/>
      <w:sz w:val="21"/>
      <w:szCs w:val="21"/>
      <w:lang w:val="pt-BR"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560407">
      <w:bodyDiv w:val="1"/>
      <w:marLeft w:val="0"/>
      <w:marRight w:val="0"/>
      <w:marTop w:val="0"/>
      <w:marBottom w:val="0"/>
      <w:divBdr>
        <w:top w:val="none" w:sz="0" w:space="0" w:color="auto"/>
        <w:left w:val="none" w:sz="0" w:space="0" w:color="auto"/>
        <w:bottom w:val="none" w:sz="0" w:space="0" w:color="auto"/>
        <w:right w:val="none" w:sz="0" w:space="0" w:color="auto"/>
      </w:divBdr>
      <w:divsChild>
        <w:div w:id="386802198">
          <w:marLeft w:val="0"/>
          <w:marRight w:val="0"/>
          <w:marTop w:val="0"/>
          <w:marBottom w:val="0"/>
          <w:divBdr>
            <w:top w:val="none" w:sz="0" w:space="0" w:color="auto"/>
            <w:left w:val="none" w:sz="0" w:space="0" w:color="auto"/>
            <w:bottom w:val="none" w:sz="0" w:space="0" w:color="auto"/>
            <w:right w:val="none" w:sz="0" w:space="0" w:color="auto"/>
          </w:divBdr>
          <w:divsChild>
            <w:div w:id="1016540083">
              <w:marLeft w:val="0"/>
              <w:marRight w:val="0"/>
              <w:marTop w:val="0"/>
              <w:marBottom w:val="0"/>
              <w:divBdr>
                <w:top w:val="none" w:sz="0" w:space="0" w:color="auto"/>
                <w:left w:val="none" w:sz="0" w:space="0" w:color="auto"/>
                <w:bottom w:val="none" w:sz="0" w:space="0" w:color="auto"/>
                <w:right w:val="none" w:sz="0" w:space="0" w:color="auto"/>
              </w:divBdr>
              <w:divsChild>
                <w:div w:id="1935819315">
                  <w:marLeft w:val="0"/>
                  <w:marRight w:val="0"/>
                  <w:marTop w:val="0"/>
                  <w:marBottom w:val="0"/>
                  <w:divBdr>
                    <w:top w:val="none" w:sz="0" w:space="0" w:color="auto"/>
                    <w:left w:val="none" w:sz="0" w:space="0" w:color="auto"/>
                    <w:bottom w:val="none" w:sz="0" w:space="0" w:color="auto"/>
                    <w:right w:val="none" w:sz="0" w:space="0" w:color="auto"/>
                  </w:divBdr>
                  <w:divsChild>
                    <w:div w:id="108546396">
                      <w:marLeft w:val="0"/>
                      <w:marRight w:val="0"/>
                      <w:marTop w:val="0"/>
                      <w:marBottom w:val="0"/>
                      <w:divBdr>
                        <w:top w:val="none" w:sz="0" w:space="0" w:color="auto"/>
                        <w:left w:val="none" w:sz="0" w:space="0" w:color="auto"/>
                        <w:bottom w:val="none" w:sz="0" w:space="0" w:color="auto"/>
                        <w:right w:val="none" w:sz="0" w:space="0" w:color="auto"/>
                      </w:divBdr>
                      <w:divsChild>
                        <w:div w:id="684018019">
                          <w:marLeft w:val="0"/>
                          <w:marRight w:val="0"/>
                          <w:marTop w:val="0"/>
                          <w:marBottom w:val="0"/>
                          <w:divBdr>
                            <w:top w:val="none" w:sz="0" w:space="0" w:color="auto"/>
                            <w:left w:val="none" w:sz="0" w:space="0" w:color="auto"/>
                            <w:bottom w:val="none" w:sz="0" w:space="0" w:color="auto"/>
                            <w:right w:val="none" w:sz="0" w:space="0" w:color="auto"/>
                          </w:divBdr>
                          <w:divsChild>
                            <w:div w:id="1921327050">
                              <w:marLeft w:val="0"/>
                              <w:marRight w:val="0"/>
                              <w:marTop w:val="0"/>
                              <w:marBottom w:val="0"/>
                              <w:divBdr>
                                <w:top w:val="none" w:sz="0" w:space="0" w:color="auto"/>
                                <w:left w:val="none" w:sz="0" w:space="0" w:color="auto"/>
                                <w:bottom w:val="none" w:sz="0" w:space="0" w:color="auto"/>
                                <w:right w:val="none" w:sz="0" w:space="0" w:color="auto"/>
                              </w:divBdr>
                              <w:divsChild>
                                <w:div w:id="142308660">
                                  <w:marLeft w:val="0"/>
                                  <w:marRight w:val="0"/>
                                  <w:marTop w:val="0"/>
                                  <w:marBottom w:val="0"/>
                                  <w:divBdr>
                                    <w:top w:val="none" w:sz="0" w:space="0" w:color="auto"/>
                                    <w:left w:val="none" w:sz="0" w:space="0" w:color="auto"/>
                                    <w:bottom w:val="none" w:sz="0" w:space="0" w:color="auto"/>
                                    <w:right w:val="none" w:sz="0" w:space="0" w:color="auto"/>
                                  </w:divBdr>
                                  <w:divsChild>
                                    <w:div w:id="9115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597566">
      <w:bodyDiv w:val="1"/>
      <w:marLeft w:val="0"/>
      <w:marRight w:val="0"/>
      <w:marTop w:val="0"/>
      <w:marBottom w:val="0"/>
      <w:divBdr>
        <w:top w:val="none" w:sz="0" w:space="0" w:color="auto"/>
        <w:left w:val="none" w:sz="0" w:space="0" w:color="auto"/>
        <w:bottom w:val="none" w:sz="0" w:space="0" w:color="auto"/>
        <w:right w:val="none" w:sz="0" w:space="0" w:color="auto"/>
      </w:divBdr>
    </w:div>
    <w:div w:id="1021125161">
      <w:bodyDiv w:val="1"/>
      <w:marLeft w:val="0"/>
      <w:marRight w:val="0"/>
      <w:marTop w:val="0"/>
      <w:marBottom w:val="0"/>
      <w:divBdr>
        <w:top w:val="none" w:sz="0" w:space="0" w:color="auto"/>
        <w:left w:val="none" w:sz="0" w:space="0" w:color="auto"/>
        <w:bottom w:val="none" w:sz="0" w:space="0" w:color="auto"/>
        <w:right w:val="none" w:sz="0" w:space="0" w:color="auto"/>
      </w:divBdr>
    </w:div>
    <w:div w:id="1061103011">
      <w:bodyDiv w:val="1"/>
      <w:marLeft w:val="0"/>
      <w:marRight w:val="0"/>
      <w:marTop w:val="0"/>
      <w:marBottom w:val="0"/>
      <w:divBdr>
        <w:top w:val="none" w:sz="0" w:space="0" w:color="auto"/>
        <w:left w:val="none" w:sz="0" w:space="0" w:color="auto"/>
        <w:bottom w:val="none" w:sz="0" w:space="0" w:color="auto"/>
        <w:right w:val="none" w:sz="0" w:space="0" w:color="auto"/>
      </w:divBdr>
      <w:divsChild>
        <w:div w:id="70009862">
          <w:marLeft w:val="0"/>
          <w:marRight w:val="0"/>
          <w:marTop w:val="0"/>
          <w:marBottom w:val="0"/>
          <w:divBdr>
            <w:top w:val="none" w:sz="0" w:space="0" w:color="auto"/>
            <w:left w:val="none" w:sz="0" w:space="0" w:color="auto"/>
            <w:bottom w:val="none" w:sz="0" w:space="0" w:color="auto"/>
            <w:right w:val="none" w:sz="0" w:space="0" w:color="auto"/>
          </w:divBdr>
          <w:divsChild>
            <w:div w:id="1153372672">
              <w:marLeft w:val="0"/>
              <w:marRight w:val="0"/>
              <w:marTop w:val="0"/>
              <w:marBottom w:val="0"/>
              <w:divBdr>
                <w:top w:val="none" w:sz="0" w:space="0" w:color="auto"/>
                <w:left w:val="none" w:sz="0" w:space="0" w:color="auto"/>
                <w:bottom w:val="none" w:sz="0" w:space="0" w:color="auto"/>
                <w:right w:val="none" w:sz="0" w:space="0" w:color="auto"/>
              </w:divBdr>
              <w:divsChild>
                <w:div w:id="1872570860">
                  <w:marLeft w:val="0"/>
                  <w:marRight w:val="0"/>
                  <w:marTop w:val="0"/>
                  <w:marBottom w:val="0"/>
                  <w:divBdr>
                    <w:top w:val="none" w:sz="0" w:space="0" w:color="auto"/>
                    <w:left w:val="none" w:sz="0" w:space="0" w:color="auto"/>
                    <w:bottom w:val="none" w:sz="0" w:space="0" w:color="auto"/>
                    <w:right w:val="none" w:sz="0" w:space="0" w:color="auto"/>
                  </w:divBdr>
                  <w:divsChild>
                    <w:div w:id="1525247564">
                      <w:marLeft w:val="0"/>
                      <w:marRight w:val="0"/>
                      <w:marTop w:val="0"/>
                      <w:marBottom w:val="0"/>
                      <w:divBdr>
                        <w:top w:val="none" w:sz="0" w:space="0" w:color="auto"/>
                        <w:left w:val="none" w:sz="0" w:space="0" w:color="auto"/>
                        <w:bottom w:val="none" w:sz="0" w:space="0" w:color="auto"/>
                        <w:right w:val="none" w:sz="0" w:space="0" w:color="auto"/>
                      </w:divBdr>
                      <w:divsChild>
                        <w:div w:id="1200627540">
                          <w:marLeft w:val="0"/>
                          <w:marRight w:val="0"/>
                          <w:marTop w:val="0"/>
                          <w:marBottom w:val="0"/>
                          <w:divBdr>
                            <w:top w:val="none" w:sz="0" w:space="0" w:color="auto"/>
                            <w:left w:val="none" w:sz="0" w:space="0" w:color="auto"/>
                            <w:bottom w:val="none" w:sz="0" w:space="0" w:color="auto"/>
                            <w:right w:val="none" w:sz="0" w:space="0" w:color="auto"/>
                          </w:divBdr>
                          <w:divsChild>
                            <w:div w:id="183521741">
                              <w:marLeft w:val="0"/>
                              <w:marRight w:val="0"/>
                              <w:marTop w:val="0"/>
                              <w:marBottom w:val="0"/>
                              <w:divBdr>
                                <w:top w:val="none" w:sz="0" w:space="0" w:color="auto"/>
                                <w:left w:val="none" w:sz="0" w:space="0" w:color="auto"/>
                                <w:bottom w:val="none" w:sz="0" w:space="0" w:color="auto"/>
                                <w:right w:val="none" w:sz="0" w:space="0" w:color="auto"/>
                              </w:divBdr>
                              <w:divsChild>
                                <w:div w:id="1443914866">
                                  <w:marLeft w:val="0"/>
                                  <w:marRight w:val="0"/>
                                  <w:marTop w:val="0"/>
                                  <w:marBottom w:val="0"/>
                                  <w:divBdr>
                                    <w:top w:val="none" w:sz="0" w:space="0" w:color="auto"/>
                                    <w:left w:val="none" w:sz="0" w:space="0" w:color="auto"/>
                                    <w:bottom w:val="none" w:sz="0" w:space="0" w:color="auto"/>
                                    <w:right w:val="none" w:sz="0" w:space="0" w:color="auto"/>
                                  </w:divBdr>
                                  <w:divsChild>
                                    <w:div w:id="12503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417021">
      <w:bodyDiv w:val="1"/>
      <w:marLeft w:val="0"/>
      <w:marRight w:val="0"/>
      <w:marTop w:val="0"/>
      <w:marBottom w:val="0"/>
      <w:divBdr>
        <w:top w:val="none" w:sz="0" w:space="0" w:color="auto"/>
        <w:left w:val="none" w:sz="0" w:space="0" w:color="auto"/>
        <w:bottom w:val="none" w:sz="0" w:space="0" w:color="auto"/>
        <w:right w:val="none" w:sz="0" w:space="0" w:color="auto"/>
      </w:divBdr>
      <w:divsChild>
        <w:div w:id="1456944904">
          <w:marLeft w:val="0"/>
          <w:marRight w:val="0"/>
          <w:marTop w:val="0"/>
          <w:marBottom w:val="0"/>
          <w:divBdr>
            <w:top w:val="none" w:sz="0" w:space="0" w:color="auto"/>
            <w:left w:val="none" w:sz="0" w:space="0" w:color="auto"/>
            <w:bottom w:val="none" w:sz="0" w:space="0" w:color="auto"/>
            <w:right w:val="none" w:sz="0" w:space="0" w:color="auto"/>
          </w:divBdr>
          <w:divsChild>
            <w:div w:id="1456951474">
              <w:marLeft w:val="0"/>
              <w:marRight w:val="0"/>
              <w:marTop w:val="0"/>
              <w:marBottom w:val="0"/>
              <w:divBdr>
                <w:top w:val="none" w:sz="0" w:space="0" w:color="auto"/>
                <w:left w:val="none" w:sz="0" w:space="0" w:color="auto"/>
                <w:bottom w:val="none" w:sz="0" w:space="0" w:color="auto"/>
                <w:right w:val="none" w:sz="0" w:space="0" w:color="auto"/>
              </w:divBdr>
              <w:divsChild>
                <w:div w:id="2091926825">
                  <w:marLeft w:val="0"/>
                  <w:marRight w:val="0"/>
                  <w:marTop w:val="0"/>
                  <w:marBottom w:val="0"/>
                  <w:divBdr>
                    <w:top w:val="none" w:sz="0" w:space="0" w:color="auto"/>
                    <w:left w:val="none" w:sz="0" w:space="0" w:color="auto"/>
                    <w:bottom w:val="none" w:sz="0" w:space="0" w:color="auto"/>
                    <w:right w:val="none" w:sz="0" w:space="0" w:color="auto"/>
                  </w:divBdr>
                  <w:divsChild>
                    <w:div w:id="1385183222">
                      <w:marLeft w:val="0"/>
                      <w:marRight w:val="0"/>
                      <w:marTop w:val="0"/>
                      <w:marBottom w:val="0"/>
                      <w:divBdr>
                        <w:top w:val="none" w:sz="0" w:space="0" w:color="auto"/>
                        <w:left w:val="none" w:sz="0" w:space="0" w:color="auto"/>
                        <w:bottom w:val="none" w:sz="0" w:space="0" w:color="auto"/>
                        <w:right w:val="none" w:sz="0" w:space="0" w:color="auto"/>
                      </w:divBdr>
                      <w:divsChild>
                        <w:div w:id="602226531">
                          <w:marLeft w:val="0"/>
                          <w:marRight w:val="0"/>
                          <w:marTop w:val="0"/>
                          <w:marBottom w:val="0"/>
                          <w:divBdr>
                            <w:top w:val="none" w:sz="0" w:space="0" w:color="auto"/>
                            <w:left w:val="none" w:sz="0" w:space="0" w:color="auto"/>
                            <w:bottom w:val="none" w:sz="0" w:space="0" w:color="auto"/>
                            <w:right w:val="none" w:sz="0" w:space="0" w:color="auto"/>
                          </w:divBdr>
                          <w:divsChild>
                            <w:div w:id="1344672924">
                              <w:marLeft w:val="0"/>
                              <w:marRight w:val="0"/>
                              <w:marTop w:val="0"/>
                              <w:marBottom w:val="0"/>
                              <w:divBdr>
                                <w:top w:val="none" w:sz="0" w:space="0" w:color="auto"/>
                                <w:left w:val="none" w:sz="0" w:space="0" w:color="auto"/>
                                <w:bottom w:val="none" w:sz="0" w:space="0" w:color="auto"/>
                                <w:right w:val="none" w:sz="0" w:space="0" w:color="auto"/>
                              </w:divBdr>
                              <w:divsChild>
                                <w:div w:id="1406563161">
                                  <w:marLeft w:val="0"/>
                                  <w:marRight w:val="0"/>
                                  <w:marTop w:val="0"/>
                                  <w:marBottom w:val="0"/>
                                  <w:divBdr>
                                    <w:top w:val="none" w:sz="0" w:space="0" w:color="auto"/>
                                    <w:left w:val="none" w:sz="0" w:space="0" w:color="auto"/>
                                    <w:bottom w:val="none" w:sz="0" w:space="0" w:color="auto"/>
                                    <w:right w:val="none" w:sz="0" w:space="0" w:color="auto"/>
                                  </w:divBdr>
                                  <w:divsChild>
                                    <w:div w:id="15376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12685">
      <w:bodyDiv w:val="1"/>
      <w:marLeft w:val="0"/>
      <w:marRight w:val="0"/>
      <w:marTop w:val="0"/>
      <w:marBottom w:val="0"/>
      <w:divBdr>
        <w:top w:val="none" w:sz="0" w:space="0" w:color="auto"/>
        <w:left w:val="none" w:sz="0" w:space="0" w:color="auto"/>
        <w:bottom w:val="none" w:sz="0" w:space="0" w:color="auto"/>
        <w:right w:val="none" w:sz="0" w:space="0" w:color="auto"/>
      </w:divBdr>
    </w:div>
    <w:div w:id="1948389548">
      <w:bodyDiv w:val="1"/>
      <w:marLeft w:val="0"/>
      <w:marRight w:val="0"/>
      <w:marTop w:val="0"/>
      <w:marBottom w:val="0"/>
      <w:divBdr>
        <w:top w:val="none" w:sz="0" w:space="0" w:color="auto"/>
        <w:left w:val="none" w:sz="0" w:space="0" w:color="auto"/>
        <w:bottom w:val="none" w:sz="0" w:space="0" w:color="auto"/>
        <w:right w:val="none" w:sz="0" w:space="0" w:color="auto"/>
      </w:divBdr>
    </w:div>
    <w:div w:id="205287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83FCF-1EC6-4CEA-BF7D-D2ED6BC6F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MERAKI ARTS BRASIL</dc:creator>
  <cp:keywords/>
  <dc:description/>
  <cp:lastModifiedBy>Nascimento Advogados</cp:lastModifiedBy>
  <cp:revision>12</cp:revision>
  <cp:lastPrinted>2026-04-21T19:37:00Z</cp:lastPrinted>
  <dcterms:created xsi:type="dcterms:W3CDTF">2026-04-27T15:11:00Z</dcterms:created>
  <dcterms:modified xsi:type="dcterms:W3CDTF">2026-05-27T23:19:00Z</dcterms:modified>
</cp:coreProperties>
</file>