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Report Document {{memoria.numReferencia.split(“/”)[0]}} - Final follow-up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reference number: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rFonts w:ascii="Ubuntu" w:hAnsi="Ubuntu"/>
          <w:highlight w:val="none"/>
          <w:shd w:fill="00FF00" w:val="clear"/>
        </w:rPr>
      </w:pPr>
      <w:r>
        <w:rPr>
          <w:rFonts w:ascii="Ubuntu" w:hAnsi="Ubuntu"/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Data of the responsible person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highlight w:val="none"/>
          <w:shd w:fill="00FF00" w:val="clear"/>
        </w:rPr>
      </w:pPr>
      <w:r>
        <w:rPr>
          <w:rFonts w:ascii="Ubuntu" w:hAnsi="Ubuntu"/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Phone: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Departament: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0"/>
          <w:numId w:val="0"/>
        </w:numPr>
        <w:ind w:left="0" w:hanging="0"/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Area: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request code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title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Activity type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Person responsible for guardianship or direction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Funding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Is funding available to carry out the project?: {{memoria.peticionEvaluacion.existeFinanciacion ?  "Yes" : "No"}}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Indicate the source of funding: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Funding status: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key date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Expècted project start date: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Expècted project end date: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summary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reports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Committee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Report reference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Status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3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LibreOffice/7.3.7.2$Linux_X86_64 LibreOffice_project/30$Build-2</Application>
  <AppVersion>15.0000</AppVersion>
  <Pages>3</Pages>
  <Words>164</Words>
  <Characters>2609</Characters>
  <CharactersWithSpaces>2724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2025-01-15T15:32:50Z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