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3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MODIFICACION”</w:t>
      </w:r>
      <w:r>
        <w:rPr>
          <w:b/>
          <w:bCs/>
          <w:i w:val="false"/>
          <w:iCs w:val="false"/>
          <w:sz w:val="32"/>
          <w:szCs w:val="32"/>
        </w:rPr>
        <w:t>) ? "- Modificación"  : 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RATIFICACION”</w:t>
      </w:r>
      <w:r>
        <w:rPr>
          <w:b/>
          <w:bCs/>
          <w:i w:val="false"/>
          <w:iCs w:val="false"/>
          <w:sz w:val="32"/>
          <w:szCs w:val="32"/>
        </w:rPr>
        <w:t>) ? "- Ratificación"  :""}}</w:t>
      </w:r>
    </w:p>
    <w:p>
      <w:pPr>
        <w:pStyle w:val="BodyText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4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4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>{{/bloque_2}}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{{/bloque_3}}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{{?bloque_4}}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BodyText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{{/bloque_4}}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{{?bloque_5}}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</w:t>
      </w:r>
      <w:r>
        <w:rPr>
          <w:highlight w:val="green"/>
        </w:rPr>
        <w:t>toString().equals(“RATIFICACION”)</w:t>
      </w:r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LibreOffice/24.2.5.2$Linux_X86_64 LibreOffice_project/420$Build-2</Application>
  <AppVersion>15.0000</AppVersion>
  <Pages>28</Pages>
  <Words>1253</Words>
  <Characters>32977</Characters>
  <CharactersWithSpaces>33668</CharactersWithSpaces>
  <Paragraphs>691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2024-08-23T10:19:08Z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