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Oinarrizko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Beste xede bat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</w:t>
      </w:r>
      <w:r>
        <w:rPr/>
        <w:t>1</w:t>
      </w:r>
      <w:r>
        <w:rPr/>
        <w:t>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25</Pages>
  <Words>1111</Words>
  <Characters>32281</Characters>
  <CharactersWithSpaces>32852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2025-02-05T12:38:17Z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