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zctepdgwvcn5" w:id="0"/>
      <w:bookmarkEnd w:id="0"/>
      <w:r w:rsidDel="00000000" w:rsidR="00000000" w:rsidRPr="00000000">
        <w:rPr>
          <w:rtl w:val="0"/>
        </w:rPr>
        <w:t xml:space="preserve">Shop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ma2ovwln4k" w:id="1"/>
      <w:bookmarkEnd w:id="1"/>
      <w:r w:rsidDel="00000000" w:rsidR="00000000" w:rsidRPr="00000000">
        <w:rPr>
          <w:rtl w:val="0"/>
        </w:rPr>
        <w:t xml:space="preserve">The shop manager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Alkalmazásunkban olyan példákat tárgyalunk, amelyek boltok tevékenységének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nyilvántartását segítik. A példák fokozatosan vezetik végig az Olvasót a különböző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eszközök alkalmazási lehetőségein, a hangsúlyt a programozási fogásokra helyezve.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oiqphdh17yj" w:id="2"/>
      <w:bookmarkEnd w:id="2"/>
      <w:r w:rsidDel="00000000" w:rsidR="00000000" w:rsidRPr="00000000">
        <w:rPr>
          <w:rtl w:val="0"/>
        </w:rPr>
        <w:t xml:space="preserve">Part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  <w:t xml:space="preserve"> Access modifiers, java class organization, Overloading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prlpep01ktj" w:id="3"/>
      <w:bookmarkEnd w:id="3"/>
      <w:r w:rsidDel="00000000" w:rsidR="00000000" w:rsidRPr="00000000">
        <w:rPr>
          <w:rtl w:val="0"/>
        </w:rPr>
        <w:t xml:space="preserve">1. Task: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Modellezzük a következő osztályokat és implementáljuk ezeket: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Elelmiszerbolt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Lássuk milyen tulajdonságok és viselkedések reprezentálnak egy Tej típusú objektumot: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Ehhez tartozó osztálydefiníció: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bolt;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19550" cy="25336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ngagswe9ka1" w:id="4"/>
      <w:bookmarkEnd w:id="4"/>
      <w:r w:rsidDel="00000000" w:rsidR="00000000" w:rsidRPr="00000000">
        <w:rPr>
          <w:rtl w:val="0"/>
        </w:rPr>
        <w:t xml:space="preserve">1.2.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Amikor egy Tej objektumot meg akarunk jeleníteni a képernyőn, akkor a belső memóriacíme íródik ki, és nem azok az adatok, melyek rá, mint Tej típusú objektumra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jellemzőek. Módosítsuk az osztályt úgy, hogy a sztring-reprezentációja is megfelelő legyen.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28750" cy="16764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s7p72v6rykc" w:id="5"/>
      <w:bookmarkEnd w:id="5"/>
      <w:r w:rsidDel="00000000" w:rsidR="00000000" w:rsidRPr="00000000">
        <w:rPr>
          <w:rtl w:val="0"/>
        </w:rPr>
        <w:t xml:space="preserve">Part 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Objectives: </w:t>
      </w:r>
      <w:r w:rsidDel="00000000" w:rsidR="00000000" w:rsidRPr="00000000">
        <w:rPr>
          <w:rtl w:val="0"/>
        </w:rPr>
        <w:t xml:space="preserve">Implementation, API change, array, Vector, ArrayList, Inner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2z81knqsc9c" w:id="6"/>
      <w:bookmarkEnd w:id="6"/>
      <w:r w:rsidDel="00000000" w:rsidR="00000000" w:rsidRPr="00000000">
        <w:rPr>
          <w:rtl w:val="0"/>
        </w:rPr>
        <w:t xml:space="preserve">2.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hozzuk létre a Bolt osztályt: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33700" cy="2247900"/>
            <wp:effectExtent b="0" l="0" r="0" t="0"/>
            <wp:docPr id="2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ye0v43etoqt" w:id="7"/>
      <w:bookmarkEnd w:id="7"/>
      <w:r w:rsidDel="00000000" w:rsidR="00000000" w:rsidRPr="00000000">
        <w:rPr>
          <w:rtl w:val="0"/>
        </w:rPr>
        <w:t xml:space="preserve">2.1.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Egy boltból nemcsak vásárolni lehet, hanem időnként fel is kell azt tölteni. Ennek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megfelelően módosítsuk a Bolt osztályt.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14650" cy="1905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nyy0qhp3w3" w:id="8"/>
      <w:bookmarkEnd w:id="8"/>
      <w:r w:rsidDel="00000000" w:rsidR="00000000" w:rsidRPr="00000000">
        <w:rPr>
          <w:rtl w:val="0"/>
        </w:rPr>
        <w:t xml:space="preserve">2.2.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tejek mennyisége folyamatosan változik, ezért alkalmazzunk dinamikus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adattárolást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28950" cy="2400300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q6wgm1x65qz" w:id="9"/>
      <w:bookmarkEnd w:id="9"/>
      <w:r w:rsidDel="00000000" w:rsidR="00000000" w:rsidRPr="00000000">
        <w:rPr>
          <w:rtl w:val="0"/>
        </w:rPr>
        <w:t xml:space="preserve">2.3.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Vásárlás során sohasem azt mondjuk, hogy „ezt a két tej objektumot kérem” 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átadjuk a tejek referenciáját. A mai boltok minden esetben vonalkóddal dolgoznak, így mind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feltöltés, mind a vásárlás alapja az áru kódja. Valósítsuk meg a vonalkód alapú tárolást.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 osztálymódosításokat követő osztálydiagramok: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5908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4tck7qj7hsi" w:id="10"/>
      <w:bookmarkEnd w:id="10"/>
      <w:r w:rsidDel="00000000" w:rsidR="00000000" w:rsidRPr="00000000">
        <w:rPr>
          <w:rtl w:val="0"/>
        </w:rPr>
        <w:t xml:space="preserve">2.4.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Egy bolt nem minden árut külön-külön tart nyilván, hanem minden árutípushoz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egy-egy bejegyzést rendel, mely azonosítja az árut, tartalmazza az árat, a raktáron lévő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mennyiséget. Tehát az ár nem az áru sajátossága, hanem a bolté. Módosítsuk a Bolt osztályt,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hogy ilyen bejegyzéseket kezeljen.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Módosított osztályok osztálydiagramja: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1148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n8or5czxiw3" w:id="11"/>
      <w:bookmarkEnd w:id="11"/>
      <w:r w:rsidDel="00000000" w:rsidR="00000000" w:rsidRPr="00000000">
        <w:rPr>
          <w:rtl w:val="0"/>
        </w:rPr>
        <w:t xml:space="preserve">Part III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 Inheritence, abstract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dvja7vulqe7" w:id="12"/>
      <w:bookmarkEnd w:id="12"/>
      <w:r w:rsidDel="00000000" w:rsidR="00000000" w:rsidRPr="00000000">
        <w:rPr>
          <w:rtl w:val="0"/>
        </w:rPr>
        <w:t xml:space="preserve">3. Task: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Egy bolt nem csak egyfajta tejet árul, hanem tartósat, féltartósat, stb. Módosítsuk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úgy alkalmazásunkat, hogy ezen fogalmak megjelenjenek.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5200650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h0mghml0012" w:id="13"/>
      <w:bookmarkEnd w:id="13"/>
      <w:r w:rsidDel="00000000" w:rsidR="00000000" w:rsidRPr="00000000">
        <w:rPr>
          <w:rtl w:val="0"/>
        </w:rPr>
        <w:t xml:space="preserve">3.1.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Tej egy absztrakt fogalom, vagyis olyan típust jelöl, mely inkább gyűjtőnevet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jelöl és nem konkrétat. Ennek megfelelően módosítsuk az alkalmazást.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abstract class Tej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Mivel egy bolt szempontjából mindegy, hogy egy tej milyen, csak egyszerűen tejet akarnak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árulni, a BoltBejegyzes osztály nem változik. Így általános típusú objektumokat tárolunk,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nem kell a specializációval foglalkoznunk.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pf8yyqsjhbn" w:id="14"/>
      <w:bookmarkEnd w:id="14"/>
      <w:r w:rsidDel="00000000" w:rsidR="00000000" w:rsidRPr="00000000">
        <w:rPr>
          <w:rtl w:val="0"/>
        </w:rPr>
        <w:t xml:space="preserve">3.2. Task: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Mivel a TartosTej és a FeltartosTej egyazon fogalom kiterjesztései, ennek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csomagspecifikációban is tükröződnie kellene. Módosítsuk ezen osztályokat.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Módosított osztályok: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b21uh6utgib" w:id="15"/>
      <w:bookmarkEnd w:id="15"/>
      <w:r w:rsidDel="00000000" w:rsidR="00000000" w:rsidRPr="00000000">
        <w:rPr>
          <w:rtl w:val="0"/>
        </w:rPr>
        <w:t xml:space="preserve">3.5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Bővítsük projektünket egy Elelmiszer osztállyal. Gondoljuk végig, hogy az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élelmiszer milyen fogalmat jelöl!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200400" cy="19812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 Elelmiszer gyűjtőnév jellege miatt absztrakt, és minden tej és sajt ősosztálya is, mivel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azok általános esetét jelenti. Így a létrejövő hierarchia: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67200" cy="3457575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Így az élelmiszerekre jellemző tulajdonságok és viselkedések öröklődéssel kerülnek a tej 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sajttípusokhoz.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ryhg87j2z9r" w:id="16"/>
      <w:bookmarkEnd w:id="16"/>
      <w:r w:rsidDel="00000000" w:rsidR="00000000" w:rsidRPr="00000000">
        <w:rPr>
          <w:rtl w:val="0"/>
        </w:rPr>
        <w:t xml:space="preserve">3.6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Egy bolt számára mindegy, hogy tej, vagy sajt objektumokat tárol az adatbázisban.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Egyszerűsítsük ezen élelmiszerek kezelését, könnyítsük meg az adatbázis módosítását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segédmetódusokkal.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819400"/>
            <wp:effectExtent b="0" l="0" r="0" t="0"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ypcd0kz4fhk" w:id="17"/>
      <w:bookmarkEnd w:id="17"/>
      <w:r w:rsidDel="00000000" w:rsidR="00000000" w:rsidRPr="00000000">
        <w:rPr>
          <w:rtl w:val="0"/>
        </w:rPr>
        <w:t xml:space="preserve">Part 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Objectives: Error Handling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6u7z7v0lm74" w:id="18"/>
      <w:bookmarkEnd w:id="18"/>
      <w:r w:rsidDel="00000000" w:rsidR="00000000" w:rsidRPr="00000000">
        <w:rPr>
          <w:rtl w:val="0"/>
        </w:rPr>
        <w:t xml:space="preserve">4.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Készítsük fel alkalmazásunkat az esetlegesen bekövetkező hibák kezelésére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Törekedjünk a konzisztens működésre.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Új kivételosztályaink: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76750" cy="8001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c6se6xc69fm" w:id="19"/>
      <w:bookmarkEnd w:id="19"/>
      <w:r w:rsidDel="00000000" w:rsidR="00000000" w:rsidRPr="00000000">
        <w:rPr>
          <w:rtl w:val="0"/>
        </w:rPr>
        <w:t xml:space="preserve">4.1.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Egy alkalmazás során sok saját kivételtípust kezelhetünk. Ilyenkor a metódusok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specifikációjánál „tobzódás” léphet fel, így annak hívásánál is körülményes az események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kezelése. Egyszerűsítsünk az alkalmazás kivételmodelljén: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81525" cy="1704975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52osdjon0f2" w:id="20"/>
      <w:bookmarkEnd w:id="20"/>
      <w:r w:rsidDel="00000000" w:rsidR="00000000" w:rsidRPr="00000000">
        <w:rPr>
          <w:rtl w:val="0"/>
        </w:rPr>
        <w:t xml:space="preserve">Part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  <w:t xml:space="preserve"> Factory design pattern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0awoqgcczoq" w:id="21"/>
      <w:bookmarkEnd w:id="21"/>
      <w:r w:rsidDel="00000000" w:rsidR="00000000" w:rsidRPr="00000000">
        <w:rPr>
          <w:rtl w:val="0"/>
        </w:rPr>
        <w:t xml:space="preserve">5.Task: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Modellünket módosítsuk úgy, hogy szappant is áruljon a boltunk.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62550" cy="4362450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Bevezetjük az absztrakt áru fogalmát, mely a szappan és az élelmiszer gyűjtőneve is egyben.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 osztálystruktúra módosított felépítése: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00250" cy="27622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ys7px1lby6g" w:id="22"/>
      <w:bookmarkEnd w:id="22"/>
      <w:r w:rsidDel="00000000" w:rsidR="00000000" w:rsidRPr="00000000">
        <w:rPr>
          <w:rtl w:val="0"/>
        </w:rPr>
        <w:t xml:space="preserve">5.1.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TejFactory kiszolgáló osztályunk elég „kiszolgált” már. Módosítsuk az újonnan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elkészült bolti alkalmazás alapján.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91100" cy="1247775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Ez az osztály minden Aru típus példányosításához segítséget nyújt.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h8f181lfn9e" w:id="23"/>
      <w:bookmarkEnd w:id="23"/>
      <w:r w:rsidDel="00000000" w:rsidR="00000000" w:rsidRPr="00000000">
        <w:rPr>
          <w:rtl w:val="0"/>
        </w:rPr>
        <w:t xml:space="preserve">5.2. Task: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példányosítások során a sok plusz munkát az olyan paraméterek megadása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jelenti, mely értéke nagy valószínűség szerint minden esetben megegyezik. Adjunk ennek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segítésére módszereket.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29200" cy="2524125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oydf6s9ub4m" w:id="24"/>
      <w:bookmarkEnd w:id="24"/>
      <w:r w:rsidDel="00000000" w:rsidR="00000000" w:rsidRPr="00000000">
        <w:rPr>
          <w:rtl w:val="0"/>
        </w:rPr>
        <w:t xml:space="preserve">Part 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 interface, Hashtable, Iterator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y2nke1xf8rj" w:id="25"/>
      <w:bookmarkEnd w:id="25"/>
      <w:r w:rsidDel="00000000" w:rsidR="00000000" w:rsidRPr="00000000">
        <w:rPr>
          <w:rtl w:val="0"/>
        </w:rPr>
        <w:t xml:space="preserve">6.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Vegyünk a következő fogalmat: írható CD, mely élelmiszerboltban (ma még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általában) nem kapható. Alkossuk meg a Shop viselkedést, mely egy eladási viselkedés 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reprezentációja.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67000" cy="1247775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3mn5gu9lm86" w:id="26"/>
      <w:bookmarkEnd w:id="26"/>
      <w:r w:rsidDel="00000000" w:rsidR="00000000" w:rsidRPr="00000000">
        <w:rPr>
          <w:rtl w:val="0"/>
        </w:rPr>
        <w:t xml:space="preserve">6.1.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Mivel az áru ezen típusú iterációja a Hashtable belső implementációját használja,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kiadja minden objektum referenciáját. Írjunk saját iterátor implementációt, mely csak az áruk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vonalkódját adja 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67000" cy="3286125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ozehvlnm4dh" w:id="27"/>
      <w:bookmarkEnd w:id="27"/>
      <w:r w:rsidDel="00000000" w:rsidR="00000000" w:rsidRPr="00000000">
        <w:rPr>
          <w:rtl w:val="0"/>
        </w:rPr>
        <w:t xml:space="preserve">Part VII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Objectives: Error handling, File handling, Iterator, Cross Cutting Concern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bbj6095j8qc" w:id="28"/>
      <w:bookmarkEnd w:id="28"/>
      <w:r w:rsidDel="00000000" w:rsidR="00000000" w:rsidRPr="00000000">
        <w:rPr>
          <w:rtl w:val="0"/>
        </w:rPr>
        <w:t xml:space="preserve">7.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Minden Shop objektum rendelkezik nyitás és zárás viselkedéssel. Amikor a 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zárva van, semmilyen művelet nem végezhető vele. Módosítsuk ennek megfelelően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definíciókat.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33800" cy="17049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j3305jtw37p" w:id="29"/>
      <w:bookmarkEnd w:id="29"/>
      <w:r w:rsidDel="00000000" w:rsidR="00000000" w:rsidRPr="00000000">
        <w:rPr>
          <w:rtl w:val="0"/>
        </w:rPr>
        <w:t xml:space="preserve">7.2.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Mivel vásárolni az iterátor által adott Aru típusú objektumok alapján lehet, a belső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iterátor reprezentációt is módosítani kell, hogy Aru típusú legyen, de mégis elfedje a belső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reprezentációt. Erre használjuk a névtelen példányosítást!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 iterátor osztály módosításának eredménye: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AruIterator implements Iterator{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Object next()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Aru a = (Aru)i.next();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new Aru( a.getVonalKod(), a.getGyarto()){};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vn8zznq7csz" w:id="30"/>
      <w:bookmarkEnd w:id="30"/>
      <w:r w:rsidDel="00000000" w:rsidR="00000000" w:rsidRPr="00000000">
        <w:rPr>
          <w:rtl w:val="0"/>
        </w:rPr>
        <w:t xml:space="preserve">7.3.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Naplózza minden Shop nyitva tartása idején folyamatosan tevékenységeit 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állományba, melyet zárást követően le is lehessen kérdezni!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33800" cy="1704975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7.4. Példa: Mivel a napló feldolgozása sokrétű lehet, interfészekkel kell segíteni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rendszergazda információgyűjtésének folyamatát.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7.4.1. Példa: Vegyünk fel interfészeket a naplózás elérésének segítésére.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663700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Így a bolt működése során bármikor lekérdezhetőek a naplózási információk, és az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interfészeken keresztül könnyen feldolgozhatóak.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Lássuk az interfészek definícióját: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zfb02lqdunv" w:id="31"/>
      <w:bookmarkEnd w:id="31"/>
      <w:r w:rsidDel="00000000" w:rsidR="00000000" w:rsidRPr="00000000">
        <w:rPr>
          <w:rtl w:val="0"/>
        </w:rPr>
        <w:t xml:space="preserve">7.4.2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Interfésszel segítsük a napló létrehozását.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57400" cy="1819275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wkcosgihj46" w:id="32"/>
      <w:bookmarkEnd w:id="32"/>
      <w:r w:rsidDel="00000000" w:rsidR="00000000" w:rsidRPr="00000000">
        <w:rPr>
          <w:rtl w:val="0"/>
        </w:rPr>
        <w:t xml:space="preserve">7.4.3.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Készítsük el a naplózási rész implementációját.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00700" cy="52482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mf5nnlamy8q" w:id="33"/>
      <w:bookmarkEnd w:id="33"/>
      <w:r w:rsidDel="00000000" w:rsidR="00000000" w:rsidRPr="00000000">
        <w:rPr>
          <w:rtl w:val="0"/>
        </w:rPr>
        <w:t xml:space="preserve">7.4.4.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Építsük bele implementációnkat a Bolt osztályba!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j8s3sz6o2ql" w:id="34"/>
      <w:bookmarkEnd w:id="34"/>
      <w:r w:rsidDel="00000000" w:rsidR="00000000" w:rsidRPr="00000000">
        <w:rPr>
          <w:rtl w:val="0"/>
        </w:rPr>
        <w:t xml:space="preserve">Part VIII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wuiw6s89a7n" w:id="35"/>
      <w:bookmarkEnd w:id="35"/>
      <w:r w:rsidDel="00000000" w:rsidR="00000000" w:rsidRPr="00000000">
        <w:rPr>
          <w:rtl w:val="0"/>
        </w:rPr>
        <w:t xml:space="preserve">8. Task: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személyek vásárlásának elősegítésére plázákat építenek, így rövidül a bevásárlási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idő. Valósítsuk meg a plaza fogalmat Java környezetben! Az egyszerűség kedvéért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feltételezhetjük, hogy a plaza csak boltokat tartalmaz, és azok egyszerre nyitnak.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67100" cy="22764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35.png"/><Relationship Id="rId21" Type="http://schemas.openxmlformats.org/officeDocument/2006/relationships/image" Target="media/image32.png"/><Relationship Id="rId24" Type="http://schemas.openxmlformats.org/officeDocument/2006/relationships/image" Target="media/image13.png"/><Relationship Id="rId23" Type="http://schemas.openxmlformats.org/officeDocument/2006/relationships/image" Target="media/image3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7.png"/><Relationship Id="rId26" Type="http://schemas.openxmlformats.org/officeDocument/2006/relationships/image" Target="media/image42.png"/><Relationship Id="rId25" Type="http://schemas.openxmlformats.org/officeDocument/2006/relationships/image" Target="media/image28.png"/><Relationship Id="rId28" Type="http://schemas.openxmlformats.org/officeDocument/2006/relationships/image" Target="media/image18.png"/><Relationship Id="rId27" Type="http://schemas.openxmlformats.org/officeDocument/2006/relationships/image" Target="media/image08.png"/><Relationship Id="rId5" Type="http://schemas.openxmlformats.org/officeDocument/2006/relationships/image" Target="media/image12.png"/><Relationship Id="rId6" Type="http://schemas.openxmlformats.org/officeDocument/2006/relationships/image" Target="media/image33.png"/><Relationship Id="rId29" Type="http://schemas.openxmlformats.org/officeDocument/2006/relationships/image" Target="media/image14.png"/><Relationship Id="rId7" Type="http://schemas.openxmlformats.org/officeDocument/2006/relationships/image" Target="media/image49.png"/><Relationship Id="rId8" Type="http://schemas.openxmlformats.org/officeDocument/2006/relationships/image" Target="media/image16.png"/><Relationship Id="rId11" Type="http://schemas.openxmlformats.org/officeDocument/2006/relationships/image" Target="media/image27.png"/><Relationship Id="rId10" Type="http://schemas.openxmlformats.org/officeDocument/2006/relationships/image" Target="media/image38.png"/><Relationship Id="rId13" Type="http://schemas.openxmlformats.org/officeDocument/2006/relationships/image" Target="media/image20.png"/><Relationship Id="rId12" Type="http://schemas.openxmlformats.org/officeDocument/2006/relationships/image" Target="media/image48.png"/><Relationship Id="rId15" Type="http://schemas.openxmlformats.org/officeDocument/2006/relationships/image" Target="media/image46.png"/><Relationship Id="rId14" Type="http://schemas.openxmlformats.org/officeDocument/2006/relationships/image" Target="media/image39.png"/><Relationship Id="rId17" Type="http://schemas.openxmlformats.org/officeDocument/2006/relationships/image" Target="media/image23.png"/><Relationship Id="rId16" Type="http://schemas.openxmlformats.org/officeDocument/2006/relationships/image" Target="media/image24.png"/><Relationship Id="rId19" Type="http://schemas.openxmlformats.org/officeDocument/2006/relationships/image" Target="media/image11.png"/><Relationship Id="rId18" Type="http://schemas.openxmlformats.org/officeDocument/2006/relationships/image" Target="media/image45.png"/></Relationships>
</file>