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Human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pipelines</w:t>
      </w:r>
      <w:r>
        <w:t xml:space="preserve"> </w:t>
      </w:r>
      <w:r>
        <w:t xml:space="preserve">for</w:t>
      </w:r>
      <w:r>
        <w:t xml:space="preserve"> </w:t>
      </w:r>
      <w:r>
        <w:t xml:space="preserve">responsible</w:t>
      </w:r>
      <w:r>
        <w:t xml:space="preserve"> </w:t>
      </w:r>
      <w:r>
        <w:t xml:space="preserve">clinical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high-dimensional</w:t>
      </w:r>
      <w:r>
        <w:t xml:space="preserve"> </w:t>
      </w:r>
      <w:r>
        <w:t xml:space="preserve">data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human and machine learning pipelines for responsible</w:t>
      </w:r>
      <w:r>
        <w:t xml:space="preserve"> </w:t>
      </w:r>
      <w:r>
        <w:t xml:space="preserve">clinical prediction using high-dimensional data. We would use prelabor rupture</w:t>
      </w:r>
      <w:r>
        <w:t xml:space="preserve"> </w:t>
      </w:r>
      <w:r>
        <w:t xml:space="preserve">of membranes (PROM), as an example. There are three of six sections</w:t>
      </w:r>
      <w:r>
        <w:t xml:space="preserve"> </w:t>
      </w:r>
      <w:r>
        <w:t xml:space="preserve">corresponding to some sections in the main text, which are respectively</w:t>
      </w:r>
      <w:r>
        <w:t xml:space="preserve"> </w:t>
      </w:r>
      <w:r>
        <w:t xml:space="preserve">Introduction, Software and equipment, and Procedure. Along with this PDF</w:t>
      </w:r>
      <w:r>
        <w:t xml:space="preserve"> </w:t>
      </w:r>
      <w:r>
        <w:t xml:space="preserve">document, we also provide R Markdown (.Rmd) containing the same texts with this</w:t>
      </w:r>
      <w:r>
        <w:t xml:space="preserve"> </w:t>
      </w:r>
      <w:r>
        <w:t xml:space="preserve">document but including the programming codes for the data analysis in-between</w:t>
      </w:r>
      <w:r>
        <w:t xml:space="preserve"> </w:t>
      </w:r>
      <w:r>
        <w:t xml:space="preserve">of these texts. The R Markdown are 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https://github.com/herdiantrisufriyana/hmlp</w:t>
        </w:r>
      </w:hyperlink>
      <w:r>
        <w:t xml:space="preserve">. To get raw data, one need to</w:t>
      </w:r>
      <w:r>
        <w:t xml:space="preserve"> </w:t>
      </w:r>
      <w:r>
        <w:t xml:space="preserve">request an access from the BPJS Kesehatan for their sample dataset published in</w:t>
      </w:r>
      <w:r>
        <w:t xml:space="preserve"> </w:t>
      </w:r>
      <w:r>
        <w:t xml:space="preserve">August 2019. Up to this date, there are three sample datasets they published in</w:t>
      </w:r>
      <w:r>
        <w:t xml:space="preserve"> </w:t>
      </w:r>
      <w:r>
        <w:t xml:space="preserve">February 2019, August 2019, and December 2020. For the first and second</w:t>
      </w:r>
      <w:r>
        <w:t xml:space="preserve"> </w:t>
      </w:r>
      <w:r>
        <w:t xml:space="preserve">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 while</w:t>
      </w:r>
      <w:r>
        <w:t xml:space="preserve"> </w:t>
      </w:r>
      <w:r>
        <w:t xml:space="preserve">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 the</w:t>
      </w:r>
      <w:r>
        <w:t xml:space="preserve"> </w:t>
      </w:r>
      <w:r>
        <w:t xml:space="preserve">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Heading2"/>
      </w:pPr>
      <w:bookmarkStart w:id="26" w:name="programming-environment"/>
      <w:r>
        <w:t xml:space="preserve">Programming environment</w:t>
      </w:r>
      <w:bookmarkEnd w:id="26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198 R packages which are 9 base</w:t>
      </w:r>
      <w:r>
        <w:t xml:space="preserve"> </w:t>
      </w:r>
      <w:r>
        <w:t xml:space="preserve">packages, 53 other packages, and 136 dependencies.</w:t>
      </w:r>
    </w:p>
    <w:p>
      <w:pPr>
        <w:pStyle w:val="Heading1"/>
      </w:pPr>
      <w:bookmarkStart w:id="27" w:name="procedure"/>
      <w:r>
        <w:t xml:space="preserve">Procedure</w:t>
      </w:r>
      <w:bookmarkEnd w:id="27"/>
    </w:p>
    <w:p>
      <w:pPr>
        <w:pStyle w:val="Heading2"/>
      </w:pPr>
      <w:bookmarkStart w:id="28" w:name="step-1-to-6"/>
      <w:r>
        <w:t xml:space="preserve">Step 1 to 6</w:t>
      </w:r>
      <w:bookmarkEnd w:id="28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 (Table 7 in Supplemental Spreadsheet).</w:t>
      </w:r>
    </w:p>
    <w:p>
      <w:pPr>
        <w:pStyle w:val="Heading2"/>
      </w:pPr>
      <w:bookmarkStart w:id="29" w:name="step-7"/>
      <w:r>
        <w:t xml:space="preserve">Step 7</w:t>
      </w:r>
      <w:bookmarkEnd w:id="29"/>
    </w:p>
    <w:p>
      <w:pPr>
        <w:pStyle w:val="FirstParagraph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inference. Then, we applied systematic human learning, as</w:t>
      </w:r>
      <w:r>
        <w:t xml:space="preserve"> </w:t>
      </w:r>
      <w:r>
        <w:t xml:space="preserve">described in the main text, to determine what were causal factors that can be</w:t>
      </w:r>
      <w:r>
        <w:t xml:space="preserve"> </w:t>
      </w:r>
      <w:r>
        <w:t xml:space="preserve">inferred from our dataset. We also computed a number of days for a code in the</w:t>
      </w:r>
      <w:r>
        <w:t xml:space="preserve"> </w:t>
      </w:r>
      <w:r>
        <w:t xml:space="preserve">latest encounter before the time of prediction, including those by codes as a</w:t>
      </w:r>
      <w:r>
        <w:t xml:space="preserve"> </w:t>
      </w:r>
      <w:r>
        <w:t xml:space="preserve">causal factor.</w:t>
      </w:r>
    </w:p>
    <w:p>
      <w:pPr>
        <w:pStyle w:val="Heading2"/>
      </w:pPr>
      <w:bookmarkStart w:id="30" w:name="Xad0773032075b63875cf65d57b5edbf044186dd"/>
      <w:r>
        <w:t xml:space="preserve">Preparation of validation sets for Step 27</w:t>
      </w:r>
      <w:bookmarkEnd w:id="30"/>
    </w:p>
    <w:p>
      <w:pPr>
        <w:pStyle w:val="FirstParagraph"/>
      </w:pPr>
      <w:r>
        <w:t xml:space="preserve">To ensure all inference or derivation using training set only, we need to</w:t>
      </w:r>
      <w:r>
        <w:t xml:space="preserve"> </w:t>
      </w:r>
      <w:r>
        <w:t xml:space="preserve">conduct data partition before continuing the downstream analysis. Therefore,</w:t>
      </w:r>
      <w:r>
        <w:t xml:space="preserve"> </w:t>
      </w:r>
      <w:r>
        <w:t xml:space="preserve">historical rates, PCs, and modeling were not derived by involving validation</w:t>
      </w:r>
      <w:r>
        <w:t xml:space="preserve"> </w:t>
      </w:r>
      <w:r>
        <w:t xml:space="preserve">set.</w:t>
      </w:r>
    </w:p>
    <w:p>
      <w:pPr>
        <w:pStyle w:val="Heading2"/>
      </w:pPr>
      <w:bookmarkStart w:id="31" w:name="step-8"/>
      <w:r>
        <w:t xml:space="preserve">Step 8</w:t>
      </w:r>
      <w:bookmarkEnd w:id="31"/>
    </w:p>
    <w:p>
      <w:pPr>
        <w:pStyle w:val="FirstParagraph"/>
      </w:pPr>
      <w:r>
        <w:t xml:space="preserve">We conducted causal inference as described in the main text. This will help us</w:t>
      </w:r>
      <w:r>
        <w:t xml:space="preserve"> </w:t>
      </w:r>
      <w:r>
        <w:t xml:space="preserve">to include only the confirmed causal factors as candidate predictors before</w:t>
      </w:r>
      <w:r>
        <w:t xml:space="preserve"> </w:t>
      </w:r>
      <w:r>
        <w:t xml:space="preserve">conducting pre-selection of those candidates to fulfill quality control of</w:t>
      </w:r>
      <w:r>
        <w:t xml:space="preserve"> </w:t>
      </w:r>
      <w:r>
        <w:t xml:space="preserve">predictors in the main text. We included causal factors of which the data were</w:t>
      </w:r>
      <w:r>
        <w:t xml:space="preserve"> </w:t>
      </w:r>
      <w:r>
        <w:t xml:space="preserve">available in training set. Details on this information and ICD-10 codes or</w:t>
      </w:r>
      <w:r>
        <w:t xml:space="preserve"> </w:t>
      </w:r>
      <w:r>
        <w:t xml:space="preserve">demographical variables for each candidate of causal factors are shown in the</w:t>
      </w:r>
      <w:r>
        <w:t xml:space="preserve"> </w:t>
      </w:r>
      <w:r>
        <w:t xml:space="preserve">next section.</w:t>
      </w:r>
    </w:p>
    <w:p>
      <w:pPr>
        <w:pStyle w:val="Heading2"/>
      </w:pPr>
      <w:bookmarkStart w:id="32" w:name="step-9-to-12"/>
      <w:r>
        <w:t xml:space="preserve">Step 9 to 12</w:t>
      </w:r>
      <w:bookmarkEnd w:id="32"/>
    </w:p>
    <w:p>
      <w:pPr>
        <w:pStyle w:val="FirstParagraph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By systematic human learning and causal inference using available data, we also</w:t>
      </w:r>
      <w:r>
        <w:t xml:space="preserve"> </w:t>
      </w:r>
      <w:r>
        <w:t xml:space="preserve">determined causal factors as the candidate predictors. There were 27 first- and</w:t>
      </w:r>
      <w:r>
        <w:t xml:space="preserve"> </w:t>
      </w:r>
      <w:r>
        <w:t xml:space="preserve">10 second-level factors of PROM. Only data for 12 out of 27 causal factors were</w:t>
      </w:r>
      <w:r>
        <w:t xml:space="preserve"> </w:t>
      </w:r>
      <w:r>
        <w:t xml:space="preserve">available in training set. Either the diagnosis/procedure codes, or</w:t>
      </w:r>
      <w:r>
        <w:t xml:space="preserve"> </w:t>
      </w:r>
      <w:r>
        <w:t xml:space="preserve">demographical variables (not included as candidate predictors), for causal</w:t>
      </w:r>
      <w:r>
        <w:t xml:space="preserve"> </w:t>
      </w:r>
      <w:r>
        <w:t xml:space="preserve">factors are also described.</w:t>
      </w:r>
    </w:p>
    <w:p>
      <w:pPr>
        <w:pStyle w:val="Heading2"/>
      </w:pPr>
      <w:bookmarkStart w:id="33" w:name="step-13"/>
      <w:r>
        <w:t xml:space="preserve">Step 13</w:t>
      </w:r>
      <w:bookmarkEnd w:id="33"/>
    </w:p>
    <w:p>
      <w:pPr>
        <w:pStyle w:val="FirstParagraph"/>
      </w:pPr>
      <w:r>
        <w:t xml:space="preserve">We inferred the nationwide historical rates given the day number from a code</w:t>
      </w:r>
      <w:r>
        <w:t xml:space="preserve"> </w:t>
      </w:r>
      <w:r>
        <w:t xml:space="preserve">encounter to current visit for each candidate predictor, as described in the</w:t>
      </w:r>
      <w:r>
        <w:t xml:space="preserve"> </w:t>
      </w:r>
      <w:r>
        <w:t xml:space="preserve">main text. This used irredundant candidate predictors with non-zero variances</w:t>
      </w:r>
      <w:r>
        <w:t xml:space="preserve"> </w:t>
      </w:r>
      <w:r>
        <w:t xml:space="preserve">and no perfect separation in training set only. The candidate predictors were</w:t>
      </w:r>
      <w:r>
        <w:t xml:space="preserve"> </w:t>
      </w:r>
      <w:r>
        <w:t xml:space="preserve">transformed into the historical rates in all data partitions.</w:t>
      </w:r>
    </w:p>
    <w:p>
      <w:pPr>
        <w:pStyle w:val="Heading2"/>
      </w:pPr>
      <w:bookmarkStart w:id="34" w:name="step-14"/>
      <w:r>
        <w:t xml:space="preserve">Step 14</w:t>
      </w:r>
      <w:bookmarkEnd w:id="34"/>
    </w:p>
    <w:p>
      <w:pPr>
        <w:pStyle w:val="FirstParagraph"/>
      </w:pPr>
      <w:r>
        <w:t xml:space="preserve">The historical rates of all candidate predictors were fitted to a principal</w:t>
      </w:r>
      <w:r>
        <w:t xml:space="preserve"> </w:t>
      </w:r>
      <w:r>
        <w:t xml:space="preserve">component (PC) model. Only training set was used for the model fitting. We</w:t>
      </w:r>
      <w:r>
        <w:t xml:space="preserve"> </w:t>
      </w:r>
      <w:r>
        <w:t xml:space="preserve">applied 10-fold cross validation to estimate weights for all candidate</w:t>
      </w:r>
      <w:r>
        <w:t xml:space="preserve"> </w:t>
      </w:r>
      <w:r>
        <w:t xml:space="preserve">predictors in each PC.</w:t>
      </w:r>
    </w:p>
    <w:p>
      <w:pPr>
        <w:pStyle w:val="Heading2"/>
      </w:pPr>
      <w:bookmarkStart w:id="35" w:name="step-15-to-17"/>
      <w:r>
        <w:t xml:space="preserve">Step 15 to 17</w:t>
      </w:r>
      <w:bookmarkEnd w:id="35"/>
    </w:p>
    <w:p>
      <w:pPr>
        <w:pStyle w:val="FirstParagraph"/>
      </w:pPr>
      <w:r>
        <w:t xml:space="preserve">Previous data partition had not held out instances for calibration yet. This</w:t>
      </w:r>
      <w:r>
        <w:t xml:space="preserve"> </w:t>
      </w:r>
      <w:r>
        <w:t xml:space="preserve">took 80% of training set. We also gave different weights for event and nonevent</w:t>
      </w:r>
      <w:r>
        <w:t xml:space="preserve"> </w:t>
      </w:r>
      <w:r>
        <w:t xml:space="preserve">by including censored outcome, as described in the main text. For</w:t>
      </w:r>
      <w:r>
        <w:t xml:space="preserve"> </w:t>
      </w:r>
      <w:r>
        <w:t xml:space="preserve">hyperparameter tuning, we applied 5-fold cross validation, instead of 10-fold</w:t>
      </w:r>
      <w:r>
        <w:t xml:space="preserve"> </w:t>
      </w:r>
      <w:r>
        <w:t xml:space="preserve">as applied for PC modeling. Meanwhile, the final training and calibration for</w:t>
      </w:r>
      <w:r>
        <w:t xml:space="preserve"> </w:t>
      </w:r>
      <w:r>
        <w:t xml:space="preserve">each model were conducted by bootstrapping for 30 times. The same resampling</w:t>
      </w:r>
      <w:r>
        <w:t xml:space="preserve"> </w:t>
      </w:r>
      <w:r>
        <w:t xml:space="preserve">methods were applied for both classification and estimation tasks. Parallel</w:t>
      </w:r>
      <w:r>
        <w:t xml:space="preserve"> </w:t>
      </w:r>
      <w:r>
        <w:t xml:space="preserve">computing by multiple central processing units (CPUs) were applied for training</w:t>
      </w:r>
      <w:r>
        <w:t xml:space="preserve"> </w:t>
      </w:r>
      <w:r>
        <w:t xml:space="preserve">all models.</w:t>
      </w:r>
    </w:p>
    <w:p>
      <w:pPr>
        <w:pStyle w:val="Heading2"/>
      </w:pPr>
      <w:bookmarkStart w:id="36" w:name="step-18-to-21-and-26-to-27"/>
      <w:r>
        <w:t xml:space="preserve">Step 18 to 21, and 26 to 27</w:t>
      </w:r>
      <w:bookmarkEnd w:id="36"/>
    </w:p>
    <w:p>
      <w:pPr>
        <w:pStyle w:val="FirstParagraph"/>
      </w:pPr>
      <w:r>
        <w:t xml:space="preserve">We applied the tuning grids and the training configurations for all models,</w:t>
      </w:r>
      <w:r>
        <w:t xml:space="preserve"> </w:t>
      </w:r>
      <w:r>
        <w:t xml:space="preserve">except DI-VNN which required several modifications. This is already described</w:t>
      </w:r>
      <w:r>
        <w:t xml:space="preserve"> </w:t>
      </w:r>
      <w:r>
        <w:t xml:space="preserve">clearly in the main text. More details will be described for DI-VNN in the next</w:t>
      </w:r>
      <w:r>
        <w:t xml:space="preserve"> </w:t>
      </w:r>
      <w:r>
        <w:t xml:space="preserve">section.</w:t>
      </w:r>
    </w:p>
    <w:p>
      <w:pPr>
        <w:pStyle w:val="Heading2"/>
      </w:pPr>
      <w:bookmarkStart w:id="37" w:name="step-22-and-26-to-27"/>
      <w:r>
        <w:t xml:space="preserve">Step 22 and 26 to 27</w:t>
      </w:r>
      <w:bookmarkEnd w:id="37"/>
    </w:p>
    <w:p>
      <w:pPr>
        <w:pStyle w:val="FirstParagraph"/>
      </w:pPr>
      <w:r>
        <w:t xml:space="preserve">We applied different pipelines for DI-VNN compared to other models. Please</w:t>
      </w:r>
      <w:r>
        <w:t xml:space="preserve"> </w:t>
      </w:r>
      <w:r>
        <w:t xml:space="preserve">kindly find description of this model in the protocol [a protocol citation]. We</w:t>
      </w:r>
      <w:r>
        <w:t xml:space="preserve"> </w:t>
      </w:r>
      <w:r>
        <w:t xml:space="preserve">used the same example with this pipeline.</w:t>
      </w:r>
    </w:p>
    <w:p>
      <w:pPr>
        <w:pStyle w:val="Heading2"/>
      </w:pPr>
      <w:bookmarkStart w:id="38" w:name="step-23-to-25-and-27-to-28"/>
      <w:r>
        <w:t xml:space="preserve">Step 23 to 25, and 27 to 28</w:t>
      </w:r>
      <w:bookmarkEnd w:id="38"/>
    </w:p>
    <w:p>
      <w:pPr>
        <w:pStyle w:val="FirstParagraph"/>
      </w:pPr>
      <w:r>
        <w:t xml:space="preserve">Model evaluation is already clearly described in the main text. We started from</w:t>
      </w:r>
      <w:r>
        <w:t xml:space="preserve"> </w:t>
      </w:r>
      <w:r>
        <w:t xml:space="preserve">evaluating the calibration measures of all models for classification task.</w:t>
      </w:r>
      <w:r>
        <w:t xml:space="preserve"> </w:t>
      </w:r>
      <w:r>
        <w:t xml:space="preserve">Then, we chose the best model for classification by AUROC using only internal</w:t>
      </w:r>
      <w:r>
        <w:t xml:space="preserve"> </w:t>
      </w:r>
      <w:r>
        <w:t xml:space="preserve">validation (calibration split) bootstrapped for 30 times. Using the same</w:t>
      </w:r>
      <w:r>
        <w:t xml:space="preserve"> </w:t>
      </w:r>
      <w:r>
        <w:t xml:space="preserve">subset, the best estimation model was also chosen.</w:t>
      </w:r>
    </w:p>
    <w:p>
      <w:pPr>
        <w:pStyle w:val="BodyText"/>
      </w:pPr>
      <w:r>
        <w:t xml:space="preserve">We also confirmed the robustness of the best models using external validation</w:t>
      </w:r>
      <w:r>
        <w:t xml:space="preserve"> </w:t>
      </w:r>
      <w:r>
        <w:t xml:space="preserve">sets. Uncertainty intervals were also computed by bootstrapping for 30 times.</w:t>
      </w:r>
      <w:r>
        <w:t xml:space="preserve"> </w:t>
      </w:r>
      <w:r>
        <w:t xml:space="preserve">A clear description on model validation is already given in the main text.</w:t>
      </w:r>
    </w:p>
    <w:p>
      <w:pPr>
        <w:pStyle w:val="Heading2"/>
      </w:pPr>
      <w:bookmarkStart w:id="39" w:name="step-29"/>
      <w:r>
        <w:t xml:space="preserve">Step 29</w:t>
      </w:r>
      <w:bookmarkEnd w:id="39"/>
    </w:p>
    <w:p>
      <w:pPr>
        <w:pStyle w:val="FirstParagraph"/>
      </w:pPr>
      <w:r>
        <w:t xml:space="preserve">For web application, we prepared an example dataset, user interface, and</w:t>
      </w:r>
      <w:r>
        <w:t xml:space="preserve"> </w:t>
      </w:r>
      <w:r>
        <w:t xml:space="preserve">processing script at the side of server computer. No line of codes for the web</w:t>
      </w:r>
      <w:r>
        <w:t xml:space="preserve"> </w:t>
      </w:r>
      <w:r>
        <w:t xml:space="preserve">is included in the R Markdown or R Script. Description for this web application</w:t>
      </w:r>
      <w:r>
        <w:t xml:space="preserve"> </w:t>
      </w:r>
      <w:r>
        <w:t xml:space="preserve">is already clearly described in the main text.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hmlp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hmlp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and machine learning pipelines for responsible clinical prediction using high-dimensional data</dc:title>
  <dc:creator/>
  <cp:keywords/>
  <dcterms:created xsi:type="dcterms:W3CDTF">2021-09-01T02:34:08Z</dcterms:created>
  <dcterms:modified xsi:type="dcterms:W3CDTF">2021-09-01T02:34:08Z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