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Supplement:</w:t>
      </w:r>
      <w:r>
        <w:t xml:space="preserve"> </w:t>
      </w:r>
      <w:r>
        <w:t xml:space="preserve">Prognostication</w:t>
      </w:r>
      <w:r>
        <w:t xml:space="preserve"> </w:t>
      </w:r>
      <w:r>
        <w:t xml:space="preserve">for</w:t>
      </w:r>
      <w:r>
        <w:t xml:space="preserve"> </w:t>
      </w:r>
      <w:r>
        <w:t xml:space="preserve">prelabor</w:t>
      </w:r>
      <w:r>
        <w:t xml:space="preserve"> </w:t>
      </w:r>
      <w:r>
        <w:t xml:space="preserve">rupture</w:t>
      </w:r>
      <w:r>
        <w:t xml:space="preserve"> </w:t>
      </w:r>
      <w:r>
        <w:t xml:space="preserve">of</w:t>
      </w:r>
      <w:r>
        <w:t xml:space="preserve"> </w:t>
      </w:r>
      <w:r>
        <w:t xml:space="preserve">membranes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delivery</w:t>
      </w:r>
      <w:r>
        <w:t xml:space="preserve"> </w:t>
      </w:r>
      <w:r>
        <w:t xml:space="preserve">in</w:t>
      </w:r>
      <w:r>
        <w:t xml:space="preserve"> </w:t>
      </w:r>
      <w:r>
        <w:t xml:space="preserve">nationwide</w:t>
      </w:r>
      <w:r>
        <w:t xml:space="preserve"> </w:t>
      </w:r>
      <w:r>
        <w:t xml:space="preserve">insured</w:t>
      </w:r>
      <w:r>
        <w:t xml:space="preserve"> </w:t>
      </w:r>
      <w:r>
        <w:t xml:space="preserve">women:</w:t>
      </w:r>
      <w:r>
        <w:t xml:space="preserve"> </w:t>
      </w:r>
      <w:r>
        <w:t xml:space="preserve">development,</w:t>
      </w:r>
      <w:r>
        <w:t xml:space="preserve"> </w:t>
      </w:r>
      <w:r>
        <w:t xml:space="preserve">validation,</w:t>
      </w:r>
      <w:r>
        <w:t xml:space="preserve"> </w:t>
      </w:r>
      <w:r>
        <w:t xml:space="preserve">and</w:t>
      </w:r>
      <w:r>
        <w:t xml:space="preserve"> </w:t>
      </w:r>
      <w:r>
        <w:t xml:space="preserve">deployment</w:t>
      </w:r>
    </w:p>
    <w:p>
      <w:pPr>
        <w:pStyle w:val="FirstParagraph"/>
      </w:pPr>
      <w:r>
        <w:t xml:space="preserve">Please kindly see List of Figures and List of eTables in Appendix.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Supplement, we describe details on this study following chronological</w:t>
      </w:r>
      <w:r>
        <w:t xml:space="preserve"> </w:t>
      </w:r>
      <w:r>
        <w:t xml:space="preserve">order of our analysis pipeline on association test or predictive modelling for</w:t>
      </w:r>
      <w:r>
        <w:t xml:space="preserve"> </w:t>
      </w:r>
      <w:r>
        <w:t xml:space="preserve">prelabor rupture of membranes (PROM). There are four sections corresponding to</w:t>
      </w:r>
      <w:r>
        <w:t xml:space="preserve"> </w:t>
      </w:r>
      <w:r>
        <w:t xml:space="preserve">the same sections in the main text, which are respectively Introduction,</w:t>
      </w:r>
      <w:r>
        <w:t xml:space="preserve"> </w:t>
      </w:r>
      <w:r>
        <w:t xml:space="preserve">Methods, Results, and Discussion. Along with this PDF document, we also provide</w:t>
      </w:r>
      <w:r>
        <w:t xml:space="preserve"> </w:t>
      </w:r>
      <w:r>
        <w:t xml:space="preserve">R Markdown (.Rmd) containing the same texts with this document but including</w:t>
      </w:r>
      <w:r>
        <w:t xml:space="preserve"> </w:t>
      </w:r>
      <w:r>
        <w:t xml:space="preserve">the programming codes for the data analysis in-between of these texts. An</w:t>
      </w:r>
      <w:r>
        <w:t xml:space="preserve"> </w:t>
      </w:r>
      <w:r>
        <w:t xml:space="preserve">exception is subsection of</w:t>
      </w:r>
      <w:r>
        <w:t xml:space="preserve"> </w:t>
      </w:r>
      <w:r>
        <w:t xml:space="preserve">“</w:t>
      </w:r>
      <w:r>
        <w:t xml:space="preserve">Comparison to previous studies</w:t>
      </w:r>
      <w:r>
        <w:t xml:space="preserve">”</w:t>
      </w:r>
      <w:r>
        <w:t xml:space="preserve">. The codes for core</w:t>
      </w:r>
      <w:r>
        <w:t xml:space="preserve"> </w:t>
      </w:r>
      <w:r>
        <w:t xml:space="preserve">steps in the analysis pipeline are also provided exclusively in</w:t>
      </w:r>
      <w:r>
        <w:t xml:space="preserve"> </w:t>
      </w:r>
      <w:r>
        <w:t xml:space="preserve">an R Script (.R). The codes beyond the core steps were used for analytic</w:t>
      </w:r>
      <w:r>
        <w:t xml:space="preserve"> </w:t>
      </w:r>
      <w:r>
        <w:t xml:space="preserve">decision or creating tables or figures. These are shown to provide details on</w:t>
      </w:r>
      <w:r>
        <w:t xml:space="preserve"> </w:t>
      </w:r>
      <w:r>
        <w:t xml:space="preserve">how data are processed to construct all tables and figures in both the main</w:t>
      </w:r>
      <w:r>
        <w:t xml:space="preserve"> </w:t>
      </w:r>
      <w:r>
        <w:t xml:space="preserve">text and this Supplement, including those in Appendix of this Supplement</w:t>
      </w:r>
      <w:r>
        <w:t xml:space="preserve"> </w:t>
      </w:r>
      <w:r>
        <w:t xml:space="preserve">(eTables 1 to 5, and 13) and those shown only in the R Markdown due to the</w:t>
      </w:r>
      <w:r>
        <w:t xml:space="preserve"> </w:t>
      </w:r>
      <w:r>
        <w:t xml:space="preserve">complexity (eTables 6 to 12 and 14 to 21). A 5-minute video was provided in the</w:t>
      </w:r>
      <w:r>
        <w:t xml:space="preserve"> </w:t>
      </w:r>
      <w:r>
        <w:t xml:space="preserve">protocol […] to briefly explain technical details on deep-insight visible</w:t>
      </w:r>
      <w:r>
        <w:t xml:space="preserve"> </w:t>
      </w:r>
      <w:r>
        <w:t xml:space="preserve">neural network (DI-VNN) pipeline.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research-guidelines"/>
      <w:r>
        <w:t xml:space="preserve">Research guidelines</w:t>
      </w:r>
      <w:bookmarkEnd w:id="22"/>
    </w:p>
    <w:p>
      <w:pPr>
        <w:pStyle w:val="FirstParagraph"/>
      </w:pPr>
      <w:r>
        <w:t xml:space="preserve">To ensure that we conducted rigorous research, we carried out and reported this</w:t>
      </w:r>
      <w:r>
        <w:t xml:space="preserve"> </w:t>
      </w:r>
      <w:r>
        <w:t xml:space="preserve">study by applying three sets of standard guidelines, specifically designed for</w:t>
      </w:r>
      <w:r>
        <w:t xml:space="preserve"> </w:t>
      </w:r>
      <w:r>
        <w:t xml:space="preserve">a multivariable prediction model applying a machine learning algorithm that is</w:t>
      </w:r>
      <w:r>
        <w:t xml:space="preserve"> </w:t>
      </w:r>
      <w:r>
        <w:t xml:space="preserve">suitable for healthcare (Luo W, et al, 2016; Scott I, et al, 2021; Moons KGM,</w:t>
      </w:r>
      <w:r>
        <w:t xml:space="preserve"> </w:t>
      </w:r>
      <w:r>
        <w:t xml:space="preserve">et al, 2019). The checklists for all the guidelines are shown (eTables 1 to 3</w:t>
      </w:r>
      <w:r>
        <w:t xml:space="preserve"> </w:t>
      </w:r>
      <w:r>
        <w:t xml:space="preserve">in Appendix). For a fair comparison to previous models, we also followed</w:t>
      </w:r>
      <w:r>
        <w:t xml:space="preserve"> </w:t>
      </w:r>
      <w:r>
        <w:t xml:space="preserve">methods in the preferred reporting items for systematic reviews and</w:t>
      </w:r>
      <w:r>
        <w:t xml:space="preserve"> </w:t>
      </w:r>
      <w:r>
        <w:t xml:space="preserve">meta-analyses (PRISMA) 2020 expanded checklist (Page MJ, et al, 2021). The</w:t>
      </w:r>
      <w:r>
        <w:t xml:space="preserve"> </w:t>
      </w:r>
      <w:r>
        <w:t xml:space="preserve">checklist and the comparable models are also described (eTables 4 and 5 in</w:t>
      </w:r>
      <w:r>
        <w:t xml:space="preserve"> </w:t>
      </w:r>
      <w:r>
        <w:t xml:space="preserve">Appendix). We also applied four approaches based on previous methods</w:t>
      </w:r>
      <w:r>
        <w:t xml:space="preserve"> </w:t>
      </w:r>
      <w:r>
        <w:t xml:space="preserve">(Ritchie ME, et al, 2015; Maaten LVD, 2014; Ma J, et al 2018; Sharma A, et al,</w:t>
      </w:r>
      <w:r>
        <w:t xml:space="preserve"> </w:t>
      </w:r>
      <w:r>
        <w:t xml:space="preserve">2019; Stalpers LJA, et al, 2018; Goodman LA, 1961; Hernán MA, Robins JM, 2020;</w:t>
      </w:r>
      <w:r>
        <w:t xml:space="preserve"> </w:t>
      </w:r>
      <w:r>
        <w:t xml:space="preserve">Lee J, Spratling R, 2019) to develop the pipeline with several modifications to</w:t>
      </w:r>
      <w:r>
        <w:t xml:space="preserve"> </w:t>
      </w:r>
      <w:r>
        <w:t xml:space="preserve">provide a framework for improving interpretability of a deep learning model</w:t>
      </w:r>
      <w:r>
        <w:t xml:space="preserve"> </w:t>
      </w:r>
      <w:r>
        <w:t xml:space="preserve">[…]. All of the aforementioned procedures were comprehensively described in a</w:t>
      </w:r>
      <w:r>
        <w:t xml:space="preserve"> </w:t>
      </w:r>
      <w:r>
        <w:t xml:space="preserve">human and machine learning pipelines we developed for responsible clinical</w:t>
      </w:r>
      <w:r>
        <w:t xml:space="preserve"> </w:t>
      </w:r>
      <w:r>
        <w:t xml:space="preserve">prediction […].</w:t>
      </w:r>
    </w:p>
    <w:p>
      <w:pPr>
        <w:pStyle w:val="Heading2"/>
      </w:pPr>
      <w:bookmarkStart w:id="23" w:name="programming-environment"/>
      <w:r>
        <w:t xml:space="preserve">Programming environment</w:t>
      </w:r>
      <w:bookmarkEnd w:id="23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198 R packages which are 9 base</w:t>
      </w:r>
      <w:r>
        <w:t xml:space="preserve"> </w:t>
      </w:r>
      <w:r>
        <w:t xml:space="preserve">packages, 53 other packages, and 136 dependencies (eTable 6 in R Markdown).</w:t>
      </w:r>
    </w:p>
    <w:p>
      <w:pPr>
        <w:pStyle w:val="Heading2"/>
      </w:pPr>
      <w:bookmarkStart w:id="24" w:name="sampling-procedures-of-the-data-source"/>
      <w:r>
        <w:t xml:space="preserve">Sampling procedures of the data source</w:t>
      </w:r>
      <w:bookmarkEnd w:id="24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ten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Heading2"/>
      </w:pPr>
      <w:bookmarkStart w:id="25" w:name="X43888bfd079b150ccc0df6015a225cafb1fb285"/>
      <w:r>
        <w:t xml:space="preserve">The sampling procedures of the dataset in this study</w:t>
      </w:r>
      <w:bookmarkEnd w:id="25"/>
    </w:p>
    <w:p>
      <w:pPr>
        <w:pStyle w:val="FirstParagraph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 (eTable 7 in R Markdown).</w:t>
      </w:r>
    </w:p>
    <w:p>
      <w:pPr>
        <w:pStyle w:val="Heading2"/>
      </w:pPr>
      <w:bookmarkStart w:id="26" w:name="data-preprocessing"/>
      <w:r>
        <w:t xml:space="preserve">Data preprocessing</w:t>
      </w:r>
      <w:bookmarkEnd w:id="26"/>
    </w:p>
    <w:p>
      <w:pPr>
        <w:pStyle w:val="FirstParagraph"/>
      </w:pPr>
      <w:r>
        <w:t xml:space="preserve">We conducted data pre-processing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association tests. Then, we applied systematic human learning, as</w:t>
      </w:r>
      <w:r>
        <w:t xml:space="preserve"> </w:t>
      </w:r>
      <w:r>
        <w:t xml:space="preserve">described in the main text, to determine what were latent candidate predictors</w:t>
      </w:r>
      <w:r>
        <w:t xml:space="preserve"> </w:t>
      </w:r>
      <w:r>
        <w:t xml:space="preserve">that can be inferred from our dataset. We also computed a number of days for a</w:t>
      </w:r>
      <w:r>
        <w:t xml:space="preserve"> </w:t>
      </w:r>
      <w:r>
        <w:t xml:space="preserve">code in the latest encounter before the time of prediction, including those by</w:t>
      </w:r>
      <w:r>
        <w:t xml:space="preserve"> </w:t>
      </w:r>
      <w:r>
        <w:t xml:space="preserve">codes as a latent candidate predictor.</w:t>
      </w:r>
    </w:p>
    <w:p>
      <w:pPr>
        <w:pStyle w:val="Heading2"/>
      </w:pPr>
      <w:bookmarkStart w:id="27" w:name="data-partition"/>
      <w:r>
        <w:t xml:space="preserve">Data partition</w:t>
      </w:r>
      <w:bookmarkEnd w:id="27"/>
    </w:p>
    <w:p>
      <w:pPr>
        <w:pStyle w:val="FirstParagraph"/>
      </w:pPr>
      <w:r>
        <w:t xml:space="preserve">To ensure all inference or derivation using training set only, we need to</w:t>
      </w:r>
      <w:r>
        <w:t xml:space="preserve"> </w:t>
      </w:r>
      <w:r>
        <w:t xml:space="preserve">conduct data partition before continuing the downstream analysis. We described</w:t>
      </w:r>
      <w:r>
        <w:t xml:space="preserve"> </w:t>
      </w:r>
      <w:r>
        <w:t xml:space="preserve">data partition for model validation in the main text (see Methods).</w:t>
      </w:r>
    </w:p>
    <w:p>
      <w:pPr>
        <w:pStyle w:val="Heading2"/>
      </w:pPr>
      <w:bookmarkStart w:id="28" w:name="association-tests"/>
      <w:r>
        <w:t xml:space="preserve">Association tests</w:t>
      </w:r>
      <w:bookmarkEnd w:id="28"/>
    </w:p>
    <w:p>
      <w:pPr>
        <w:pStyle w:val="FirstParagraph"/>
      </w:pPr>
      <w:r>
        <w:t xml:space="preserve">We conducted association tests as described in the main text. This will help us</w:t>
      </w:r>
      <w:r>
        <w:t xml:space="preserve"> </w:t>
      </w:r>
      <w:r>
        <w:t xml:space="preserve">to include only the confirmed associated predictors as latent candidate</w:t>
      </w:r>
      <w:r>
        <w:t xml:space="preserve"> </w:t>
      </w:r>
      <w:r>
        <w:t xml:space="preserve">predictors before conducting pre-selection of those candidates to fulfill</w:t>
      </w:r>
      <w:r>
        <w:t xml:space="preserve"> </w:t>
      </w:r>
      <w:r>
        <w:t xml:space="preserve">quality control of predictors in the main text. We included latent candidate</w:t>
      </w:r>
      <w:r>
        <w:t xml:space="preserve"> </w:t>
      </w:r>
      <w:r>
        <w:t xml:space="preserve">predictors of which the data were available in training set. Details on this</w:t>
      </w:r>
      <w:r>
        <w:t xml:space="preserve"> </w:t>
      </w:r>
      <w:r>
        <w:t xml:space="preserve">information and International Classification of Disease version 10 (ICD-10)</w:t>
      </w:r>
      <w:r>
        <w:t xml:space="preserve"> </w:t>
      </w:r>
      <w:r>
        <w:t xml:space="preserve">codes or demographical variables for each candidate of latent candidate</w:t>
      </w:r>
      <w:r>
        <w:t xml:space="preserve"> </w:t>
      </w:r>
      <w:r>
        <w:t xml:space="preserve">predictors are shown in the next section. A protocol of systematic human</w:t>
      </w:r>
      <w:r>
        <w:t xml:space="preserve"> </w:t>
      </w:r>
      <w:r>
        <w:t xml:space="preserve">learning was followed for these association tests […].</w:t>
      </w:r>
    </w:p>
    <w:p>
      <w:pPr>
        <w:pStyle w:val="Heading2"/>
      </w:pPr>
      <w:bookmarkStart w:id="29" w:name="quality-control-of-candidate-predictors"/>
      <w:r>
        <w:t xml:space="preserve">Quality control of candidate predictors</w:t>
      </w:r>
      <w:bookmarkEnd w:id="29"/>
    </w:p>
    <w:p>
      <w:pPr>
        <w:pStyle w:val="FirstParagraph"/>
      </w:pPr>
      <w:r>
        <w:t xml:space="preserve">For determining candidate predictors, we utilized nationwide medical histories,</w:t>
      </w:r>
      <w:r>
        <w:t xml:space="preserve"> </w:t>
      </w:r>
      <w:r>
        <w:t xml:space="preserve">excluding those for validation. But, for the downstream analysis, medical</w:t>
      </w:r>
      <w:r>
        <w:t xml:space="preserve"> </w:t>
      </w:r>
      <w:r>
        <w:t xml:space="preserve">histories were provider-wise by estimation. This means our prediction models</w:t>
      </w:r>
      <w:r>
        <w:t xml:space="preserve"> </w:t>
      </w:r>
      <w:r>
        <w:t xml:space="preserve">only used medical histories recorded by a healthcare provider, which was</w:t>
      </w:r>
      <w:r>
        <w:t xml:space="preserve"> </w:t>
      </w:r>
      <w:r>
        <w:t xml:space="preserve">blinded to those recorded by others. This reflects most real-world situations</w:t>
      </w:r>
      <w:r>
        <w:t xml:space="preserve"> </w:t>
      </w:r>
      <w:r>
        <w:t xml:space="preserve">in which a healthcare provider does not have access to medical records of other</w:t>
      </w:r>
      <w:r>
        <w:t xml:space="preserve"> </w:t>
      </w:r>
      <w:r>
        <w:t xml:space="preserve">providers.</w:t>
      </w:r>
    </w:p>
    <w:p>
      <w:pPr>
        <w:pStyle w:val="BodyText"/>
      </w:pPr>
      <w:r>
        <w:t xml:space="preserve">All candidate predictors, including non-demographical associated factors, have</w:t>
      </w:r>
      <w:r>
        <w:t xml:space="preserve"> </w:t>
      </w:r>
      <w:r>
        <w:t xml:space="preserve">non-zero variances (eTable 8 in R Markdown). There were 460 candidate</w:t>
      </w:r>
      <w:r>
        <w:t xml:space="preserve"> </w:t>
      </w:r>
      <w:r>
        <w:t xml:space="preserve">predictors fulfilling this criterion. We also showed in the same eTable that</w:t>
      </w:r>
      <w:r>
        <w:t xml:space="preserve"> </w:t>
      </w:r>
      <w:r>
        <w:t xml:space="preserve">there are 426 candidate predictors without perfect separation</w:t>
      </w:r>
    </w:p>
    <w:p>
      <w:pPr>
        <w:pStyle w:val="BodyText"/>
      </w:pPr>
      <w:r>
        <w:t xml:space="preserve">To prevent outcome leakage, we removed the maternal or baby diagnosis/procedure</w:t>
      </w:r>
      <w:r>
        <w:t xml:space="preserve"> </w:t>
      </w:r>
      <w:r>
        <w:t xml:space="preserve">codes that demonstrated the delivery or after delivery care (typically up to 6</w:t>
      </w:r>
      <w:r>
        <w:t xml:space="preserve"> </w:t>
      </w:r>
      <w:r>
        <w:t xml:space="preserve">weeks following childbirth; eTable 9 in R Markdown). We only used the existing</w:t>
      </w:r>
      <w:r>
        <w:t xml:space="preserve"> </w:t>
      </w:r>
      <w:r>
        <w:t xml:space="preserve">codes in the training set to determine outcome-leaker codes based on the</w:t>
      </w:r>
      <w:r>
        <w:t xml:space="preserve"> </w:t>
      </w:r>
      <w:r>
        <w:t xml:space="preserve">previous codes for determining delivery or immediately after delivery care</w:t>
      </w:r>
      <w:r>
        <w:t xml:space="preserve"> </w:t>
      </w:r>
      <w:r>
        <w:t xml:space="preserve">(eTable 7 in R Markdown). There were 54 codes that may leak the outcome.</w:t>
      </w:r>
    </w:p>
    <w:p>
      <w:pPr>
        <w:pStyle w:val="BodyText"/>
      </w:pPr>
      <w:r>
        <w:t xml:space="preserve">To avoid redundancy, we computed pair-wise Pearson correlation coefficients</w:t>
      </w:r>
      <w:r>
        <w:t xml:space="preserve"> </w:t>
      </w:r>
      <w:r>
        <w:t xml:space="preserve">(eTable 10 in R Markdown). None of the estimates showed a perfect correlation</w:t>
      </w:r>
      <w:r>
        <w:t xml:space="preserve"> </w:t>
      </w:r>
      <w:r>
        <w:t xml:space="preserve">(</w:t>
      </w:r>
      <w:r>
        <w:rPr>
          <w:i/>
        </w:rPr>
        <w:t xml:space="preserve">r</w:t>
      </w:r>
      <w:r>
        <w:t xml:space="preserve">=1). High correlations (i.e., &gt;~0.70) were reasonably identified between</w:t>
      </w:r>
      <w:r>
        <w:t xml:space="preserve"> </w:t>
      </w:r>
      <w:r>
        <w:t xml:space="preserve">latent candidate predictors and the code components. We did not remove those</w:t>
      </w:r>
      <w:r>
        <w:t xml:space="preserve"> </w:t>
      </w:r>
      <w:r>
        <w:t xml:space="preserve">pairs of predictors.</w:t>
      </w:r>
    </w:p>
    <w:p>
      <w:pPr>
        <w:pStyle w:val="BodyText"/>
      </w:pPr>
      <w:r>
        <w:t xml:space="preserve">By systematic human learning and association tests using available data, we</w:t>
      </w:r>
      <w:r>
        <w:t xml:space="preserve"> </w:t>
      </w:r>
      <w:r>
        <w:t xml:space="preserve">also determined latent candidate predictors (eTable 11 in R Markdown). There</w:t>
      </w:r>
      <w:r>
        <w:t xml:space="preserve"> </w:t>
      </w:r>
      <w:r>
        <w:t xml:space="preserve">were 27 first- and 10 second-level factors that are considerably associated</w:t>
      </w:r>
      <w:r>
        <w:t xml:space="preserve"> </w:t>
      </w:r>
      <w:r>
        <w:t xml:space="preserve">with PROM. Only data for 12 out of 27 factors were available in training set.</w:t>
      </w:r>
      <w:r>
        <w:t xml:space="preserve"> </w:t>
      </w:r>
      <w:r>
        <w:t xml:space="preserve">Either the diagnosis/procedure codes, or demographical variables (not included</w:t>
      </w:r>
      <w:r>
        <w:t xml:space="preserve"> </w:t>
      </w:r>
      <w:r>
        <w:t xml:space="preserve">as candidate predictors), for latent candidate predictors are also described</w:t>
      </w:r>
      <w:r>
        <w:t xml:space="preserve"> </w:t>
      </w:r>
      <w:r>
        <w:t xml:space="preserve">(eTable 12 in R Markdown).</w:t>
      </w:r>
    </w:p>
    <w:p>
      <w:pPr>
        <w:pStyle w:val="Heading2"/>
      </w:pPr>
      <w:bookmarkStart w:id="30" w:name="feature-extraction-as-historical-rates"/>
      <w:r>
        <w:t xml:space="preserve">Feature extraction as historical rates</w:t>
      </w:r>
      <w:bookmarkEnd w:id="30"/>
    </w:p>
    <w:p>
      <w:pPr>
        <w:pStyle w:val="FirstParagraph"/>
      </w:pPr>
      <w:r>
        <w:t xml:space="preserve">To deal with a problem in which a healthcare provider does not have access to</w:t>
      </w:r>
      <w:r>
        <w:t xml:space="preserve"> </w:t>
      </w:r>
      <w:r>
        <w:t xml:space="preserve">medical records of other providers, medical histories were quantified as</w:t>
      </w:r>
      <w:r>
        <w:t xml:space="preserve"> </w:t>
      </w:r>
      <w:r>
        <w:t xml:space="preserve">Kaplan-Meier (KM) estimators for each candidate predictors, so called</w:t>
      </w:r>
      <w:r>
        <w:t xml:space="preserve"> </w:t>
      </w:r>
      <w:r>
        <w:t xml:space="preserve">historical rates. We inferred these rates given the day number from a code</w:t>
      </w:r>
      <w:r>
        <w:t xml:space="preserve"> </w:t>
      </w:r>
      <w:r>
        <w:t xml:space="preserve">encounter to current visit for each candidate predictor, derived only from the</w:t>
      </w:r>
      <w:r>
        <w:t xml:space="preserve"> </w:t>
      </w:r>
      <w:r>
        <w:t xml:space="preserve">same nationwide medical histories, as previously described […]. This used</w:t>
      </w:r>
      <w:r>
        <w:t xml:space="preserve"> </w:t>
      </w:r>
      <w:r>
        <w:t xml:space="preserve">irredundant candidate predictors with non-zero variances and no perfect</w:t>
      </w:r>
      <w:r>
        <w:t xml:space="preserve"> </w:t>
      </w:r>
      <w:r>
        <w:t xml:space="preserve">separation in training set only. The candidate predictors were transformed into</w:t>
      </w:r>
      <w:r>
        <w:t xml:space="preserve"> </w:t>
      </w:r>
      <w:r>
        <w:t xml:space="preserve">the historical rates in all data partitions.</w:t>
      </w:r>
    </w:p>
    <w:p>
      <w:pPr>
        <w:pStyle w:val="Heading2"/>
      </w:pPr>
      <w:bookmarkStart w:id="31" w:name="Xfeefcdcd26f85ca652f086d30f5f71b3c00594e"/>
      <w:r>
        <w:t xml:space="preserve">Feature representation as principal components by 10-fold cross validation</w:t>
      </w:r>
      <w:bookmarkEnd w:id="31"/>
    </w:p>
    <w:p>
      <w:pPr>
        <w:pStyle w:val="FirstParagraph"/>
      </w:pPr>
      <w:r>
        <w:t xml:space="preserve">The historical rates of all candidate predictors were fitted to a principal</w:t>
      </w:r>
      <w:r>
        <w:t xml:space="preserve"> </w:t>
      </w:r>
      <w:r>
        <w:t xml:space="preserve">component (PC) model. Only nationwide medical histories in training set were</w:t>
      </w:r>
      <w:r>
        <w:t xml:space="preserve"> </w:t>
      </w:r>
      <w:r>
        <w:t xml:space="preserve">used for the model fitting. We applied 10-fold cross validation to estimate</w:t>
      </w:r>
      <w:r>
        <w:t xml:space="preserve"> </w:t>
      </w:r>
      <w:r>
        <w:t xml:space="preserve">weights for all candidate predictors in each PC. A protocol for resampled dimensional reduction was followed for feature representation in this study</w:t>
      </w:r>
      <w:r>
        <w:t xml:space="preserve"> </w:t>
      </w:r>
      <w:r>
        <w:t xml:space="preserve">[…].</w:t>
      </w:r>
    </w:p>
    <w:p>
      <w:pPr>
        <w:pStyle w:val="Heading2"/>
      </w:pPr>
      <w:bookmarkStart w:id="32" w:name="Xb54387c708fce8ece14a5037719ad0795f0f881"/>
      <w:r>
        <w:t xml:space="preserve">Set up tuning-training-calibrating configuration and internal validation</w:t>
      </w:r>
      <w:bookmarkEnd w:id="32"/>
    </w:p>
    <w:p>
      <w:pPr>
        <w:pStyle w:val="FirstParagraph"/>
      </w:pPr>
      <w:r>
        <w:t xml:space="preserve">Previous data partition had not held out instances for calibration yet. This</w:t>
      </w:r>
      <w:r>
        <w:t xml:space="preserve"> </w:t>
      </w:r>
      <w:r>
        <w:t xml:space="preserve">took 80% of training set. We also gave different weights for event and</w:t>
      </w:r>
      <w:r>
        <w:t xml:space="preserve"> </w:t>
      </w:r>
      <w:r>
        <w:t xml:space="preserve">non-event by including censored outcome, as described in the main text. For</w:t>
      </w:r>
      <w:r>
        <w:t xml:space="preserve"> </w:t>
      </w:r>
      <w:r>
        <w:t xml:space="preserve">hyperparameter tuning, we applied 5-fold cross validation, instead of 10-fold</w:t>
      </w:r>
      <w:r>
        <w:t xml:space="preserve"> </w:t>
      </w:r>
      <w:r>
        <w:t xml:space="preserve">as applied for PC modeling. Meanwhile, the final training and calibration for</w:t>
      </w:r>
      <w:r>
        <w:t xml:space="preserve"> </w:t>
      </w:r>
      <w:r>
        <w:t xml:space="preserve">each model were conducted by bootstrapping for 30 times. The same resampling</w:t>
      </w:r>
      <w:r>
        <w:t xml:space="preserve"> </w:t>
      </w:r>
      <w:r>
        <w:t xml:space="preserve">methods were applied for both classification and estimation tasks. Parallel</w:t>
      </w:r>
      <w:r>
        <w:t xml:space="preserve"> </w:t>
      </w:r>
      <w:r>
        <w:t xml:space="preserve">computing by multiple central processing units (CPUs) were applied for training</w:t>
      </w:r>
      <w:r>
        <w:t xml:space="preserve"> </w:t>
      </w:r>
      <w:r>
        <w:t xml:space="preserve">all models.</w:t>
      </w:r>
    </w:p>
    <w:p>
      <w:pPr>
        <w:pStyle w:val="Heading2"/>
      </w:pPr>
      <w:bookmarkStart w:id="33" w:name="X57f407cdcce83dd5c09cb27c2afe6d7d990a624"/>
      <w:r>
        <w:t xml:space="preserve">Hyperparameter tuning, final training, and calibrating</w:t>
      </w:r>
      <w:bookmarkEnd w:id="33"/>
    </w:p>
    <w:p>
      <w:pPr>
        <w:pStyle w:val="FirstParagraph"/>
      </w:pPr>
      <w:r>
        <w:t xml:space="preserve">We applied the tuning grids and the training configurations for all models,</w:t>
      </w:r>
      <w:r>
        <w:t xml:space="preserve"> </w:t>
      </w:r>
      <w:r>
        <w:t xml:space="preserve">except DI-VNN which required several modifications. This is already described</w:t>
      </w:r>
      <w:r>
        <w:t xml:space="preserve"> </w:t>
      </w:r>
      <w:r>
        <w:t xml:space="preserve">in a protocol we followed for these procedures, as previously described […].</w:t>
      </w:r>
      <w:r>
        <w:t xml:space="preserve"> </w:t>
      </w:r>
      <w:r>
        <w:t xml:space="preserve">More details for DI-VNN will be described in the next section.</w:t>
      </w:r>
    </w:p>
    <w:p>
      <w:pPr>
        <w:pStyle w:val="Heading2"/>
      </w:pPr>
      <w:bookmarkStart w:id="34" w:name="X83aaa7e90e95d5f55e12496ae79d03c11592b6d"/>
      <w:r>
        <w:t xml:space="preserve">Deep-insight visible neural network (DI-VNN)</w:t>
      </w:r>
      <w:bookmarkEnd w:id="34"/>
    </w:p>
    <w:p>
      <w:pPr>
        <w:pStyle w:val="FirstParagraph"/>
      </w:pPr>
      <w:r>
        <w:t xml:space="preserve">We applied different pre-processing pipelines for feature selection and</w:t>
      </w:r>
      <w:r>
        <w:t xml:space="preserve"> </w:t>
      </w:r>
      <w:r>
        <w:t xml:space="preserve">representation in DI-VNN. Instead of PCs, we used the historical rates of the</w:t>
      </w:r>
      <w:r>
        <w:t xml:space="preserve"> </w:t>
      </w:r>
      <w:r>
        <w:t xml:space="preserve">candidate predictors. A 5-minute video explaining DI-VNN pipeline is available</w:t>
      </w:r>
      <w:r>
        <w:t xml:space="preserve"> </w:t>
      </w:r>
      <w:r>
        <w:t xml:space="preserve">in the protocol […]. Only pre-calibration training set was used for the</w:t>
      </w:r>
      <w:r>
        <w:t xml:space="preserve"> </w:t>
      </w:r>
      <w:r>
        <w:t xml:space="preserve">downstream pipeline. We followed a protocol for this model […]. Briefly, we</w:t>
      </w:r>
      <w:r>
        <w:t xml:space="preserve"> </w:t>
      </w:r>
      <w:r>
        <w:t xml:space="preserve">applied differential analysis for feature selection. Then, 1-bit stochastic</w:t>
      </w:r>
      <w:r>
        <w:t xml:space="preserve"> </w:t>
      </w:r>
      <w:r>
        <w:t xml:space="preserve">gradient descent transformation was applied using the post-normalization,</w:t>
      </w:r>
      <w:r>
        <w:t xml:space="preserve"> </w:t>
      </w:r>
      <w:r>
        <w:t xml:space="preserve">feature-wise average based on nationwide training set to determine if a value</w:t>
      </w:r>
      <w:r>
        <w:t xml:space="preserve"> </w:t>
      </w:r>
      <w:r>
        <w:t xml:space="preserve">is lower, equal to, or higher than the average respectively as -1, 0, and 1.</w:t>
      </w:r>
      <w:r>
        <w:t xml:space="preserve"> </w:t>
      </w:r>
      <w:r>
        <w:t xml:space="preserve">Using a feature-to-feature Pearson correlation matrix, we created a feature map</w:t>
      </w:r>
      <w:r>
        <w:t xml:space="preserve"> </w:t>
      </w:r>
      <w:r>
        <w:rPr>
          <w:i/>
        </w:rPr>
        <w:t xml:space="preserve">t</w:t>
      </w:r>
      <w:r>
        <w:t xml:space="preserve">-stochastic neighbor embedding (</w:t>
      </w:r>
      <w:r>
        <w:rPr>
          <w:i/>
        </w:rPr>
        <w:t xml:space="preserve">t</w:t>
      </w:r>
      <w:r>
        <w:t xml:space="preserve">-SNE) with Barnes-Hut approximation. We</w:t>
      </w:r>
      <w:r>
        <w:t xml:space="preserve"> </w:t>
      </w:r>
      <w:r>
        <w:t xml:space="preserve">also subset this map hierarchically by clique-extracted ontology (CliXO)</w:t>
      </w:r>
      <w:r>
        <w:t xml:space="preserve"> </w:t>
      </w:r>
      <w:r>
        <w:t xml:space="preserve">algorithm based on the same correlation matrix. We constructed convolutional</w:t>
      </w:r>
      <w:r>
        <w:t xml:space="preserve"> </w:t>
      </w:r>
      <w:r>
        <w:t xml:space="preserve">neural network (CNN) model using the hierarchy with input of feature map onto</w:t>
      </w:r>
      <w:r>
        <w:t xml:space="preserve"> </w:t>
      </w:r>
      <w:r>
        <w:t xml:space="preserve">which transformed, candidate predictors were projected. We trained the CNN</w:t>
      </w:r>
      <w:r>
        <w:t xml:space="preserve"> </w:t>
      </w:r>
      <w:r>
        <w:t xml:space="preserve">model to get the learning representation.</w:t>
      </w:r>
    </w:p>
    <w:p>
      <w:pPr>
        <w:pStyle w:val="Heading2"/>
      </w:pPr>
      <w:bookmarkStart w:id="35" w:name="X5f6149f5b00823c2b1c414172af2118c52da985"/>
      <w:r>
        <w:t xml:space="preserve">Evaluating the best model for classification and estimation</w:t>
      </w:r>
      <w:bookmarkEnd w:id="35"/>
    </w:p>
    <w:p>
      <w:pPr>
        <w:pStyle w:val="FirstParagraph"/>
      </w:pPr>
      <w:r>
        <w:t xml:space="preserve">Model evaluation is already clearly described in the main text. Practical costs</w:t>
      </w:r>
      <w:r>
        <w:t xml:space="preserve"> </w:t>
      </w:r>
      <w:r>
        <w:t xml:space="preserve">of prediction errors were considered when evaluating the models. Under-</w:t>
      </w:r>
      <w:r>
        <w:t xml:space="preserve"> </w:t>
      </w:r>
      <w:r>
        <w:t xml:space="preserve">prognosis may cause pregnancy monitoring to be off-guard. A pregnant woman with</w:t>
      </w:r>
      <w:r>
        <w:t xml:space="preserve"> </w:t>
      </w:r>
      <w:r>
        <w:t xml:space="preserve">a preterm delivery may not reside in an area with a readily available NICU,</w:t>
      </w:r>
      <w:r>
        <w:t xml:space="preserve"> </w:t>
      </w:r>
      <w:r>
        <w:t xml:space="preserve">particularly in low-resource settings. Over-prognosis may lead to unnecessary</w:t>
      </w:r>
      <w:r>
        <w:t xml:space="preserve"> </w:t>
      </w:r>
      <w:r>
        <w:t xml:space="preserve">enrollment of patients into a cohort study in an early intervention for</w:t>
      </w:r>
      <w:r>
        <w:t xml:space="preserve"> </w:t>
      </w:r>
      <w:r>
        <w:t xml:space="preserve">preventing PROM or complications, e.g., an antibiotic administration. This may</w:t>
      </w:r>
      <w:r>
        <w:t xml:space="preserve"> </w:t>
      </w:r>
      <w:r>
        <w:t xml:space="preserve">also lead to unnecessary tests for more-specific prognostications.</w:t>
      </w:r>
    </w:p>
    <w:p>
      <w:pPr>
        <w:pStyle w:val="BodyText"/>
      </w:pPr>
      <w:r>
        <w:t xml:space="preserve">In addition, unlike other time-varying outcomes, e.g., cancer, we did not</w:t>
      </w:r>
      <w:r>
        <w:t xml:space="preserve"> </w:t>
      </w:r>
      <w:r>
        <w:t xml:space="preserve">predict a survival rate for the estimation task because the time interval for a</w:t>
      </w:r>
      <w:r>
        <w:t xml:space="preserve"> </w:t>
      </w:r>
      <w:r>
        <w:t xml:space="preserve">pregnancy period is definitely known. It is also more intuitive for clinicians</w:t>
      </w:r>
      <w:r>
        <w:t xml:space="preserve"> </w:t>
      </w:r>
      <w:r>
        <w:t xml:space="preserve">if the given information is the estimated days from the current visit to the</w:t>
      </w:r>
      <w:r>
        <w:t xml:space="preserve"> </w:t>
      </w:r>
      <w:r>
        <w:t xml:space="preserve">day a pregnant woman will deliver a baby, as such normal delivery estimations</w:t>
      </w:r>
      <w:r>
        <w:t xml:space="preserve"> </w:t>
      </w:r>
      <w:r>
        <w:t xml:space="preserve">are based on the last menstrual period and ultrasound examination.</w:t>
      </w:r>
    </w:p>
    <w:p>
      <w:pPr>
        <w:pStyle w:val="BodyText"/>
      </w:pPr>
      <w:r>
        <w:t xml:space="preserve">We started from evaluating the calibration measures of all models for</w:t>
      </w:r>
      <w:r>
        <w:t xml:space="preserve"> </w:t>
      </w:r>
      <w:r>
        <w:t xml:space="preserve">classification task. Then, we chose the best model for classification by AUROC</w:t>
      </w:r>
      <w:r>
        <w:t xml:space="preserve"> </w:t>
      </w:r>
      <w:r>
        <w:t xml:space="preserve">using only internal validation (calibration split) bootstrapped for 30 times.</w:t>
      </w:r>
      <w:r>
        <w:t xml:space="preserve"> </w:t>
      </w:r>
      <w:r>
        <w:t xml:space="preserve">Using the same subset, the best estimation model was also chosen.</w:t>
      </w:r>
    </w:p>
    <w:p>
      <w:pPr>
        <w:pStyle w:val="Heading2"/>
      </w:pPr>
      <w:bookmarkStart w:id="36" w:name="external-validation"/>
      <w:r>
        <w:t xml:space="preserve">External validation</w:t>
      </w:r>
      <w:bookmarkEnd w:id="36"/>
    </w:p>
    <w:p>
      <w:pPr>
        <w:pStyle w:val="FirstParagraph"/>
      </w:pPr>
      <w:r>
        <w:t xml:space="preserve">We also confirmed the robustness of the best models using external validation</w:t>
      </w:r>
      <w:r>
        <w:t xml:space="preserve"> </w:t>
      </w:r>
      <w:r>
        <w:t xml:space="preserve">sets. By stratified random splitting, we provided three non-overlapping splits</w:t>
      </w:r>
      <w:r>
        <w:t xml:space="preserve"> </w:t>
      </w:r>
      <w:r>
        <w:t xml:space="preserve">comprising ~20% for external validation: (1) geographical split; (2) temporal</w:t>
      </w:r>
      <w:r>
        <w:t xml:space="preserve"> </w:t>
      </w:r>
      <w:r>
        <w:t xml:space="preserve">split; and (3) geotemporal split. We set these subsets challenging to predict</w:t>
      </w:r>
      <w:r>
        <w:t xml:space="preserve"> </w:t>
      </w:r>
      <w:r>
        <w:t xml:space="preserve">by our models, in which the geotemporal split was the most difficult. This way</w:t>
      </w:r>
      <w:r>
        <w:t xml:space="preserve"> </w:t>
      </w:r>
      <w:r>
        <w:t xml:space="preserve">we can estimate robustness of our model generalizability. In addition,</w:t>
      </w:r>
      <w:r>
        <w:t xml:space="preserve"> </w:t>
      </w:r>
      <w:r>
        <w:t xml:space="preserve">uncertainty intervals were also computed by bootstrapping for 30 times. But,</w:t>
      </w:r>
      <w:r>
        <w:t xml:space="preserve"> </w:t>
      </w:r>
      <w:r>
        <w:t xml:space="preserve">these do not reflect common situations nationwide; thus, the ~20% of the</w:t>
      </w:r>
      <w:r>
        <w:t xml:space="preserve"> </w:t>
      </w:r>
      <w:r>
        <w:t xml:space="preserve">remaining was held out by simple random splitting for external validation,</w:t>
      </w:r>
      <w:r>
        <w:t xml:space="preserve"> </w:t>
      </w:r>
      <w:r>
        <w:t xml:space="preserve">which is called external random split. For association tests and predictive</w:t>
      </w:r>
      <w:r>
        <w:t xml:space="preserve"> </w:t>
      </w:r>
      <w:r>
        <w:t xml:space="preserve">modeling, including calibration, we only used the remaining ~64% of all the</w:t>
      </w:r>
      <w:r>
        <w:t xml:space="preserve"> </w:t>
      </w:r>
      <w:r>
        <w:t xml:space="preserve">selected visits. A clear description on model validation is given in a protocol</w:t>
      </w:r>
      <w:r>
        <w:t xml:space="preserve"> </w:t>
      </w:r>
      <w:r>
        <w:t xml:space="preserve">we followed for these procedures, as previously described […].</w:t>
      </w:r>
    </w:p>
    <w:p>
      <w:pPr>
        <w:pStyle w:val="Heading2"/>
      </w:pPr>
      <w:bookmarkStart w:id="37" w:name="exploring-the-best-model"/>
      <w:r>
        <w:t xml:space="preserve">Exploring the best model</w:t>
      </w:r>
      <w:bookmarkEnd w:id="37"/>
    </w:p>
    <w:p>
      <w:pPr>
        <w:pStyle w:val="FirstParagraph"/>
      </w:pPr>
      <w:r>
        <w:t xml:space="preserve">Model exploration method is also described in the main text (see Model</w:t>
      </w:r>
      <w:r>
        <w:t xml:space="preserve"> </w:t>
      </w:r>
      <w:r>
        <w:t xml:space="preserve">evaluation in Methods). In this Supplement (see R Markdown and R Script), we</w:t>
      </w:r>
      <w:r>
        <w:t xml:space="preserve"> </w:t>
      </w:r>
      <w:r>
        <w:t xml:space="preserve">directly explored the best model for classification task. None of the remaining</w:t>
      </w:r>
      <w:r>
        <w:t xml:space="preserve"> </w:t>
      </w:r>
      <w:r>
        <w:t xml:space="preserve">models were explored.</w:t>
      </w:r>
    </w:p>
    <w:p>
      <w:pPr>
        <w:pStyle w:val="Heading2"/>
      </w:pPr>
      <w:bookmarkStart w:id="38" w:name="preparing-web-application"/>
      <w:r>
        <w:t xml:space="preserve">Preparing web application</w:t>
      </w:r>
      <w:bookmarkEnd w:id="38"/>
    </w:p>
    <w:p>
      <w:pPr>
        <w:pStyle w:val="FirstParagraph"/>
      </w:pPr>
      <w:r>
        <w:t xml:space="preserve">For web application, we prepared an example dataset, user interface, and</w:t>
      </w:r>
      <w:r>
        <w:t xml:space="preserve"> </w:t>
      </w:r>
      <w:r>
        <w:t xml:space="preserve">processing script at the side of server computer. No line of codes for the web</w:t>
      </w:r>
      <w:r>
        <w:t xml:space="preserve"> </w:t>
      </w:r>
      <w:r>
        <w:t xml:space="preserve">is included in the R Markdown or R Script. Description for this web application</w:t>
      </w:r>
      <w:r>
        <w:t xml:space="preserve"> </w:t>
      </w:r>
      <w:r>
        <w:t xml:space="preserve">is already clearly described in the main text.</w:t>
      </w:r>
    </w:p>
    <w:p>
      <w:pPr>
        <w:pStyle w:val="Heading1"/>
      </w:pPr>
      <w:bookmarkStart w:id="39" w:name="results"/>
      <w:r>
        <w:t xml:space="preserve">Results</w:t>
      </w:r>
      <w:bookmarkEnd w:id="39"/>
    </w:p>
    <w:p>
      <w:pPr>
        <w:pStyle w:val="FirstParagraph"/>
      </w:pPr>
      <w:r>
        <w:t xml:space="preserve">In the R Markdown, we show data for Figure 1 in the main text. Up to the latest</w:t>
      </w:r>
      <w:r>
        <w:t xml:space="preserve"> </w:t>
      </w:r>
      <w:r>
        <w:t xml:space="preserve">date for uncensored outcome and after splitting if &gt;1 pregnancies, the total</w:t>
      </w:r>
      <w:r>
        <w:t xml:space="preserve"> </w:t>
      </w:r>
      <w:r>
        <w:t xml:space="preserve">visit was the sum of totals from all subsets, while the total subject was the</w:t>
      </w:r>
      <w:r>
        <w:t xml:space="preserve"> </w:t>
      </w:r>
      <w:r>
        <w:t xml:space="preserve">sum of totals from all subsets with attention for the overlaps (d to j in</w:t>
      </w:r>
      <w:r>
        <w:t xml:space="preserve"> </w:t>
      </w:r>
      <w:r>
        <w:t xml:space="preserve">footnote of data for Figure 1 in the R Markdown). For association tests, visits</w:t>
      </w:r>
      <w:r>
        <w:t xml:space="preserve"> </w:t>
      </w:r>
      <w:r>
        <w:t xml:space="preserve">and subjects of the censored outcome were those after external random splitting</w:t>
      </w:r>
      <w:r>
        <w:t xml:space="preserve"> </w:t>
      </w:r>
      <w:r>
        <w:t xml:space="preserve">(k and j in footnote of data for Figure 1 in the R Markdown). We also</w:t>
      </w:r>
      <w:r>
        <w:t xml:space="preserve"> </w:t>
      </w:r>
      <w:r>
        <w:t xml:space="preserve">explicitly show PROM prevalence for each subset.</w:t>
      </w:r>
    </w:p>
    <w:p>
      <w:pPr>
        <w:pStyle w:val="Heading2"/>
      </w:pPr>
      <w:bookmarkStart w:id="40" w:name="association-diagram"/>
      <w:r>
        <w:t xml:space="preserve">Association diagram</w:t>
      </w:r>
      <w:bookmarkEnd w:id="40"/>
    </w:p>
    <w:p>
      <w:pPr>
        <w:pStyle w:val="FirstParagraph"/>
      </w:pPr>
      <w:r>
        <w:t xml:space="preserve">For latent candidate predictors whose data were available, we created the</w:t>
      </w:r>
      <w:r>
        <w:t xml:space="preserve"> </w:t>
      </w:r>
      <w:r>
        <w:t xml:space="preserve">association diagrams (eFigures 1 to 12 in Appendix). We excluded all common</w:t>
      </w:r>
      <w:r>
        <w:t xml:space="preserve"> </w:t>
      </w:r>
      <w:r>
        <w:t xml:space="preserve">effects of PROM that we found during the systematic human learning. These are</w:t>
      </w:r>
      <w:r>
        <w:t xml:space="preserve"> </w:t>
      </w:r>
      <w:r>
        <w:t xml:space="preserve">not needed for association tests. Instead, inclusion of these variables will</w:t>
      </w:r>
      <w:r>
        <w:t xml:space="preserve"> </w:t>
      </w:r>
      <w:r>
        <w:t xml:space="preserve">cause collider-stratification bias. In the association diagrams, we apply</w:t>
      </w:r>
      <w:r>
        <w:t xml:space="preserve"> </w:t>
      </w:r>
      <w:r>
        <w:t xml:space="preserve">different colors based on the types of nodes representing several factors: (1)</w:t>
      </w:r>
      <w:r>
        <w:t xml:space="preserve"> </w:t>
      </w:r>
      <w:r>
        <w:t xml:space="preserve">type A is a first-level factor (with variable prefixed by A) that has a role as</w:t>
      </w:r>
      <w:r>
        <w:t xml:space="preserve"> </w:t>
      </w:r>
      <w:r>
        <w:t xml:space="preserve">a confounder; (2) type I is a first-level factor (with variable also prefixed</w:t>
      </w:r>
      <w:r>
        <w:t xml:space="preserve"> </w:t>
      </w:r>
      <w:r>
        <w:t xml:space="preserve">by A) that has a role as a candidate factor of interest; (3) type U is an</w:t>
      </w:r>
      <w:r>
        <w:t xml:space="preserve"> </w:t>
      </w:r>
      <w:r>
        <w:t xml:space="preserve">unmeasured variable that can affect measure variable of type-A/I/Y variable;</w:t>
      </w:r>
      <w:r>
        <w:t xml:space="preserve"> </w:t>
      </w:r>
      <w:r>
        <w:t xml:space="preserve">and (4) type Y is a target or dependent factor which is PROM. Node, of which</w:t>
      </w:r>
      <w:r>
        <w:t xml:space="preserve"> </w:t>
      </w:r>
      <w:r>
        <w:t xml:space="preserve">variable denoted by asterisk, represents a type-A/I/Y variable that can be</w:t>
      </w:r>
      <w:r>
        <w:t xml:space="preserve"> </w:t>
      </w:r>
      <w:r>
        <w:t xml:space="preserve">represented by several diagnosis or procedure codes. In each of the diagrams,</w:t>
      </w:r>
      <w:r>
        <w:t xml:space="preserve"> </w:t>
      </w:r>
      <w:r>
        <w:t xml:space="preserve">we also show adjustment formulas which were used for association tests.</w:t>
      </w:r>
      <w:r>
        <w:t xml:space="preserve"> </w:t>
      </w:r>
      <w:r>
        <w:t xml:space="preserve">Conceivably, all variables of type A/I/Y with asterisk may be included in each</w:t>
      </w:r>
      <w:r>
        <w:t xml:space="preserve"> </w:t>
      </w:r>
      <w:r>
        <w:t xml:space="preserve">formula, but, some of these variables cannot be included because these were not</w:t>
      </w:r>
      <w:r>
        <w:t xml:space="preserve"> </w:t>
      </w:r>
      <w:r>
        <w:t xml:space="preserve">available in our data, particularly in the training set (likely because of low</w:t>
      </w:r>
      <w:r>
        <w:t xml:space="preserve"> </w:t>
      </w:r>
      <w:r>
        <w:t xml:space="preserve">prevalence). All measurement errors that may be affected by Type-U variables in</w:t>
      </w:r>
      <w:r>
        <w:t xml:space="preserve"> </w:t>
      </w:r>
      <w:r>
        <w:t xml:space="preserve">this study were assumed as independent non-differential errors, because all</w:t>
      </w:r>
      <w:r>
        <w:t xml:space="preserve"> </w:t>
      </w:r>
      <w:r>
        <w:t xml:space="preserve">data were measured from electronic medical records. As the main text, results</w:t>
      </w:r>
      <w:r>
        <w:t xml:space="preserve"> </w:t>
      </w:r>
      <w:r>
        <w:t xml:space="preserve">of the association tests were also described (eTable 13 in Appendix), either by</w:t>
      </w:r>
      <w:r>
        <w:t xml:space="preserve"> </w:t>
      </w:r>
      <w:r>
        <w:t xml:space="preserve">outcome regression or inverse probability weighting (IPW).</w:t>
      </w:r>
    </w:p>
    <w:p>
      <w:pPr>
        <w:pStyle w:val="BodyText"/>
      </w:pPr>
      <w:r>
        <w:t xml:space="preserve">We would describe each association diagram. Fifty-six studies were found from</w:t>
      </w:r>
      <w:r>
        <w:t xml:space="preserve"> </w:t>
      </w:r>
      <w:r>
        <w:t xml:space="preserve">PubMed (eTable 11 in R Markdown) […]. Since only some factors are possible to</w:t>
      </w:r>
      <w:r>
        <w:t xml:space="preserve"> </w:t>
      </w:r>
      <w:r>
        <w:t xml:space="preserve">include in the association tests, only some of these studies were explained</w:t>
      </w:r>
      <w:r>
        <w:t xml:space="preserve"> </w:t>
      </w:r>
      <w:r>
        <w:t xml:space="preserve">below. After verifying the assumption using our data, we constructed a final</w:t>
      </w:r>
      <w:r>
        <w:t xml:space="preserve"> </w:t>
      </w:r>
      <w:r>
        <w:t xml:space="preserve">association diagram consisting all the confirmed latent candidate predictors.</w:t>
      </w:r>
    </w:p>
    <w:p>
      <w:pPr>
        <w:pStyle w:val="Heading3"/>
      </w:pPr>
      <w:bookmarkStart w:id="41" w:name="multiple-pregnancy"/>
      <w:r>
        <w:t xml:space="preserve">Multiple pregnancy</w:t>
      </w:r>
      <w:bookmarkEnd w:id="41"/>
    </w:p>
    <w:p>
      <w:pPr>
        <w:pStyle w:val="FirstParagraph"/>
      </w:pPr>
      <w:r>
        <w:t xml:space="preserve">Association model of multiple pregnancy on PROM (ACOG, 2016a) included only</w:t>
      </w:r>
      <w:r>
        <w:t xml:space="preserve"> </w:t>
      </w:r>
      <w:r>
        <w:t xml:space="preserve">maternal age as a confounder (Song J, et al 2019; Thilaganathan B, and</w:t>
      </w:r>
      <w:r>
        <w:t xml:space="preserve"> </w:t>
      </w:r>
      <w:r>
        <w:t xml:space="preserve">Khalil A, 2014; Martin JA, and Osterman MJK, 2019). However, several</w:t>
      </w:r>
      <w:r>
        <w:t xml:space="preserve"> </w:t>
      </w:r>
      <w:r>
        <w:t xml:space="preserve">confounders were not blocked yet: (1) Assisted reproduction (Lei LL, et al</w:t>
      </w:r>
      <w:r>
        <w:t xml:space="preserve"> </w:t>
      </w:r>
      <w:r>
        <w:t xml:space="preserve">2019; Thilaganathan B, and Khalil A, 2014); and (2) Race (Fiscella K, 1996;</w:t>
      </w:r>
      <w:r>
        <w:t xml:space="preserve"> </w:t>
      </w:r>
      <w:r>
        <w:t xml:space="preserve">Martin JA, and Osterman MJK 2019). These are shown in the association diagram</w:t>
      </w:r>
      <w:r>
        <w:t xml:space="preserve"> </w:t>
      </w:r>
      <w:r>
        <w:t xml:space="preserve">(eFigure 1 in Appendix). Assisted reproduction can be represented by</w:t>
      </w:r>
      <w:r>
        <w:t xml:space="preserve"> </w:t>
      </w:r>
      <w:r>
        <w:t xml:space="preserve">diagnosis/procedure codes but unavailable in our training set. For race, it is</w:t>
      </w:r>
      <w:r>
        <w:t xml:space="preserve"> </w:t>
      </w:r>
      <w:r>
        <w:t xml:space="preserve">conceivably not able being represented by those codes.</w:t>
      </w:r>
    </w:p>
    <w:p>
      <w:pPr>
        <w:pStyle w:val="Heading3"/>
      </w:pPr>
      <w:bookmarkStart w:id="42" w:name="chorioamnionitis"/>
      <w:r>
        <w:t xml:space="preserve">Chorioamnionitis</w:t>
      </w:r>
      <w:bookmarkEnd w:id="42"/>
    </w:p>
    <w:p>
      <w:pPr>
        <w:pStyle w:val="FirstParagraph"/>
      </w:pPr>
      <w:r>
        <w:t xml:space="preserve">There were two assumptions regarding relationship between chorioamnionitis and</w:t>
      </w:r>
      <w:r>
        <w:t xml:space="preserve"> </w:t>
      </w:r>
      <w:r>
        <w:t xml:space="preserve">PROM. Chorioamnionitis may affect or be affected by PROM. We applied</w:t>
      </w:r>
      <w:r>
        <w:t xml:space="preserve"> </w:t>
      </w:r>
      <w:r>
        <w:t xml:space="preserve">chorioamnionitis as the former one (eFigure 2 in Appendix), as previously</w:t>
      </w:r>
      <w:r>
        <w:t xml:space="preserve"> </w:t>
      </w:r>
      <w:r>
        <w:t xml:space="preserve">demonstrated (Fukami T, et al 2017). Similar assumptions were also regarded</w:t>
      </w:r>
      <w:r>
        <w:t xml:space="preserve"> </w:t>
      </w:r>
      <w:r>
        <w:t xml:space="preserve">between chorioamnionitis and intra-amniotic infection (IAI), but, we only</w:t>
      </w:r>
      <w:r>
        <w:t xml:space="preserve"> </w:t>
      </w:r>
      <w:r>
        <w:t xml:space="preserve">treated chorioamnionitis as being affected by IAI (Tantengco OAG, et al,</w:t>
      </w:r>
      <w:r>
        <w:t xml:space="preserve"> </w:t>
      </w:r>
      <w:r>
        <w:t xml:space="preserve">2019). Except cigarette smoking (ACOG, 2016a; Kim CJ, et al, 2015), data for</w:t>
      </w:r>
      <w:r>
        <w:t xml:space="preserve"> </w:t>
      </w:r>
      <w:r>
        <w:t xml:space="preserve">all confounders were available in the training set: (1) influenza (Littauer EQ,</w:t>
      </w:r>
      <w:r>
        <w:t xml:space="preserve"> </w:t>
      </w:r>
      <w:r>
        <w:t xml:space="preserve">et al, 2017; Kim CJ, et al, 2015); (2) asthma (Baghlaf H, et al, 2019); and (3)</w:t>
      </w:r>
      <w:r>
        <w:t xml:space="preserve"> </w:t>
      </w:r>
      <w:r>
        <w:t xml:space="preserve">IAI (ACOG, 2016a; Tantengco OAG, et al, 2019).</w:t>
      </w:r>
    </w:p>
    <w:p>
      <w:pPr>
        <w:pStyle w:val="Heading3"/>
      </w:pPr>
      <w:bookmarkStart w:id="43" w:name="intra-amniotic-infection-iai"/>
      <w:r>
        <w:t xml:space="preserve">Intra-amniotic infection (IAI)</w:t>
      </w:r>
      <w:bookmarkEnd w:id="43"/>
    </w:p>
    <w:p>
      <w:pPr>
        <w:pStyle w:val="FirstParagraph"/>
      </w:pPr>
      <w:r>
        <w:t xml:space="preserve">Similar to chorioamnionitis, IAI may affect or be affected by PROM.</w:t>
      </w:r>
      <w:r>
        <w:t xml:space="preserve"> </w:t>
      </w:r>
      <w:r>
        <w:t xml:space="preserve">Consistently, we treated IAI as the former one (ACOG, 2016a) (eFigure 3 in</w:t>
      </w:r>
      <w:r>
        <w:t xml:space="preserve"> </w:t>
      </w:r>
      <w:r>
        <w:t xml:space="preserve">Appendix). We did not have data for these confounders, especially in training</w:t>
      </w:r>
      <w:r>
        <w:t xml:space="preserve"> </w:t>
      </w:r>
      <w:r>
        <w:t xml:space="preserve">set: (1) cervical shortening (ACOG, 2016a; Kiefer DG, et al, 2009); and</w:t>
      </w:r>
      <w:r>
        <w:t xml:space="preserve"> </w:t>
      </w:r>
      <w:r>
        <w:t xml:space="preserve">(2) race (Fiscella K, 1996; Menon R, et al, 2011). Therefore, we used these</w:t>
      </w:r>
      <w:r>
        <w:t xml:space="preserve"> </w:t>
      </w:r>
      <w:r>
        <w:t xml:space="preserve">factors as the confounders: (1) genital tract infection (GTI) (Pandey D, et al,</w:t>
      </w:r>
      <w:r>
        <w:t xml:space="preserve"> </w:t>
      </w:r>
      <w:r>
        <w:t xml:space="preserve">2019; Yan JJ, et al, 2016; Romero R, et al, 2019; Tantengco OAG, et al, 2019);</w:t>
      </w:r>
      <w:r>
        <w:t xml:space="preserve"> </w:t>
      </w:r>
      <w:r>
        <w:t xml:space="preserve">(2) periodontal disease (Figueiredo MGOP, et al, 2019; Stinson LF, et al,</w:t>
      </w:r>
      <w:r>
        <w:t xml:space="preserve"> </w:t>
      </w:r>
      <w:r>
        <w:t xml:space="preserve">2019); (3) pneumonia (Getahun D, et al, 2007; Stinson LF, et al, 2019); and (4)</w:t>
      </w:r>
      <w:r>
        <w:t xml:space="preserve"> </w:t>
      </w:r>
      <w:r>
        <w:t xml:space="preserve">multiple pregnancy (ACOG, 2016a; Lee SM, et al, 2020).</w:t>
      </w:r>
    </w:p>
    <w:p>
      <w:pPr>
        <w:pStyle w:val="Heading3"/>
      </w:pPr>
      <w:bookmarkStart w:id="44" w:name="ante-partum-hemorrhage-aph"/>
      <w:r>
        <w:t xml:space="preserve">Ante-partum hemorrhage (APH)</w:t>
      </w:r>
      <w:bookmarkEnd w:id="44"/>
    </w:p>
    <w:p>
      <w:pPr>
        <w:pStyle w:val="FirstParagraph"/>
      </w:pPr>
      <w:r>
        <w:t xml:space="preserve">Most data for confounders of ante-partum hemorrhage (APH) and PROM (ACOG,</w:t>
      </w:r>
      <w:r>
        <w:t xml:space="preserve"> </w:t>
      </w:r>
      <w:r>
        <w:t xml:space="preserve">2016a) were not available in the training set (eFigure 4 in Appendix). Only two</w:t>
      </w:r>
      <w:r>
        <w:t xml:space="preserve"> </w:t>
      </w:r>
      <w:r>
        <w:t xml:space="preserve">confounders were adjusted: (1) low socioeconomic status (SES) (ACOG, 2016a;</w:t>
      </w:r>
      <w:r>
        <w:t xml:space="preserve"> </w:t>
      </w:r>
      <w:r>
        <w:t xml:space="preserve">Bhandari S, et al, 2014); and (2) maternal age (Song J, et al, 2019; Fan D, et</w:t>
      </w:r>
      <w:r>
        <w:t xml:space="preserve"> </w:t>
      </w:r>
      <w:r>
        <w:t xml:space="preserve">al, 2017). The other confounders were: (1) cigarette smoking (ACOG, 2016a;</w:t>
      </w:r>
      <w:r>
        <w:t xml:space="preserve"> </w:t>
      </w:r>
      <w:r>
        <w:t xml:space="preserve">Bhandari S, et al, 2014); (2) illicit drug use (ACOG, 2016a; Bhandari S, et al,</w:t>
      </w:r>
      <w:r>
        <w:t xml:space="preserve"> </w:t>
      </w:r>
      <w:r>
        <w:t xml:space="preserve">2014); (3) race (Fiscella K, 1996; Shen JJ, et al, 2005); (4) assisted</w:t>
      </w:r>
      <w:r>
        <w:t xml:space="preserve"> </w:t>
      </w:r>
      <w:r>
        <w:t xml:space="preserve">reproduction (Lei LL, et al, 2019; Qin J, et al, 2016); and (5) placenta on</w:t>
      </w:r>
      <w:r>
        <w:t xml:space="preserve"> </w:t>
      </w:r>
      <w:r>
        <w:t xml:space="preserve">anterior wall (Torricelli M, et al, 2015; Fan D, et al, 2017).</w:t>
      </w:r>
    </w:p>
    <w:p>
      <w:pPr>
        <w:pStyle w:val="Heading3"/>
      </w:pPr>
      <w:bookmarkStart w:id="45" w:name="genital-tract-infection-gti"/>
      <w:r>
        <w:t xml:space="preserve">Genital tract infection (GTI)</w:t>
      </w:r>
      <w:bookmarkEnd w:id="45"/>
    </w:p>
    <w:p>
      <w:pPr>
        <w:pStyle w:val="FirstParagraph"/>
      </w:pPr>
      <w:r>
        <w:t xml:space="preserve">Association between GTI and PROM (Pandey D, et al, 2019; Yan JJ, et al, 2016)</w:t>
      </w:r>
      <w:r>
        <w:t xml:space="preserve"> </w:t>
      </w:r>
      <w:r>
        <w:t xml:space="preserve">was only confounded by tuberculosis (Fernández AA, et al, 2017; Sharma JB,</w:t>
      </w:r>
      <w:r>
        <w:t xml:space="preserve"> </w:t>
      </w:r>
      <w:r>
        <w:t xml:space="preserve">et al, 2018). We did not have data for tuberculosis in the training set. Thus,</w:t>
      </w:r>
      <w:r>
        <w:t xml:space="preserve"> </w:t>
      </w:r>
      <w:r>
        <w:t xml:space="preserve">GTI is the only variable in the association model (eFigure 5 in Appendix).</w:t>
      </w:r>
    </w:p>
    <w:p>
      <w:pPr>
        <w:pStyle w:val="Heading3"/>
      </w:pPr>
      <w:bookmarkStart w:id="46" w:name="periodontal-disease"/>
      <w:r>
        <w:t xml:space="preserve">Periodontal disease</w:t>
      </w:r>
      <w:bookmarkEnd w:id="46"/>
    </w:p>
    <w:p>
      <w:pPr>
        <w:pStyle w:val="FirstParagraph"/>
      </w:pPr>
      <w:r>
        <w:t xml:space="preserve">We also found association between periodontal disease and PROM</w:t>
      </w:r>
      <w:r>
        <w:t xml:space="preserve"> </w:t>
      </w:r>
      <w:r>
        <w:t xml:space="preserve">(Figueiredo MGOP, et al, 2019). An association model was constructed by adding</w:t>
      </w:r>
      <w:r>
        <w:t xml:space="preserve"> </w:t>
      </w:r>
      <w:r>
        <w:t xml:space="preserve">these confounders: (1) asthma (Baghlaf H, et al, 2019; Moraschini V, et al,</w:t>
      </w:r>
      <w:r>
        <w:t xml:space="preserve"> </w:t>
      </w:r>
      <w:r>
        <w:t xml:space="preserve">2018); and (2) maternal age (Song J, et al, 2019; Genco RJ, and Borgnakke WS,</w:t>
      </w:r>
      <w:r>
        <w:t xml:space="preserve"> </w:t>
      </w:r>
      <w:r>
        <w:t xml:space="preserve">2013). Because of data availability, we could not include these confounders</w:t>
      </w:r>
      <w:r>
        <w:t xml:space="preserve"> </w:t>
      </w:r>
      <w:r>
        <w:t xml:space="preserve">into the model: (1) stress (Wang W, et al, 2020; Genco RJ, and Borgnakke WS, 2013); (2) low education (Wang W, et al, 2020; Genco RJ, and Borgnakke WS, 2013); and cigarette smoking (ACOG, 2016a; Genco RJ, and Borgnakke WS, 2013)</w:t>
      </w:r>
      <w:r>
        <w:t xml:space="preserve"> </w:t>
      </w:r>
      <w:r>
        <w:t xml:space="preserve">(eFigure 6 in Appendix).</w:t>
      </w:r>
    </w:p>
    <w:p>
      <w:pPr>
        <w:pStyle w:val="Heading3"/>
      </w:pPr>
      <w:bookmarkStart w:id="47" w:name="polyhydramnios"/>
      <w:r>
        <w:t xml:space="preserve">Polyhydramnios</w:t>
      </w:r>
      <w:bookmarkEnd w:id="47"/>
    </w:p>
    <w:p>
      <w:pPr>
        <w:pStyle w:val="FirstParagraph"/>
      </w:pPr>
      <w:r>
        <w:t xml:space="preserve">Polyhydramnios was also an associated factor of PROM (Odibo IN, et al, 2016).</w:t>
      </w:r>
      <w:r>
        <w:t xml:space="preserve"> </w:t>
      </w:r>
      <w:r>
        <w:t xml:space="preserve">The confounders were: (1) assisted reproduction (Thilaganathan B, and Khalil A,</w:t>
      </w:r>
      <w:r>
        <w:t xml:space="preserve"> </w:t>
      </w:r>
      <w:r>
        <w:t xml:space="preserve">2014; Lei LL, et al, 2019); and (2) multiple pregnancy (ACOG, 2016a; Moise KJ,</w:t>
      </w:r>
      <w:r>
        <w:t xml:space="preserve"> </w:t>
      </w:r>
      <w:r>
        <w:t xml:space="preserve">1997). Only multiple pregnancy data were available in our training set; thus,</w:t>
      </w:r>
      <w:r>
        <w:t xml:space="preserve"> </w:t>
      </w:r>
      <w:r>
        <w:t xml:space="preserve">a PROM association model was constructed using polyhydramnios and multiple pregnancy (eFigure 7 in Appendix).</w:t>
      </w:r>
    </w:p>
    <w:p>
      <w:pPr>
        <w:pStyle w:val="Heading3"/>
      </w:pPr>
      <w:bookmarkStart w:id="48" w:name="pneumonia"/>
      <w:r>
        <w:t xml:space="preserve">Pneumonia</w:t>
      </w:r>
      <w:bookmarkEnd w:id="48"/>
    </w:p>
    <w:p>
      <w:pPr>
        <w:pStyle w:val="FirstParagraph"/>
      </w:pPr>
      <w:r>
        <w:t xml:space="preserve">Association model of pneumonia on PROM (Getahun D, et al, 2007) was confounded</w:t>
      </w:r>
      <w:r>
        <w:t xml:space="preserve"> </w:t>
      </w:r>
      <w:r>
        <w:t xml:space="preserve">by two factors. The first confounder was influenza (Littauer EQ, et al, 2017;</w:t>
      </w:r>
      <w:r>
        <w:t xml:space="preserve"> </w:t>
      </w:r>
      <w:r>
        <w:t xml:space="preserve">Goodnight WH, and Soper DE, 2005), while the second one was asthma</w:t>
      </w:r>
      <w:r>
        <w:t xml:space="preserve"> </w:t>
      </w:r>
      <w:r>
        <w:t xml:space="preserve">(Baghlaf H, et al, 2019; Goodnight WH, and Soper DE, 2005). Both were included</w:t>
      </w:r>
      <w:r>
        <w:t xml:space="preserve"> </w:t>
      </w:r>
      <w:r>
        <w:t xml:space="preserve">in the causal model (eFigure 8 in Appendix).</w:t>
      </w:r>
    </w:p>
    <w:p>
      <w:pPr>
        <w:pStyle w:val="Heading3"/>
      </w:pPr>
      <w:bookmarkStart w:id="49" w:name="asthma"/>
      <w:r>
        <w:t xml:space="preserve">Asthma</w:t>
      </w:r>
      <w:bookmarkEnd w:id="49"/>
    </w:p>
    <w:p>
      <w:pPr>
        <w:pStyle w:val="FirstParagraph"/>
      </w:pPr>
      <w:r>
        <w:t xml:space="preserve">As shown in the association model of pneumonia and PROM, asthma was also an</w:t>
      </w:r>
      <w:r>
        <w:t xml:space="preserve"> </w:t>
      </w:r>
      <w:r>
        <w:t xml:space="preserve">associated factor of PROM (Baghlaf H, et al, 2019). Influenza was the only</w:t>
      </w:r>
      <w:r>
        <w:t xml:space="preserve"> </w:t>
      </w:r>
      <w:r>
        <w:t xml:space="preserve">common confounder (Littauer EQ, et al, 2017; Murphy VE, et al, 2017).</w:t>
      </w:r>
      <w:r>
        <w:t xml:space="preserve"> </w:t>
      </w:r>
      <w:r>
        <w:t xml:space="preserve">Therefore, we included this confounder in the association model of asthma on</w:t>
      </w:r>
      <w:r>
        <w:t xml:space="preserve"> </w:t>
      </w:r>
      <w:r>
        <w:t xml:space="preserve">PROM (eFigure 9 in Appendix).</w:t>
      </w:r>
    </w:p>
    <w:p>
      <w:pPr>
        <w:pStyle w:val="Heading3"/>
      </w:pPr>
      <w:bookmarkStart w:id="50" w:name="low-socioeconomic-status-ses"/>
      <w:r>
        <w:t xml:space="preserve">Low socioeconomic status (SES)</w:t>
      </w:r>
      <w:bookmarkEnd w:id="50"/>
    </w:p>
    <w:p>
      <w:pPr>
        <w:pStyle w:val="FirstParagraph"/>
      </w:pPr>
      <w:r>
        <w:t xml:space="preserve">Low SES was also indicated as an associated factor of PROM (ACOG, 2016a). We</w:t>
      </w:r>
      <w:r>
        <w:t xml:space="preserve"> </w:t>
      </w:r>
      <w:r>
        <w:t xml:space="preserve">could not find the confounder. The association model only included low SES. We</w:t>
      </w:r>
      <w:r>
        <w:t xml:space="preserve"> </w:t>
      </w:r>
      <w:r>
        <w:t xml:space="preserve">represented several demographical factors as low SES (eFigure 10 in Appendix).</w:t>
      </w:r>
    </w:p>
    <w:p>
      <w:pPr>
        <w:pStyle w:val="Heading3"/>
      </w:pPr>
      <w:bookmarkStart w:id="51" w:name="maternal-age"/>
      <w:r>
        <w:t xml:space="preserve">Maternal age</w:t>
      </w:r>
      <w:bookmarkEnd w:id="51"/>
    </w:p>
    <w:p>
      <w:pPr>
        <w:pStyle w:val="FirstParagraph"/>
      </w:pPr>
      <w:r>
        <w:t xml:space="preserve">We could find maternal age as a confounder of PROM and multiple pregnancy/APH/</w:t>
      </w:r>
      <w:r>
        <w:t xml:space="preserve"> </w:t>
      </w:r>
      <w:r>
        <w:t xml:space="preserve">periodontal disease. Obviously, there is no confounder of PROM in an associated</w:t>
      </w:r>
      <w:r>
        <w:t xml:space="preserve"> </w:t>
      </w:r>
      <w:r>
        <w:t xml:space="preserve">model with maternal age as the variable of interest (Song J, et al 2019). We</w:t>
      </w:r>
      <w:r>
        <w:t xml:space="preserve"> </w:t>
      </w:r>
      <w:r>
        <w:t xml:space="preserve">included this variable exclusively in the association model (eFigure 11 in</w:t>
      </w:r>
      <w:r>
        <w:t xml:space="preserve"> </w:t>
      </w:r>
      <w:r>
        <w:t xml:space="preserve">Appendix).</w:t>
      </w:r>
    </w:p>
    <w:p>
      <w:pPr>
        <w:pStyle w:val="Heading3"/>
      </w:pPr>
      <w:bookmarkStart w:id="52" w:name="influenza"/>
      <w:r>
        <w:t xml:space="preserve">Influenza</w:t>
      </w:r>
      <w:bookmarkEnd w:id="52"/>
    </w:p>
    <w:p>
      <w:pPr>
        <w:pStyle w:val="FirstParagraph"/>
      </w:pPr>
      <w:r>
        <w:t xml:space="preserve">Similar to maternal age, obviously there is no confounder of PROM in an</w:t>
      </w:r>
      <w:r>
        <w:t xml:space="preserve"> </w:t>
      </w:r>
      <w:r>
        <w:t xml:space="preserve">association model with influenza as the variable of interest</w:t>
      </w:r>
      <w:r>
        <w:t xml:space="preserve"> </w:t>
      </w:r>
      <w:r>
        <w:t xml:space="preserve">(Littauer EQ, et al, 2017). This disease has a specific agent. Therefore, the</w:t>
      </w:r>
      <w:r>
        <w:t xml:space="preserve"> </w:t>
      </w:r>
      <w:r>
        <w:t xml:space="preserve">PROM association model only included this disease (eFigure 12 in Appendix).</w:t>
      </w:r>
    </w:p>
    <w:p>
      <w:pPr>
        <w:pStyle w:val="Heading3"/>
      </w:pPr>
      <w:bookmarkStart w:id="53" w:name="final-association-diagram"/>
      <w:r>
        <w:t xml:space="preserve">Final association diagram</w:t>
      </w:r>
      <w:bookmarkEnd w:id="53"/>
    </w:p>
    <w:p>
      <w:pPr>
        <w:pStyle w:val="FirstParagraph"/>
      </w:pPr>
      <w:r>
        <w:t xml:space="preserve">Chorioamnionitis (odds ratio [OR] 1.351, 95% confidence interval [CI] 1.33 to</w:t>
      </w:r>
      <w:r>
        <w:t xml:space="preserve"> </w:t>
      </w:r>
      <w:r>
        <w:t xml:space="preserve">1.372), intra-amniotic infection (OR 1.118, 95% CI 1.083 to 1.153), and genital</w:t>
      </w:r>
      <w:r>
        <w:t xml:space="preserve"> </w:t>
      </w:r>
      <w:r>
        <w:t xml:space="preserve">tract infection (OR 1.116, 95% CI 1.101 to 1.132) were the top three highest</w:t>
      </w:r>
      <w:r>
        <w:t xml:space="preserve"> </w:t>
      </w:r>
      <w:r>
        <w:t xml:space="preserve">effects estimated by IPW. Polyhydramnios was not verified as being associated</w:t>
      </w:r>
      <w:r>
        <w:t xml:space="preserve"> </w:t>
      </w:r>
      <w:r>
        <w:t xml:space="preserve">with PROM by either IPW (OR 0.998, 95% CI 0.989 to 1.006) or the outcome</w:t>
      </w:r>
      <w:r>
        <w:t xml:space="preserve"> </w:t>
      </w:r>
      <w:r>
        <w:t xml:space="preserve">regression (OR 1.238, 95% CI 0.851 to 1.801) using our data. Outcome regression</w:t>
      </w:r>
      <w:r>
        <w:t xml:space="preserve"> </w:t>
      </w:r>
      <w:r>
        <w:t xml:space="preserve">showed the same ranks for chorioamnionitis and genital tract infection (GTI),</w:t>
      </w:r>
      <w:r>
        <w:t xml:space="preserve"> </w:t>
      </w:r>
      <w:r>
        <w:t xml:space="preserve">while the effect estimate of intra-amniotic infection on PROM was not</w:t>
      </w:r>
      <w:r>
        <w:t xml:space="preserve"> </w:t>
      </w:r>
      <w:r>
        <w:t xml:space="preserve">statistically significant by this method (OR 2.134, 95% CI 1 to 4.555). Three</w:t>
      </w:r>
      <w:r>
        <w:t xml:space="preserve"> </w:t>
      </w:r>
      <w:r>
        <w:t xml:space="preserve">of 11 factors were assigned as associated factors by IPW but not by outcome</w:t>
      </w:r>
      <w:r>
        <w:t xml:space="preserve"> </w:t>
      </w:r>
      <w:r>
        <w:t xml:space="preserve">regression. These included intra-amniotic infection and two variables:</w:t>
      </w:r>
      <w:r>
        <w:t xml:space="preserve"> </w:t>
      </w:r>
      <w:r>
        <w:t xml:space="preserve">(1) pneumonia (OR 0.91, 95% CI 0.538 to 1.539); and (2) influenza (OR 0.957,</w:t>
      </w:r>
      <w:r>
        <w:t xml:space="preserve"> </w:t>
      </w:r>
      <w:r>
        <w:t xml:space="preserve">95% CI 0.863 to 1.061). Effects by outcome regression were mostly larger than</w:t>
      </w:r>
      <w:r>
        <w:t xml:space="preserve"> </w:t>
      </w:r>
      <w:r>
        <w:t xml:space="preserve">those by IPW (eTable 13 in Appendix).</w:t>
      </w:r>
    </w:p>
    <w:p>
      <w:pPr>
        <w:pStyle w:val="BodyText"/>
      </w:pPr>
      <w:r>
        <w:t xml:space="preserve">In the final association diagram (eFigure 13 in Appendix), infection- and</w:t>
      </w:r>
      <w:r>
        <w:t xml:space="preserve"> </w:t>
      </w:r>
      <w:r>
        <w:t xml:space="preserve">immune-related conditions were seen: (1) influenza; (2) asthma; and</w:t>
      </w:r>
      <w:r>
        <w:t xml:space="preserve"> </w:t>
      </w:r>
      <w:r>
        <w:t xml:space="preserve">(3) pneumonia. Maternal factors were also observed: (1) maternal age; (2) low</w:t>
      </w:r>
      <w:r>
        <w:t xml:space="preserve"> </w:t>
      </w:r>
      <w:r>
        <w:t xml:space="preserve">socio-economic status; (3) multiple pregnancy; and (4) ante-partum hemorrhage.</w:t>
      </w:r>
      <w:r>
        <w:t xml:space="preserve"> </w:t>
      </w:r>
      <w:r>
        <w:t xml:space="preserve">Both groups are shown colliding on periodontal disease in the final association</w:t>
      </w:r>
      <w:r>
        <w:t xml:space="preserve"> </w:t>
      </w:r>
      <w:r>
        <w:t xml:space="preserve">diagram (eFigure 13 in Appendix), then collided with genital tract infection on</w:t>
      </w:r>
      <w:r>
        <w:t xml:space="preserve"> </w:t>
      </w:r>
      <w:r>
        <w:t xml:space="preserve">intra-amniotic infection continuing to either chorioamnionitis or PROM.</w:t>
      </w:r>
    </w:p>
    <w:p>
      <w:pPr>
        <w:pStyle w:val="Heading2"/>
      </w:pPr>
      <w:bookmarkStart w:id="54" w:name="Xa78ba1d4f8ea01e45794d42aa41cfc40782dfed"/>
      <w:r>
        <w:t xml:space="preserve">Prognostic prediction of premature rupture of membranes</w:t>
      </w:r>
      <w:bookmarkEnd w:id="54"/>
    </w:p>
    <w:p>
      <w:pPr>
        <w:pStyle w:val="FirstParagraph"/>
      </w:pPr>
      <w:r>
        <w:t xml:space="preserve">Predictive performances for classification task were already clearly described</w:t>
      </w:r>
      <w:r>
        <w:t xml:space="preserve"> </w:t>
      </w:r>
      <w:r>
        <w:t xml:space="preserve">in the main text. In this Supplement, parameter estimates in each model is</w:t>
      </w:r>
      <w:r>
        <w:t xml:space="preserve"> </w:t>
      </w:r>
      <w:r>
        <w:t xml:space="preserve">described. However, these were not always straightforward because of the</w:t>
      </w:r>
      <w:r>
        <w:t xml:space="preserve"> </w:t>
      </w:r>
      <w:r>
        <w:t xml:space="preserve">complexity of several models.</w:t>
      </w:r>
    </w:p>
    <w:p>
      <w:pPr>
        <w:pStyle w:val="BodyText"/>
      </w:pPr>
      <w:r>
        <w:t xml:space="preserve">For ridge regression (RR), the estimates were weights or beta values, as</w:t>
      </w:r>
      <w:r>
        <w:t xml:space="preserve"> </w:t>
      </w:r>
      <w:r>
        <w:t xml:space="preserve">commonly described in a regression model (eTable 14 in R Markdown). For</w:t>
      </w:r>
      <w:r>
        <w:t xml:space="preserve"> </w:t>
      </w:r>
      <w:r>
        <w:t xml:space="preserve">classification task, top three highest weights were assigned for</w:t>
      </w:r>
      <w:r>
        <w:t xml:space="preserve"> </w:t>
      </w:r>
      <w:r>
        <w:t xml:space="preserve">chorioamnionitis, IAI, and GTI. This is similar to the effect ranks in</w:t>
      </w:r>
      <w:r>
        <w:t xml:space="preserve"> </w:t>
      </w:r>
      <w:r>
        <w:t xml:space="preserve">association tests by IPW.</w:t>
      </w:r>
    </w:p>
    <w:p>
      <w:pPr>
        <w:pStyle w:val="BodyText"/>
      </w:pPr>
      <w:r>
        <w:t xml:space="preserve">Three models used principal components (PCs), including PC elastic net</w:t>
      </w:r>
      <w:r>
        <w:t xml:space="preserve"> </w:t>
      </w:r>
      <w:r>
        <w:t xml:space="preserve">regression (PC-ENR). To transform predictors into a PC, each predictor has a</w:t>
      </w:r>
      <w:r>
        <w:t xml:space="preserve"> </w:t>
      </w:r>
      <w:r>
        <w:t xml:space="preserve">weight to multiply with. These weights were also shown (eTable 16 in R</w:t>
      </w:r>
      <w:r>
        <w:t xml:space="preserve"> </w:t>
      </w:r>
      <w:r>
        <w:t xml:space="preserve">Markdown). For the PCs themselves, the parameter estimates in PC-ENR were</w:t>
      </w:r>
      <w:r>
        <w:t xml:space="preserve"> </w:t>
      </w:r>
      <w:r>
        <w:t xml:space="preserve">similar to those in RR. The weights in PC-ENR were also shown (eTable 16 in R</w:t>
      </w:r>
      <w:r>
        <w:t xml:space="preserve"> </w:t>
      </w:r>
      <w:r>
        <w:t xml:space="preserve">Markdown).</w:t>
      </w:r>
    </w:p>
    <w:p>
      <w:pPr>
        <w:pStyle w:val="BodyText"/>
      </w:pPr>
      <w:r>
        <w:t xml:space="preserve">For PC random forest (PC-RF) and PC gradient boosting machine (PC-GBM), the</w:t>
      </w:r>
      <w:r>
        <w:t xml:space="preserve"> </w:t>
      </w:r>
      <w:r>
        <w:t xml:space="preserve">parameter estimates may be represented by variable importance. It is a</w:t>
      </w:r>
      <w:r>
        <w:t xml:space="preserve"> </w:t>
      </w:r>
      <w:r>
        <w:t xml:space="preserve">proportion of learners (trees) that include a predictor. These numbers were</w:t>
      </w:r>
      <w:r>
        <w:t xml:space="preserve"> </w:t>
      </w:r>
      <w:r>
        <w:t xml:space="preserve">also shown (eTables 17 and 18 in R Markdown).</w:t>
      </w:r>
    </w:p>
    <w:p>
      <w:pPr>
        <w:pStyle w:val="BodyText"/>
      </w:pPr>
      <w:r>
        <w:t xml:space="preserve">For DI-VNN, we filtered predictors by differential analysis which consisted of</w:t>
      </w:r>
      <w:r>
        <w:t xml:space="preserve"> </w:t>
      </w:r>
      <w:r>
        <w:t xml:space="preserve">multiple univariable linear regressions. The parameter estimates were expressed</w:t>
      </w:r>
      <w:r>
        <w:t xml:space="preserve"> </w:t>
      </w:r>
      <w:r>
        <w:t xml:space="preserve">as log of fold changes. These were equivalent to log of odds ratios. This</w:t>
      </w:r>
      <w:r>
        <w:t xml:space="preserve"> </w:t>
      </w:r>
      <w:r>
        <w:t xml:space="preserve">number and others, including false discovery rate (FDR), were also shown for</w:t>
      </w:r>
      <w:r>
        <w:t xml:space="preserve"> </w:t>
      </w:r>
      <w:r>
        <w:t xml:space="preserve">the selected predictors by FDR &lt;0.05 (eTable 19 in R Markdown).</w:t>
      </w:r>
    </w:p>
    <w:p>
      <w:pPr>
        <w:pStyle w:val="BodyText"/>
      </w:pPr>
      <w:r>
        <w:t xml:space="preserve">Parameter estimates of the DI-VNN were extremely enormous. To get similar sense</w:t>
      </w:r>
      <w:r>
        <w:t xml:space="preserve"> </w:t>
      </w:r>
      <w:r>
        <w:t xml:space="preserve">with those of the other models, we used an intermediate output at a layer after</w:t>
      </w:r>
      <w:r>
        <w:t xml:space="preserve"> </w:t>
      </w:r>
      <w:r>
        <w:t xml:space="preserve">being fed to Inception v4 for each ontology. This showed a learning</w:t>
      </w:r>
      <w:r>
        <w:t xml:space="preserve"> </w:t>
      </w:r>
      <w:r>
        <w:t xml:space="preserve">representation by DI-VNN on a predictor. How these were computed had been</w:t>
      </w:r>
      <w:r>
        <w:t xml:space="preserve"> </w:t>
      </w:r>
      <w:r>
        <w:t xml:space="preserve">described in a protocol we followed for these procedures […]. The</w:t>
      </w:r>
      <w:r>
        <w:t xml:space="preserve"> </w:t>
      </w:r>
      <w:r>
        <w:t xml:space="preserve">intermediate outputs were shown (eTable 20 in R Markdown). We would point out</w:t>
      </w:r>
      <w:r>
        <w:t xml:space="preserve"> </w:t>
      </w:r>
      <w:r>
        <w:t xml:space="preserve">several meanings of these outputs after the next section. In addition,</w:t>
      </w:r>
      <w:r>
        <w:t xml:space="preserve"> </w:t>
      </w:r>
      <w:r>
        <w:t xml:space="preserve">connections between ontologies under the root are also shown (eTable 21 in</w:t>
      </w:r>
      <w:r>
        <w:t xml:space="preserve"> </w:t>
      </w:r>
      <w:r>
        <w:t xml:space="preserve">R Markdown).</w:t>
      </w:r>
    </w:p>
    <w:p>
      <w:pPr>
        <w:pStyle w:val="BodyText"/>
      </w:pPr>
      <w:r>
        <w:t xml:space="preserve">For comparison of our models with those of previous studies, we applied methods</w:t>
      </w:r>
      <w:r>
        <w:t xml:space="preserve"> </w:t>
      </w:r>
      <w:r>
        <w:t xml:space="preserve">in the preferred reporting items for systematic reviews and meta-analyses</w:t>
      </w:r>
      <w:r>
        <w:t xml:space="preserve"> </w:t>
      </w:r>
      <w:r>
        <w:t xml:space="preserve">(PRISMA) 2020 expanded checklist (eTable 4 in Appendix). From three literature</w:t>
      </w:r>
      <w:r>
        <w:t xml:space="preserve"> </w:t>
      </w:r>
      <w:r>
        <w:t xml:space="preserve">databases and several steps, we found two prediction models as described in the</w:t>
      </w:r>
      <w:r>
        <w:t xml:space="preserve"> </w:t>
      </w:r>
      <w:r>
        <w:t xml:space="preserve">main text (eTable 5 in Appendix). The steps are shown (eFigure 14 in Appendix).</w:t>
      </w:r>
    </w:p>
    <w:p>
      <w:pPr>
        <w:pStyle w:val="Heading2"/>
      </w:pPr>
      <w:bookmarkStart w:id="55" w:name="estimation-of-the-time-of-delivery"/>
      <w:r>
        <w:t xml:space="preserve">Estimation of the time of delivery</w:t>
      </w:r>
      <w:bookmarkEnd w:id="55"/>
    </w:p>
    <w:p>
      <w:pPr>
        <w:pStyle w:val="FirstParagraph"/>
      </w:pPr>
      <w:r>
        <w:t xml:space="preserve">Estimation performances were already clearly described in the main text.</w:t>
      </w:r>
      <w:r>
        <w:t xml:space="preserve"> </w:t>
      </w:r>
      <w:r>
        <w:t xml:space="preserve">Parameter estimates of the estimation models were also shown in the same</w:t>
      </w:r>
      <w:r>
        <w:t xml:space="preserve"> </w:t>
      </w:r>
      <w:r>
        <w:t xml:space="preserve">eTables with those of the classification models (eTable 14 in R Markdown). For</w:t>
      </w:r>
      <w:r>
        <w:br/>
      </w:r>
      <w:r>
        <w:t xml:space="preserve">estimation task, which implicitly related to preterm delivery, the lowest</w:t>
      </w:r>
      <w:r>
        <w:t xml:space="preserve"> </w:t>
      </w:r>
      <w:r>
        <w:t xml:space="preserve">(negative) weights in the RR were also assigned to chorioamnionitis, IAI, and</w:t>
      </w:r>
      <w:r>
        <w:br/>
      </w:r>
      <w:r>
        <w:t xml:space="preserve">GTI, but, the second lowest rank was shifted up by multiple pregnancy. Lower-</w:t>
      </w:r>
      <w:r>
        <w:t xml:space="preserve"> </w:t>
      </w:r>
      <w:r>
        <w:t xml:space="preserve">rank weight means earlier time of delivery, which is, likely having more chance</w:t>
      </w:r>
      <w:r>
        <w:t xml:space="preserve"> </w:t>
      </w:r>
      <w:r>
        <w:t xml:space="preserve">to be a preterm delivery. It turns out our decision to choose IAI and</w:t>
      </w:r>
      <w:r>
        <w:t xml:space="preserve"> </w:t>
      </w:r>
      <w:r>
        <w:t xml:space="preserve">chorioamnionitis as the associated factors, instead of those being affected of</w:t>
      </w:r>
      <w:r>
        <w:br/>
      </w:r>
      <w:r>
        <w:t xml:space="preserve">PROM, is consistent with these findings.</w:t>
      </w:r>
    </w:p>
    <w:p>
      <w:pPr>
        <w:pStyle w:val="BodyText"/>
      </w:pPr>
      <w:r>
        <w:t xml:space="preserve">Although the RR mostly had achieved highest proportion of criteria fulfilled</w:t>
      </w:r>
      <w:r>
        <w:t xml:space="preserve"> </w:t>
      </w:r>
      <w:r>
        <w:t xml:space="preserve">among the models by external validation sets, we noticed this only applies for</w:t>
      </w:r>
      <w:r>
        <w:br/>
      </w:r>
      <w:r>
        <w:t xml:space="preserve">the predicted non-events based on visual assessment. The associated factors may</w:t>
      </w:r>
      <w:r>
        <w:t xml:space="preserve"> </w:t>
      </w:r>
      <w:r>
        <w:t xml:space="preserve">be well-generalized to estimate the time of delivery under non-events predicted</w:t>
      </w:r>
      <w:r>
        <w:t xml:space="preserve"> </w:t>
      </w:r>
      <w:r>
        <w:t xml:space="preserve">(modeled) by DI-VNN. Nevertheless, we selected PC-RF as the best model for</w:t>
      </w:r>
      <w:r>
        <w:t xml:space="preserve"> </w:t>
      </w:r>
      <w:r>
        <w:t xml:space="preserve">estimation task of the time of delivery.</w:t>
      </w:r>
    </w:p>
    <w:p>
      <w:pPr>
        <w:pStyle w:val="BodyText"/>
      </w:pPr>
      <w:r>
        <w:t xml:space="preserve">Challenge on estimation task is reasonable considering different distributions</w:t>
      </w:r>
      <w:r>
        <w:t xml:space="preserve"> </w:t>
      </w:r>
      <w:r>
        <w:t xml:space="preserve">among internal and external validation sets. In internal validation set, of</w:t>
      </w:r>
      <w:r>
        <w:t xml:space="preserve"> </w:t>
      </w:r>
      <w:r>
        <w:t xml:space="preserve">which we only utilized the calibration set for model evaluation, predicted</w:t>
      </w:r>
      <w:r>
        <w:t xml:space="preserve"> </w:t>
      </w:r>
      <w:r>
        <w:t xml:space="preserve">events by DI-VNN happened 15 weeks (95% CI 11 to 18;</w:t>
      </w:r>
      <w:r>
        <w:t xml:space="preserve"> </w:t>
      </w:r>
      <w:r>
        <w:rPr>
          <w:i/>
        </w:rPr>
        <w:t xml:space="preserve">n</w:t>
      </w:r>
      <w:r>
        <w:t xml:space="preserve">=760) on average from</w:t>
      </w:r>
      <w:r>
        <w:t xml:space="preserve"> </w:t>
      </w:r>
      <w:r>
        <w:t xml:space="preserve">the time of prediction. This was similar to those in external random (18,</w:t>
      </w:r>
      <w:r>
        <w:t xml:space="preserve"> </w:t>
      </w:r>
      <w:r>
        <w:t xml:space="preserve">95% CI 14 to 21;</w:t>
      </w:r>
      <w:r>
        <w:t xml:space="preserve"> </w:t>
      </w:r>
      <w:r>
        <w:rPr>
          <w:i/>
        </w:rPr>
        <w:t xml:space="preserve">n</w:t>
      </w:r>
      <w:r>
        <w:t xml:space="preserve">=973) and temporal splits (15, 95% CI 12 to 19;</w:t>
      </w:r>
      <w:r>
        <w:t xml:space="preserve"> </w:t>
      </w:r>
      <w:r>
        <w:rPr>
          <w:i/>
        </w:rPr>
        <w:t xml:space="preserve">n</w:t>
      </w:r>
      <w:r>
        <w:t xml:space="preserve">=687),</w:t>
      </w:r>
      <w:r>
        <w:t xml:space="preserve"> </w:t>
      </w:r>
      <w:r>
        <w:t xml:space="preserve">but later than those in external geographical (9, 95% CI 6 to 13;</w:t>
      </w:r>
      <w:r>
        <w:t xml:space="preserve"> </w:t>
      </w:r>
      <w:r>
        <w:rPr>
          <w:i/>
        </w:rPr>
        <w:t xml:space="preserve">n</w:t>
      </w:r>
      <w:r>
        <w:t xml:space="preserve">=500) and</w:t>
      </w:r>
      <w:r>
        <w:t xml:space="preserve"> </w:t>
      </w:r>
      <w:r>
        <w:t xml:space="preserve">geotemporal splits (3, 95% CI 1 to 5;</w:t>
      </w:r>
      <w:r>
        <w:t xml:space="preserve"> </w:t>
      </w:r>
      <w:r>
        <w:rPr>
          <w:i/>
        </w:rPr>
        <w:t xml:space="preserve">n</w:t>
      </w:r>
      <w:r>
        <w:t xml:space="preserve">=157). Meanwhile, the pregnancies</w:t>
      </w:r>
      <w:r>
        <w:t xml:space="preserve"> </w:t>
      </w:r>
      <w:r>
        <w:t xml:space="preserve">predicted as nonevents by DI-VNN ended at 40 weeks (95% CI 39 to 41;</w:t>
      </w:r>
      <w:r>
        <w:t xml:space="preserve"> </w:t>
      </w:r>
      <w:r>
        <w:rPr>
          <w:i/>
        </w:rPr>
        <w:t xml:space="preserve">n</w:t>
      </w:r>
      <w:r>
        <w:t xml:space="preserve">=20,746) on average from time of prediction. This was earlier than those in</w:t>
      </w:r>
      <w:r>
        <w:t xml:space="preserve"> </w:t>
      </w:r>
      <w:r>
        <w:t xml:space="preserve">external random (42, 95% CI 40 to 43;</w:t>
      </w:r>
      <w:r>
        <w:t xml:space="preserve"> </w:t>
      </w:r>
      <w:r>
        <w:rPr>
          <w:i/>
        </w:rPr>
        <w:t xml:space="preserve">n</w:t>
      </w:r>
      <w:r>
        <w:t xml:space="preserve">=25,959), temporal (52,</w:t>
      </w:r>
      <w:r>
        <w:t xml:space="preserve"> </w:t>
      </w:r>
      <w:r>
        <w:t xml:space="preserve">95% CI 50 to 53;</w:t>
      </w:r>
      <w:r>
        <w:t xml:space="preserve"> </w:t>
      </w:r>
      <w:r>
        <w:rPr>
          <w:i/>
        </w:rPr>
        <w:t xml:space="preserve">n</w:t>
      </w:r>
      <w:r>
        <w:t xml:space="preserve">=17,533), and geotemporal splits (60, 95% CI 54 to 65;</w:t>
      </w:r>
      <w:r>
        <w:t xml:space="preserve"> </w:t>
      </w:r>
      <w:r>
        <w:rPr>
          <w:i/>
        </w:rPr>
        <w:t xml:space="preserve">n</w:t>
      </w:r>
      <w:r>
        <w:t xml:space="preserve">=2,067), but later than that in external geographical split (37,</w:t>
      </w:r>
      <w:r>
        <w:t xml:space="preserve"> </w:t>
      </w:r>
      <w:r>
        <w:t xml:space="preserve">95% CI 35 to 38;</w:t>
      </w:r>
      <w:r>
        <w:t xml:space="preserve"> </w:t>
      </w:r>
      <w:r>
        <w:rPr>
          <w:i/>
        </w:rPr>
        <w:t xml:space="preserve">n</w:t>
      </w:r>
      <w:r>
        <w:t xml:space="preserve">=15,318).</w:t>
      </w:r>
    </w:p>
    <w:p>
      <w:pPr>
        <w:pStyle w:val="Heading2"/>
      </w:pPr>
      <w:bookmarkStart w:id="56" w:name="X24b4d5b445403f7e0540718c4ad02fb74a51e74"/>
      <w:r>
        <w:t xml:space="preserve">Exploring deep-insight visible neural network</w:t>
      </w:r>
      <w:bookmarkEnd w:id="56"/>
    </w:p>
    <w:p>
      <w:pPr>
        <w:pStyle w:val="FirstParagraph"/>
      </w:pPr>
      <w:r>
        <w:t xml:space="preserve">Population-level data exploration is described in this Supplement. For</w:t>
      </w:r>
      <w:r>
        <w:t xml:space="preserve"> </w:t>
      </w:r>
      <w:r>
        <w:t xml:space="preserve">interactive figure and table of DI-VNN, we provide these in our web application</w:t>
      </w:r>
      <w:r>
        <w:t xml:space="preserve"> </w:t>
      </w:r>
      <w:r>
        <w:t xml:space="preserve">(</w:t>
      </w:r>
      <w:hyperlink r:id="rId57">
        <w:r>
          <w:rPr>
            <w:rStyle w:val="Hyperlink"/>
          </w:rPr>
          <w:t xml:space="preserve">https://predme.app/promtime</w:t>
        </w:r>
      </w:hyperlink>
      <w:r>
        <w:t xml:space="preserve">). Technical details for exploring DI-VNN were</w:t>
      </w:r>
      <w:r>
        <w:t xml:space="preserve"> </w:t>
      </w:r>
      <w:r>
        <w:t xml:space="preserve">already described in a protocol we followed for these procedures […].</w:t>
      </w:r>
    </w:p>
    <w:p>
      <w:pPr>
        <w:pStyle w:val="BodyText"/>
      </w:pPr>
      <w:r>
        <w:t xml:space="preserve">The network architecture of the DI-VNN is data-driven (eFigure 15b in</w:t>
      </w:r>
      <w:r>
        <w:t xml:space="preserve"> </w:t>
      </w:r>
      <w:r>
        <w:t xml:space="preserve">Appendix). Using the clique-extracted ontology (CliXO) (Kramer M, et al, 2014)</w:t>
      </w:r>
      <w:r>
        <w:t xml:space="preserve"> </w:t>
      </w:r>
      <w:r>
        <w:t xml:space="preserve">algorithm, we constructed an architecture for the convolutional neural network</w:t>
      </w:r>
      <w:r>
        <w:t xml:space="preserve"> </w:t>
      </w:r>
      <w:r>
        <w:t xml:space="preserve">(CNN) using only a training set (see Methods). We can consider this algorithm</w:t>
      </w:r>
      <w:r>
        <w:t xml:space="preserve"> </w:t>
      </w:r>
      <w:r>
        <w:t xml:space="preserve">as an agglomerative hierarchical clustering algorithm, but there could be more</w:t>
      </w:r>
      <w:r>
        <w:t xml:space="preserve"> </w:t>
      </w:r>
      <w:r>
        <w:t xml:space="preserve">than one parent-child connection. A child ontology array has a similar value</w:t>
      </w:r>
      <w:r>
        <w:t xml:space="preserve"> </w:t>
      </w:r>
      <w:r>
        <w:t xml:space="preserve">distribution with the parent one is because a neural network applies a</w:t>
      </w:r>
      <w:r>
        <w:t xml:space="preserve"> </w:t>
      </w:r>
      <w:r>
        <w:t xml:space="preserve">backpropagation algorithm that updates the model parameters consecutively from</w:t>
      </w:r>
      <w:r>
        <w:t xml:space="preserve"> </w:t>
      </w:r>
      <w:r>
        <w:t xml:space="preserve">the surface to the deeper layer following the path, which is the ontology</w:t>
      </w:r>
      <w:r>
        <w:t xml:space="preserve"> </w:t>
      </w:r>
      <w:r>
        <w:t xml:space="preserve">network of DI-VNN. But, unlike other neural network models, DI-VNN isolates the</w:t>
      </w:r>
      <w:r>
        <w:t xml:space="preserve"> </w:t>
      </w:r>
      <w:r>
        <w:t xml:space="preserve">backpropagation effect; therefore, we can trace the array values to interpret</w:t>
      </w:r>
      <w:r>
        <w:t xml:space="preserve"> </w:t>
      </w:r>
      <w:r>
        <w:t xml:space="preserve">the possible meaning.</w:t>
      </w:r>
    </w:p>
    <w:p>
      <w:pPr>
        <w:pStyle w:val="BodyText"/>
      </w:pPr>
      <w:r>
        <w:t xml:space="preserve">We explored each node of the DI-VNN at the population level. The</w:t>
      </w:r>
      <w:r>
        <w:t xml:space="preserve"> </w:t>
      </w:r>
      <w:r>
        <w:t xml:space="preserve">diagnosis/procedure codes constructing the feature members were ICD-10 codes.</w:t>
      </w:r>
      <w:r>
        <w:t xml:space="preserve"> </w:t>
      </w:r>
      <w:r>
        <w:t xml:space="preserve">We began from the most visually distinguished array (eFigure 15b in Appendix)</w:t>
      </w:r>
      <w:r>
        <w:t xml:space="preserve"> </w:t>
      </w:r>
      <w:r>
        <w:t xml:space="preserve">which was ONT:171. These were N760 (acute vaginitis) and B379 (unspecified</w:t>
      </w:r>
      <w:r>
        <w:t xml:space="preserve"> </w:t>
      </w:r>
      <w:r>
        <w:t xml:space="preserve">candidiasis). A positive output does not necessarily refer to an event.</w:t>
      </w:r>
      <w:r>
        <w:t xml:space="preserve"> </w:t>
      </w:r>
      <w:r>
        <w:t xml:space="preserve">Nevertheless, positive and negative (color-coded) outputs tend to contribute to</w:t>
      </w:r>
      <w:r>
        <w:t xml:space="preserve"> </w:t>
      </w:r>
      <w:r>
        <w:t xml:space="preserve">opposite outcomes, which are interpreted based on external contextual</w:t>
      </w:r>
      <w:r>
        <w:t xml:space="preserve"> </w:t>
      </w:r>
      <w:r>
        <w:t xml:space="preserve">knowledge. Another distinguished array, ONT:144, was connected to the same node</w:t>
      </w:r>
      <w:r>
        <w:t xml:space="preserve"> </w:t>
      </w:r>
      <w:r>
        <w:t xml:space="preserve">as that of the previous array. The feature member (9059, other microscopic</w:t>
      </w:r>
      <w:r>
        <w:t xml:space="preserve"> </w:t>
      </w:r>
      <w:r>
        <w:t xml:space="preserve">examination of blood) tended to contribute to the same outcome as that of</w:t>
      </w:r>
      <w:r>
        <w:t xml:space="preserve"> </w:t>
      </w:r>
      <w:r>
        <w:t xml:space="preserve">“</w:t>
      </w:r>
      <w:r>
        <w:t xml:space="preserve">unspecified candidiasis</w:t>
      </w:r>
      <w:r>
        <w:t xml:space="preserve">”</w:t>
      </w:r>
      <w:r>
        <w:t xml:space="preserve">. Unlike</w:t>
      </w:r>
      <w:r>
        <w:t xml:space="preserve"> </w:t>
      </w:r>
      <w:r>
        <w:t xml:space="preserve">“</w:t>
      </w:r>
      <w:r>
        <w:t xml:space="preserve">acute vaginitis</w:t>
      </w:r>
      <w:r>
        <w:t xml:space="preserve">”</w:t>
      </w:r>
      <w:r>
        <w:t xml:space="preserve">, which is a local</w:t>
      </w:r>
      <w:r>
        <w:t xml:space="preserve"> </w:t>
      </w:r>
      <w:r>
        <w:t xml:space="preserve">infection, both B379 and 9059 may be related to systemic infections. To this</w:t>
      </w:r>
      <w:r>
        <w:t xml:space="preserve"> </w:t>
      </w:r>
      <w:r>
        <w:t xml:space="preserve">point, we gained insights into describing coincidences between systemic vs. </w:t>
      </w:r>
      <w:r>
        <w:t xml:space="preserve"> </w:t>
      </w:r>
      <w:r>
        <w:t xml:space="preserve">local infection and PROM. Another array, ONT:154, was also visually</w:t>
      </w:r>
      <w:r>
        <w:t xml:space="preserve"> </w:t>
      </w:r>
      <w:r>
        <w:t xml:space="preserve">distinguished. Although the value of the feature member causal_A03</w:t>
      </w:r>
      <w:r>
        <w:t xml:space="preserve"> </w:t>
      </w:r>
      <w:r>
        <w:t xml:space="preserve">(chorioamnionitis) was zero, it was next to higher values that supported the</w:t>
      </w:r>
      <w:r>
        <w:t xml:space="preserve"> </w:t>
      </w:r>
      <w:r>
        <w:t xml:space="preserve">same outcome as that of</w:t>
      </w:r>
      <w:r>
        <w:t xml:space="preserve"> </w:t>
      </w:r>
      <w:r>
        <w:t xml:space="preserve">“</w:t>
      </w:r>
      <w:r>
        <w:t xml:space="preserve">acute vaginitis</w:t>
      </w:r>
      <w:r>
        <w:t xml:space="preserve">”</w:t>
      </w:r>
      <w:r>
        <w:t xml:space="preserve">. We traced the node on the upper</w:t>
      </w:r>
      <w:r>
        <w:t xml:space="preserve"> </w:t>
      </w:r>
      <w:r>
        <w:t xml:space="preserve">layer to ONT:171. This array had a similar value distribution on the same</w:t>
      </w:r>
      <w:r>
        <w:t xml:space="preserve"> </w:t>
      </w:r>
      <w:r>
        <w:t xml:space="preserve">channel (</w:t>
      </w:r>
      <w:r>
        <w:rPr>
          <w:i/>
        </w:rPr>
        <w:t xml:space="preserve">z</w:t>
      </w:r>
      <w:r>
        <w:t xml:space="preserve">=2) to that of ONT:154.</w:t>
      </w:r>
    </w:p>
    <w:p>
      <w:pPr>
        <w:pStyle w:val="BodyText"/>
      </w:pPr>
      <w:r>
        <w:t xml:space="preserve">The feature position within any ontology array was determined using</w:t>
      </w:r>
      <w:r>
        <w:t xml:space="preserve"> </w:t>
      </w:r>
      <w:r>
        <w:rPr>
          <w:i/>
        </w:rPr>
        <w:t xml:space="preserve">t</w:t>
      </w:r>
      <w:r>
        <w:t xml:space="preserve">-SNE</w:t>
      </w:r>
      <w:r>
        <w:t xml:space="preserve"> </w:t>
      </w:r>
      <w:r>
        <w:t xml:space="preserve">with the Barnes-Hut approximation (see Methods) (Maaten LVD, 2014). It mapped</w:t>
      </w:r>
      <w:r>
        <w:t xml:space="preserve"> </w:t>
      </w:r>
      <w:r>
        <w:t xml:space="preserve">features on high dimensional to lower dimensional space, as multiple</w:t>
      </w:r>
      <w:r>
        <w:t xml:space="preserve"> </w:t>
      </w:r>
      <w:r>
        <w:t xml:space="preserve">localities. This algorithm spreads small clusters instead of making a large</w:t>
      </w:r>
      <w:r>
        <w:t xml:space="preserve"> </w:t>
      </w:r>
      <w:r>
        <w:t xml:space="preserve">bubble of clusters; thus, we expected our CNN algorithm can be better</w:t>
      </w:r>
      <w:r>
        <w:t xml:space="preserve"> </w:t>
      </w:r>
      <w:r>
        <w:t xml:space="preserve">extracting predictive features from these localities. If a feature nearer to</w:t>
      </w:r>
      <w:r>
        <w:t xml:space="preserve"> </w:t>
      </w:r>
      <w:r>
        <w:t xml:space="preserve">one than another, this means there is a closer relationship between both</w:t>
      </w:r>
      <w:r>
        <w:t xml:space="preserve"> </w:t>
      </w:r>
      <w:r>
        <w:t xml:space="preserve">features. The localities clustered by</w:t>
      </w:r>
      <w:r>
        <w:t xml:space="preserve"> </w:t>
      </w:r>
      <w:r>
        <w:rPr>
          <w:i/>
        </w:rPr>
        <w:t xml:space="preserve">t</w:t>
      </w:r>
      <w:r>
        <w:t xml:space="preserve">-SNE are grouped together at the root</w:t>
      </w:r>
      <w:r>
        <w:t xml:space="preserve"> </w:t>
      </w:r>
      <w:r>
        <w:t xml:space="preserve">node on the most superficial layer (eFigure 15b in Appendix). Deeper layers</w:t>
      </w:r>
      <w:r>
        <w:t xml:space="preserve"> </w:t>
      </w:r>
      <w:r>
        <w:t xml:space="preserve">have different subsets of features separated by the ontology grouping. By</w:t>
      </w:r>
      <w:r>
        <w:t xml:space="preserve"> </w:t>
      </w:r>
      <w:r>
        <w:t xml:space="preserve">understanding how this algorithm works, we assumed causal_A03 (ONT:154), i.e.,</w:t>
      </w:r>
      <w:r>
        <w:t xml:space="preserve"> </w:t>
      </w:r>
      <w:r>
        <w:t xml:space="preserve">“</w:t>
      </w:r>
      <w:r>
        <w:t xml:space="preserve">chorioamnionitis</w:t>
      </w:r>
      <w:r>
        <w:t xml:space="preserve">”</w:t>
      </w:r>
      <w:r>
        <w:t xml:space="preserve">, was closer to</w:t>
      </w:r>
      <w:r>
        <w:t xml:space="preserve"> </w:t>
      </w:r>
      <w:r>
        <w:t xml:space="preserve">“</w:t>
      </w:r>
      <w:r>
        <w:t xml:space="preserve">acute vaginitis</w:t>
      </w:r>
      <w:r>
        <w:t xml:space="preserve">”</w:t>
      </w:r>
      <w:r>
        <w:t xml:space="preserve"> </w:t>
      </w:r>
      <w:r>
        <w:t xml:space="preserve">than was</w:t>
      </w:r>
      <w:r>
        <w:t xml:space="preserve"> </w:t>
      </w:r>
      <w:r>
        <w:t xml:space="preserve">“</w:t>
      </w:r>
      <w:r>
        <w:t xml:space="preserve">unspecified</w:t>
      </w:r>
      <w:r>
        <w:t xml:space="preserve"> </w:t>
      </w:r>
      <w:r>
        <w:t xml:space="preserve">candidiasis</w:t>
      </w:r>
      <w:r>
        <w:t xml:space="preserve">”</w:t>
      </w:r>
      <w:r>
        <w:t xml:space="preserve"> </w:t>
      </w:r>
      <w:r>
        <w:t xml:space="preserve">since both were in the same channel, the positions of the first</w:t>
      </w:r>
      <w:r>
        <w:t xml:space="preserve"> </w:t>
      </w:r>
      <w:r>
        <w:t xml:space="preserve">and second dimensions were adjacent, and</w:t>
      </w:r>
      <w:r>
        <w:t xml:space="preserve"> </w:t>
      </w:r>
      <w:r>
        <w:rPr>
          <w:i/>
        </w:rPr>
        <w:t xml:space="preserve">t</w:t>
      </w:r>
      <w:r>
        <w:t xml:space="preserve">-SNE preserved the neighborhood</w:t>
      </w:r>
      <w:r>
        <w:t xml:space="preserve"> </w:t>
      </w:r>
      <w:r>
        <w:t xml:space="preserve">identity. Acute vaginitis is semantically a genital tract infection (GTI). By</w:t>
      </w:r>
      <w:r>
        <w:t xml:space="preserve"> </w:t>
      </w:r>
      <w:r>
        <w:t xml:space="preserve">external contextual knowledge inferred from systematic human learning and</w:t>
      </w:r>
      <w:r>
        <w:t xml:space="preserve"> </w:t>
      </w:r>
      <w:r>
        <w:t xml:space="preserve">confirmed by IPW using our data, GTI and chorioamnionitis were determined to be</w:t>
      </w:r>
      <w:r>
        <w:t xml:space="preserve"> </w:t>
      </w:r>
      <w:r>
        <w:t xml:space="preserve">associated factors of PROM.</w:t>
      </w:r>
    </w:p>
    <w:p>
      <w:pPr>
        <w:pStyle w:val="BodyText"/>
      </w:pPr>
      <w:r>
        <w:t xml:space="preserve">A node on more superficial layer, which is ONT:155, consisted a feature that</w:t>
      </w:r>
      <w:r>
        <w:t xml:space="preserve"> </w:t>
      </w:r>
      <w:r>
        <w:t xml:space="preserve">prefers the same outcome that N760 (acute vaginitis) and causal_A03</w:t>
      </w:r>
      <w:r>
        <w:t xml:space="preserve"> </w:t>
      </w:r>
      <w:r>
        <w:t xml:space="preserve">(chorioamnionitis) prefer, which is 598 (urethral catheterization). This</w:t>
      </w:r>
      <w:r>
        <w:t xml:space="preserve"> </w:t>
      </w:r>
      <w:r>
        <w:t xml:space="preserve">feature is semantically related to acute vaginitis because the anatomical sites</w:t>
      </w:r>
      <w:r>
        <w:t xml:space="preserve"> </w:t>
      </w:r>
      <w:r>
        <w:t xml:space="preserve">are adjacent. But, since ONT:155 is on a more superficial layer, this node will</w:t>
      </w:r>
      <w:r>
        <w:t xml:space="preserve"> </w:t>
      </w:r>
      <w:r>
        <w:t xml:space="preserve">connect to the same node with many features from other ontology terms. This</w:t>
      </w:r>
      <w:r>
        <w:t xml:space="preserve"> </w:t>
      </w:r>
      <w:r>
        <w:t xml:space="preserve">means more factors may need to interact with urethral catheterization (598) to</w:t>
      </w:r>
      <w:r>
        <w:t xml:space="preserve"> </w:t>
      </w:r>
      <w:r>
        <w:t xml:space="preserve">be predictive for PROM. In addition, within the same ontology term, there is</w:t>
      </w:r>
      <w:r>
        <w:t xml:space="preserve"> </w:t>
      </w:r>
      <w:r>
        <w:t xml:space="preserve">also 8602 (injection or tattooing of skin lesion or defect). Apparently, the</w:t>
      </w:r>
      <w:r>
        <w:t xml:space="preserve"> </w:t>
      </w:r>
      <w:r>
        <w:t xml:space="preserve">CliXO algorithm have clustered these features together semantically, which are</w:t>
      </w:r>
      <w:r>
        <w:t xml:space="preserve"> </w:t>
      </w:r>
      <w:r>
        <w:t xml:space="preserve">similarly invasive procedures. In addition, local infection from acute</w:t>
      </w:r>
      <w:r>
        <w:t xml:space="preserve"> </w:t>
      </w:r>
      <w:r>
        <w:t xml:space="preserve">vaginitis may be related to chorioamnionitis, such that prefers the same</w:t>
      </w:r>
      <w:r>
        <w:t xml:space="preserve"> </w:t>
      </w:r>
      <w:r>
        <w:t xml:space="preserve">outcome, as opposed to the possible systemic infection by the unspecified</w:t>
      </w:r>
      <w:r>
        <w:t xml:space="preserve"> </w:t>
      </w:r>
      <w:r>
        <w:t xml:space="preserve">candidiasis.</w:t>
      </w:r>
    </w:p>
    <w:p>
      <w:pPr>
        <w:pStyle w:val="BodyText"/>
      </w:pPr>
      <w:r>
        <w:t xml:space="preserve">Exploring this DI-VNN should be done with caution, since we developed the model</w:t>
      </w:r>
      <w:r>
        <w:t xml:space="preserve"> </w:t>
      </w:r>
      <w:r>
        <w:t xml:space="preserve">using medical histories, which are diagnosis or procedure codes provided by</w:t>
      </w:r>
      <w:r>
        <w:t xml:space="preserve"> </w:t>
      </w:r>
      <w:r>
        <w:t xml:space="preserve">medical doctors. We may or may not be modeling a human pathophysiology, but, we</w:t>
      </w:r>
      <w:r>
        <w:t xml:space="preserve"> </w:t>
      </w:r>
      <w:r>
        <w:t xml:space="preserve">are definitely modeling the doctors’ behaviors of coding a diagnosis or</w:t>
      </w:r>
      <w:r>
        <w:t xml:space="preserve"> </w:t>
      </w:r>
      <w:r>
        <w:t xml:space="preserve">procedure (Beaulieu-Jones BK, et al, 2021). By providing an interface to the internal properties of this</w:t>
      </w:r>
      <w:r>
        <w:t xml:space="preserve"> </w:t>
      </w:r>
      <w:r>
        <w:t xml:space="preserve">model, a human user can assess each prediction case-by-case. From ONT:167 and</w:t>
      </w:r>
      <w:r>
        <w:t xml:space="preserve"> </w:t>
      </w:r>
      <w:r>
        <w:t xml:space="preserve">ONT:149 on the deeper layer, we can find unusual features in the context of</w:t>
      </w:r>
      <w:r>
        <w:t xml:space="preserve"> </w:t>
      </w:r>
      <w:r>
        <w:t xml:space="preserve">PROM, which are H527 (unspecified disorder of refraction) preferring nonevents</w:t>
      </w:r>
      <w:r>
        <w:t xml:space="preserve"> </w:t>
      </w:r>
      <w:r>
        <w:t xml:space="preserve">while 734 (flat foot), H521 (myopia), and H522 (astigmatism) preferring events.</w:t>
      </w:r>
      <w:r>
        <w:t xml:space="preserve"> </w:t>
      </w:r>
      <w:r>
        <w:t xml:space="preserve">These codes might be responses to the subject symptoms of edema in the feet and</w:t>
      </w:r>
      <w:r>
        <w:t xml:space="preserve"> </w:t>
      </w:r>
      <w:r>
        <w:t xml:space="preserve">blurry vision. Both symptoms in a pregnant woman may be typically associated</w:t>
      </w:r>
      <w:r>
        <w:t xml:space="preserve"> </w:t>
      </w:r>
      <w:r>
        <w:t xml:space="preserve">with severe preeclampsia. But, a doctor may avoid this association if the</w:t>
      </w:r>
      <w:r>
        <w:t xml:space="preserve"> </w:t>
      </w:r>
      <w:r>
        <w:t xml:space="preserve">context does not support the symptoms, e.g. symptoms by a non-pregnant subject.</w:t>
      </w:r>
      <w:r>
        <w:t xml:space="preserve"> </w:t>
      </w:r>
      <w:r>
        <w:t xml:space="preserve">This may lead a doctor to assign these codes responding to those symptoms. For</w:t>
      </w:r>
      <w:r>
        <w:t xml:space="preserve"> </w:t>
      </w:r>
      <w:r>
        <w:t xml:space="preserve">each prediction, a human user may need to explore the model to avoid</w:t>
      </w:r>
      <w:r>
        <w:t xml:space="preserve"> </w:t>
      </w:r>
      <w:r>
        <w:t xml:space="preserve">misclassification by ignoring the prediction if it counters the clinical</w:t>
      </w:r>
      <w:r>
        <w:t xml:space="preserve"> </w:t>
      </w:r>
      <w:r>
        <w:t xml:space="preserve">reasoning. More pragmatically at individual level, the predictive value may not</w:t>
      </w:r>
      <w:r>
        <w:t xml:space="preserve"> </w:t>
      </w:r>
      <w:r>
        <w:t xml:space="preserve">be sufficient or the estimation may not be quite precise based on the</w:t>
      </w:r>
      <w:r>
        <w:t xml:space="preserve"> </w:t>
      </w:r>
      <w:r>
        <w:t xml:space="preserve">corresponding subpopulation data with respectively the same predicted outcome</w:t>
      </w:r>
      <w:r>
        <w:t xml:space="preserve"> </w:t>
      </w:r>
      <w:r>
        <w:t xml:space="preserve">or estimated time of delivery. In addition, albeit all of the population-level</w:t>
      </w:r>
      <w:r>
        <w:t xml:space="preserve"> </w:t>
      </w:r>
      <w:r>
        <w:t xml:space="preserve">patterns from this exploration, every subject may reveal a different pattern</w:t>
      </w:r>
      <w:r>
        <w:t xml:space="preserve"> </w:t>
      </w:r>
      <w:r>
        <w:t xml:space="preserve">using the same DI-VNN model, as described in the next section.</w:t>
      </w:r>
    </w:p>
    <w:p>
      <w:pPr>
        <w:pStyle w:val="Heading2"/>
      </w:pPr>
      <w:bookmarkStart w:id="58" w:name="web-application"/>
      <w:r>
        <w:t xml:space="preserve">Web application</w:t>
      </w:r>
      <w:bookmarkEnd w:id="58"/>
    </w:p>
    <w:p>
      <w:pPr>
        <w:pStyle w:val="FirstParagraph"/>
      </w:pPr>
      <w:r>
        <w:t xml:space="preserve">Briefly, we uploaded a record of 20 visits by a 19-year-old female subject from</w:t>
      </w:r>
      <w:r>
        <w:t xml:space="preserve"> </w:t>
      </w:r>
      <w:r>
        <w:t xml:space="preserve">December 2, 2015 to July 30, 2016, consisting of 28 code entries. After</w:t>
      </w:r>
      <w:r>
        <w:t xml:space="preserve"> </w:t>
      </w:r>
      <w:r>
        <w:t xml:space="preserve">determining the prediction date, which was set to July 30, 2016, we ran the</w:t>
      </w:r>
      <w:r>
        <w:t xml:space="preserve"> </w:t>
      </w:r>
      <w:r>
        <w:t xml:space="preserve">application in 5.14 minutes (95% CI 5.11 to 5.18 minutes when we repeated it</w:t>
      </w:r>
      <w:r>
        <w:t xml:space="preserve"> </w:t>
      </w:r>
      <w:r>
        <w:t xml:space="preserve">10 times). We downloaded the report after the application was completed</w:t>
      </w:r>
      <w:r>
        <w:t xml:space="preserve"> </w:t>
      </w:r>
      <w:r>
        <w:t xml:space="preserve">(eFigure 16 in Appendix). The predicted outcome was PROM, and the estimated</w:t>
      </w:r>
      <w:r>
        <w:t xml:space="preserve"> </w:t>
      </w:r>
      <w:r>
        <w:t xml:space="preserve">time of delivery was 11 weeks after the time of prediction. The predicted</w:t>
      </w:r>
      <w:r>
        <w:t xml:space="preserve"> </w:t>
      </w:r>
      <w:r>
        <w:t xml:space="preserve">probability was 0.867.</w:t>
      </w:r>
    </w:p>
    <w:p>
      <w:pPr>
        <w:pStyle w:val="BodyText"/>
      </w:pPr>
      <w:r>
        <w:t xml:space="preserve">Furthermore, after the application was done (eFigure 16 in Appendix), we tried</w:t>
      </w:r>
      <w:r>
        <w:t xml:space="preserve"> </w:t>
      </w:r>
      <w:r>
        <w:t xml:space="preserve">to adjust the threshold to the maximum value, such that the data for</w:t>
      </w:r>
      <w:r>
        <w:t xml:space="preserve"> </w:t>
      </w:r>
      <w:r>
        <w:t xml:space="preserve">population-level performances are still available and the predictive value is</w:t>
      </w:r>
      <w:r>
        <w:t xml:space="preserve"> </w:t>
      </w:r>
      <w:r>
        <w:t xml:space="preserve">also maximized depending on the prediction result. The population-level data</w:t>
      </w:r>
      <w:r>
        <w:t xml:space="preserve"> </w:t>
      </w:r>
      <w:r>
        <w:t xml:space="preserve">was the same with internal validation (calibration split;</w:t>
      </w:r>
      <w:r>
        <w:t xml:space="preserve"> </w:t>
      </w:r>
      <w:r>
        <w:rPr>
          <w:i/>
        </w:rPr>
        <w:t xml:space="preserve">n</w:t>
      </w:r>
      <w:r>
        <w:t xml:space="preserve">=21,506) which was</w:t>
      </w:r>
      <w:r>
        <w:t xml:space="preserve"> </w:t>
      </w:r>
      <w:r>
        <w:t xml:space="preserve">used to plot the ROC curve (Figure 2b in the main text). The threshold was 0.67</w:t>
      </w:r>
      <w:r>
        <w:t xml:space="preserve"> </w:t>
      </w:r>
      <w:r>
        <w:t xml:space="preserve">with positive predictive value of 0.809 (95% CI 0.798 to 0.82). The sensitivity</w:t>
      </w:r>
      <w:r>
        <w:t xml:space="preserve"> </w:t>
      </w:r>
      <w:r>
        <w:t xml:space="preserve">was reasonably low (0.107, 95% CI 0.104 to 0.11) if using this threshold. But,</w:t>
      </w:r>
      <w:r>
        <w:t xml:space="preserve"> </w:t>
      </w:r>
      <w:r>
        <w:t xml:space="preserve">from a standpoint of prediction at individual level, a precise estimation is</w:t>
      </w:r>
      <w:r>
        <w:t xml:space="preserve"> </w:t>
      </w:r>
      <w:r>
        <w:t xml:space="preserve">important to determine whether a decision corresponding to this prediction can</w:t>
      </w:r>
      <w:r>
        <w:t xml:space="preserve"> </w:t>
      </w:r>
      <w:r>
        <w:t xml:space="preserve">be made with a good confidence. By default, the threshold is set at an optimum</w:t>
      </w:r>
      <w:r>
        <w:t xml:space="preserve"> </w:t>
      </w:r>
      <w:r>
        <w:t xml:space="preserve">value of 0.14 (sensitivity 0.494, 95% CI 0.489 to 0.5). Based on the predicted</w:t>
      </w:r>
      <w:r>
        <w:t xml:space="preserve"> </w:t>
      </w:r>
      <w:r>
        <w:t xml:space="preserve">probability case-by-case, a user can decide the threshold to adjust at.</w:t>
      </w:r>
    </w:p>
    <w:p>
      <w:pPr>
        <w:pStyle w:val="BodyText"/>
      </w:pPr>
      <w:r>
        <w:t xml:space="preserve">From the reported timeline (eFigure 6 in Appendix), this subject is shown</w:t>
      </w:r>
      <w:r>
        <w:t xml:space="preserve"> </w:t>
      </w:r>
      <w:r>
        <w:t xml:space="preserve">predicted to deliver on October 18^th 2016, approximately. If the predicted</w:t>
      </w:r>
      <w:r>
        <w:t xml:space="preserve"> </w:t>
      </w:r>
      <w:r>
        <w:t xml:space="preserve">outcome is not PROM, the shaded area would be red; otherwise, turquoise color</w:t>
      </w:r>
      <w:r>
        <w:t xml:space="preserve"> </w:t>
      </w:r>
      <w:r>
        <w:t xml:space="preserve">is applied to the area as shown. It depicted population-level estimation of</w:t>
      </w:r>
      <w:r>
        <w:t xml:space="preserve"> </w:t>
      </w:r>
      <w:r>
        <w:t xml:space="preserve">true time of delivery for subjects that were also estimated to deliver within</w:t>
      </w:r>
      <w:r>
        <w:t xml:space="preserve"> </w:t>
      </w:r>
      <w:r>
        <w:t xml:space="preserve">11 weeks and predicted as PROM by the same threshold. The population-level data</w:t>
      </w:r>
      <w:r>
        <w:t xml:space="preserve"> </w:t>
      </w:r>
      <w:r>
        <w:t xml:space="preserve">was the same with internal validation (</w:t>
      </w:r>
      <w:r>
        <w:rPr>
          <w:i/>
        </w:rPr>
        <w:t xml:space="preserve">n</w:t>
      </w:r>
      <w:r>
        <w:t xml:space="preserve">=107,536) which was used to plot the</w:t>
      </w:r>
      <w:r>
        <w:t xml:space="preserve"> </w:t>
      </w:r>
      <w:r>
        <w:t xml:space="preserve">PC-RF estimation window (Figure 3b in the main text). By population-level</w:t>
      </w:r>
      <w:r>
        <w:t xml:space="preserve"> </w:t>
      </w:r>
      <w:r>
        <w:t xml:space="preserve">estimation, the time of delivery might be at the beginning up to the end of</w:t>
      </w:r>
      <w:r>
        <w:t xml:space="preserve"> </w:t>
      </w:r>
      <w:r>
        <w:t xml:space="preserve">October. Using threshold at 0.67, this population-level estimation was shifted</w:t>
      </w:r>
      <w:r>
        <w:t xml:space="preserve"> </w:t>
      </w:r>
      <w:r>
        <w:t xml:space="preserve">earlier for a week compared to that at 0.14. In addition, for illustration</w:t>
      </w:r>
      <w:r>
        <w:t xml:space="preserve"> </w:t>
      </w:r>
      <w:r>
        <w:t xml:space="preserve">purpose, just like a real-world setting, say we know the gestational age was</w:t>
      </w:r>
      <w:r>
        <w:t xml:space="preserve"> </w:t>
      </w:r>
      <w:r>
        <w:t xml:space="preserve">22-23 weeks’ gestation based on last menstrual period and ultrasound</w:t>
      </w:r>
      <w:r>
        <w:t xml:space="preserve"> </w:t>
      </w:r>
      <w:r>
        <w:t xml:space="preserve">examination. If this estimation model is precise for this case, the subject</w:t>
      </w:r>
      <w:r>
        <w:t xml:space="preserve"> </w:t>
      </w:r>
      <w:r>
        <w:t xml:space="preserve">would deliver at 33-34 weeks’ gestation, which is a preterm PROM.</w:t>
      </w:r>
    </w:p>
    <w:p>
      <w:pPr>
        <w:pStyle w:val="BodyText"/>
      </w:pPr>
      <w:r>
        <w:t xml:space="preserve">We also saw the medical history of this subject from the reported timeline</w:t>
      </w:r>
      <w:r>
        <w:t xml:space="preserve"> </w:t>
      </w:r>
      <w:r>
        <w:t xml:space="preserve">(eFigure 16 in Appendix). Up to the date of prediction, the prediction model</w:t>
      </w:r>
      <w:r>
        <w:t xml:space="preserve"> </w:t>
      </w:r>
      <w:r>
        <w:t xml:space="preserve">used these features: (1) A09 (diarrhea and gastroenteritis of presumed</w:t>
      </w:r>
      <w:r>
        <w:t xml:space="preserve"> </w:t>
      </w:r>
      <w:r>
        <w:t xml:space="preserve">infectious origin); (2) J069 (unspecified acute upper respiratory infection);</w:t>
      </w:r>
      <w:r>
        <w:t xml:space="preserve"> </w:t>
      </w:r>
      <w:r>
        <w:t xml:space="preserve">(3) K30 (dyspepsia); and (4) 8878 (diagnostic ultrasound of gravid uterus). On</w:t>
      </w:r>
      <w:r>
        <w:t xml:space="preserve"> </w:t>
      </w:r>
      <w:r>
        <w:t xml:space="preserve">the timeline, these were ordered from the most positive (top) to the most</w:t>
      </w:r>
      <w:r>
        <w:t xml:space="preserve"> </w:t>
      </w:r>
      <w:r>
        <w:t xml:space="preserve">negative (bottom) based on each output in the ontology array.</w:t>
      </w:r>
    </w:p>
    <w:p>
      <w:pPr>
        <w:pStyle w:val="BodyText"/>
      </w:pPr>
      <w:r>
        <w:t xml:space="preserve">In the prediction model, any of these features were classified in the ontology</w:t>
      </w:r>
      <w:r>
        <w:t xml:space="preserve"> </w:t>
      </w:r>
      <w:r>
        <w:t xml:space="preserve">arrays of ONT:158, ONT:169, ONT:176, and root, as depicted by the ontology</w:t>
      </w:r>
      <w:r>
        <w:t xml:space="preserve"> </w:t>
      </w:r>
      <w:r>
        <w:t xml:space="preserve">network (eFigure 16 in Appendix). We also identified the deepest ontology that</w:t>
      </w:r>
      <w:r>
        <w:t xml:space="preserve"> </w:t>
      </w:r>
      <w:r>
        <w:t xml:space="preserve">includes all features in the timeline, which is ONT:169, but the predicted</w:t>
      </w:r>
      <w:r>
        <w:t xml:space="preserve"> </w:t>
      </w:r>
      <w:r>
        <w:t xml:space="preserve">outcome based on this ontology is not PROM using the same threshold with that</w:t>
      </w:r>
      <w:r>
        <w:t xml:space="preserve"> </w:t>
      </w:r>
      <w:r>
        <w:t xml:space="preserve">of the root. A user also can see a predictive performance of any ontologies,</w:t>
      </w:r>
      <w:r>
        <w:t xml:space="preserve"> </w:t>
      </w:r>
      <w:r>
        <w:t xml:space="preserve">just like AUROC of the root (0.714, 95% CI 0.712 to 0.716). It is computed for</w:t>
      </w:r>
      <w:r>
        <w:t xml:space="preserve"> </w:t>
      </w:r>
      <w:r>
        <w:t xml:space="preserve">the pre-calibrated DI-VNN only, since the calibrated one only used the</w:t>
      </w:r>
      <w:r>
        <w:t xml:space="preserve"> </w:t>
      </w:r>
      <w:r>
        <w:t xml:space="preserve">predicted probability that was the output convoluted from the root ontology</w:t>
      </w:r>
      <w:r>
        <w:t xml:space="preserve"> </w:t>
      </w:r>
      <w:r>
        <w:t xml:space="preserve">array.</w:t>
      </w:r>
    </w:p>
    <w:p>
      <w:pPr>
        <w:pStyle w:val="BodyText"/>
      </w:pPr>
      <w:r>
        <w:t xml:space="preserve">Negative values at population level tend to event, as described in the previous</w:t>
      </w:r>
      <w:r>
        <w:t xml:space="preserve"> </w:t>
      </w:r>
      <w:r>
        <w:t xml:space="preserve">section. From the ontology array (eFigure 16 in Appendix), J069 (unspecified</w:t>
      </w:r>
      <w:r>
        <w:t xml:space="preserve"> </w:t>
      </w:r>
      <w:r>
        <w:t xml:space="preserve">acute upper respiratory infection) tends to event in that array, as shown as</w:t>
      </w:r>
      <w:r>
        <w:t xml:space="preserve"> </w:t>
      </w:r>
      <w:r>
        <w:t xml:space="preserve">mostly negative outputs in the timeline. This feature was also surrounded by</w:t>
      </w:r>
      <w:r>
        <w:t xml:space="preserve"> </w:t>
      </w:r>
      <w:r>
        <w:t xml:space="preserve">more negative outputs. A09 (diarrhea and gastroenteritis of presumed infectious</w:t>
      </w:r>
      <w:r>
        <w:t xml:space="preserve"> </w:t>
      </w:r>
      <w:r>
        <w:t xml:space="preserve">origin) also had a negative value, but, this feature and K30 (dyspepsia) were</w:t>
      </w:r>
      <w:r>
        <w:t xml:space="preserve"> </w:t>
      </w:r>
      <w:r>
        <w:t xml:space="preserve">surrounded by more positive outputs in the ontology array. If we apply the same</w:t>
      </w:r>
      <w:r>
        <w:t xml:space="preserve"> </w:t>
      </w:r>
      <w:r>
        <w:t xml:space="preserve">illustrative gestational age, these infectious diseases (J069 and A09) were</w:t>
      </w:r>
      <w:r>
        <w:t xml:space="preserve"> </w:t>
      </w:r>
      <w:r>
        <w:t xml:space="preserve">diagnosed respectively ten and four weeks the start of pregnancy, as shown on</w:t>
      </w:r>
      <w:r>
        <w:t xml:space="preserve"> </w:t>
      </w:r>
      <w:r>
        <w:t xml:space="preserve">the timeline. Root is the only ontology that predicted PROM and included all</w:t>
      </w:r>
      <w:r>
        <w:t xml:space="preserve"> </w:t>
      </w:r>
      <w:r>
        <w:t xml:space="preserve">features in this subject. This is implied all of these features should be taken</w:t>
      </w:r>
      <w:r>
        <w:t xml:space="preserve"> </w:t>
      </w:r>
      <w:r>
        <w:t xml:space="preserve">together for the prediction. In addition, one may question why J069</w:t>
      </w:r>
      <w:r>
        <w:t xml:space="preserve"> </w:t>
      </w:r>
      <w:r>
        <w:t xml:space="preserve">(unspecified acute upper respiratory infection) tends to event while influenza</w:t>
      </w:r>
      <w:r>
        <w:t xml:space="preserve"> </w:t>
      </w:r>
      <w:r>
        <w:t xml:space="preserve">have the opposite effect (OR 0.995,95% CI 0.993 to 0.997; eTable 13 in</w:t>
      </w:r>
      <w:r>
        <w:t xml:space="preserve"> </w:t>
      </w:r>
      <w:r>
        <w:t xml:space="preserve">Appendix). We found that influenza, which is causal_A28, did not include J069</w:t>
      </w:r>
      <w:r>
        <w:t xml:space="preserve"> </w:t>
      </w:r>
      <w:r>
        <w:t xml:space="preserve">(eTable 12 in R Markdown). This implied specific acute upper respiratory</w:t>
      </w:r>
      <w:r>
        <w:t xml:space="preserve"> </w:t>
      </w:r>
      <w:r>
        <w:t xml:space="preserve">infection, such influenza, may not have the same effect with that by the</w:t>
      </w:r>
      <w:r>
        <w:t xml:space="preserve"> </w:t>
      </w:r>
      <w:r>
        <w:t xml:space="preserve">unspecified one on PROM.</w:t>
      </w:r>
    </w:p>
    <w:p>
      <w:pPr>
        <w:pStyle w:val="BodyText"/>
      </w:pPr>
      <w:r>
        <w:t xml:space="preserve">Beyond the root, the array of ontology ONT:169 is also shown (eFigure 17 in</w:t>
      </w:r>
      <w:r>
        <w:t xml:space="preserve"> </w:t>
      </w:r>
      <w:r>
        <w:t xml:space="preserve">Appendix). A09 and J069 had negative values. As described in the main text,</w:t>
      </w:r>
      <w:r>
        <w:t xml:space="preserve"> </w:t>
      </w:r>
      <w:r>
        <w:t xml:space="preserve">these features tend to an event. Respectively, the surrounding positive and</w:t>
      </w:r>
      <w:r>
        <w:t xml:space="preserve"> </w:t>
      </w:r>
      <w:r>
        <w:t xml:space="preserve">negative values were subtler in this ontology array. Since this filtered array</w:t>
      </w:r>
      <w:r>
        <w:t xml:space="preserve"> </w:t>
      </w:r>
      <w:r>
        <w:t xml:space="preserve">is fed forward to convolutional layers to be reduced each time passing a layer</w:t>
      </w:r>
      <w:r>
        <w:t xml:space="preserve"> </w:t>
      </w:r>
      <w:r>
        <w:t xml:space="preserve">(see video in the protocol [a protocol citation]), the value of A09 and J069</w:t>
      </w:r>
      <w:r>
        <w:t xml:space="preserve"> </w:t>
      </w:r>
      <w:r>
        <w:t xml:space="preserve">were averaged along with the adjacent values toward zero, opposite to event. In</w:t>
      </w:r>
      <w:r>
        <w:t xml:space="preserve"> </w:t>
      </w:r>
      <w:r>
        <w:t xml:space="preserve">turn, this coincides with lower AUROC in ONT:169 compared to that in root.</w:t>
      </w:r>
    </w:p>
    <w:p>
      <w:pPr>
        <w:pStyle w:val="BodyText"/>
      </w:pPr>
      <w:r>
        <w:t xml:space="preserve">Eventually, a user may want to know if the PROM prediction and estimated time</w:t>
      </w:r>
      <w:r>
        <w:t xml:space="preserve"> </w:t>
      </w:r>
      <w:r>
        <w:t xml:space="preserve">of delivery are similar to true values. One can save this model online and</w:t>
      </w:r>
      <w:r>
        <w:t xml:space="preserve"> </w:t>
      </w:r>
      <w:r>
        <w:t xml:space="preserve">return later to the web application to enter the true outcome and time of</w:t>
      </w:r>
      <w:r>
        <w:t xml:space="preserve"> </w:t>
      </w:r>
      <w:r>
        <w:t xml:space="preserve">delivery. In this way, a user can collect data for external validation</w:t>
      </w:r>
      <w:r>
        <w:t xml:space="preserve"> </w:t>
      </w:r>
      <w:r>
        <w:t xml:space="preserve">purposes, specifically describing the model performances based on local data</w:t>
      </w:r>
      <w:r>
        <w:t xml:space="preserve"> </w:t>
      </w:r>
      <w:r>
        <w:t xml:space="preserve">distributions. In our case, the true outcome was also PROM and the time of</w:t>
      </w:r>
      <w:r>
        <w:t xml:space="preserve"> </w:t>
      </w:r>
      <w:r>
        <w:t xml:space="preserve">delivery was 12 weeks after the time of prediction, a week later than the</w:t>
      </w:r>
      <w:r>
        <w:t xml:space="preserve"> </w:t>
      </w:r>
      <w:r>
        <w:t xml:space="preserve">predicted time of delivery.</w:t>
      </w:r>
    </w:p>
    <w:p>
      <w:pPr>
        <w:pStyle w:val="Heading1"/>
      </w:pPr>
      <w:bookmarkStart w:id="59" w:name="discussion"/>
      <w:r>
        <w:t xml:space="preserve">Discussion</w:t>
      </w:r>
      <w:bookmarkEnd w:id="59"/>
    </w:p>
    <w:p>
      <w:pPr>
        <w:pStyle w:val="FirstParagraph"/>
      </w:pPr>
      <w:r>
        <w:t xml:space="preserve">From association tests and feature extraction to model selection and</w:t>
      </w:r>
      <w:r>
        <w:t xml:space="preserve"> </w:t>
      </w:r>
      <w:r>
        <w:t xml:space="preserve">exploration, we only used an internal validation set. But, the model is</w:t>
      </w:r>
      <w:r>
        <w:t xml:space="preserve"> </w:t>
      </w:r>
      <w:r>
        <w:t xml:space="preserve">evaluated using four external validation sets with a large sample size. This</w:t>
      </w:r>
      <w:r>
        <w:t xml:space="preserve"> </w:t>
      </w:r>
      <w:r>
        <w:t xml:space="preserve">has found the DI-VNN prediction was robust and the PC-RF estimation was precise</w:t>
      </w:r>
      <w:r>
        <w:t xml:space="preserve"> </w:t>
      </w:r>
      <w:r>
        <w:t xml:space="preserve">within a reasonable time window. All of these models used only a medical</w:t>
      </w:r>
      <w:r>
        <w:t xml:space="preserve"> </w:t>
      </w:r>
      <w:r>
        <w:t xml:space="preserve">history of a patient, which is easily extracted from the electronic medical</w:t>
      </w:r>
      <w:r>
        <w:t xml:space="preserve"> </w:t>
      </w:r>
      <w:r>
        <w:t xml:space="preserve">record systems of most healthcare providers worldwide. Neither a biomarker</w:t>
      </w:r>
      <w:r>
        <w:t xml:space="preserve"> </w:t>
      </w:r>
      <w:r>
        <w:t xml:space="preserve">testing nor even a laboratory test is needed. Eventually, the best models are</w:t>
      </w:r>
      <w:r>
        <w:t xml:space="preserve"> </w:t>
      </w:r>
      <w:r>
        <w:t xml:space="preserve">ready to use for any healthcare providers using an open-access web application</w:t>
      </w:r>
      <w:r>
        <w:t xml:space="preserve"> </w:t>
      </w:r>
      <w:r>
        <w:t xml:space="preserve">without changing their electronic health record systems and revealing private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To gain insights into PROM antecedents, we showed how this was achieved by</w:t>
      </w:r>
      <w:r>
        <w:t xml:space="preserve"> </w:t>
      </w:r>
      <w:r>
        <w:t xml:space="preserve">exploring the model at both the population (eFigure 15b in Appendix) and</w:t>
      </w:r>
      <w:r>
        <w:t xml:space="preserve"> </w:t>
      </w:r>
      <w:r>
        <w:t xml:space="preserve">individual levels (eFigure 16 in Appendix). If we assume that PROM is a</w:t>
      </w:r>
      <w:r>
        <w:t xml:space="preserve"> </w:t>
      </w:r>
      <w:r>
        <w:t xml:space="preserve">subclass of preeclampsia, this may explain why population-level exploration</w:t>
      </w:r>
      <w:r>
        <w:t xml:space="preserve"> </w:t>
      </w:r>
      <w:r>
        <w:t xml:space="preserve">implied an insight of systemic vs. local infection by competing risks. A</w:t>
      </w:r>
      <w:r>
        <w:t xml:space="preserve"> </w:t>
      </w:r>
      <w:r>
        <w:t xml:space="preserve">hematogenous infection may be associated with reproductive-tract microbial</w:t>
      </w:r>
      <w:r>
        <w:t xml:space="preserve"> </w:t>
      </w:r>
      <w:r>
        <w:t xml:space="preserve">dysbiosis and can affect several pregnancy outcomes, including PROM,</w:t>
      </w:r>
      <w:r>
        <w:t xml:space="preserve"> </w:t>
      </w:r>
      <w:r>
        <w:t xml:space="preserve">preeclampsia, and fetal growth restriction (Amir M, et al, 2020). Both</w:t>
      </w:r>
      <w:r>
        <w:t xml:space="preserve"> </w:t>
      </w:r>
      <w:r>
        <w:t xml:space="preserve">hematogenous and ascending infections from reproductive tract are found in PROM</w:t>
      </w:r>
      <w:r>
        <w:t xml:space="preserve"> </w:t>
      </w:r>
      <w:r>
        <w:t xml:space="preserve">(Romero R, et al, 2019; Solt I, 2015). Hematogenous infections included those</w:t>
      </w:r>
      <w:r>
        <w:t xml:space="preserve"> </w:t>
      </w:r>
      <w:r>
        <w:t xml:space="preserve">from digestive and respiratory organs. Similar to the population-level</w:t>
      </w:r>
      <w:r>
        <w:t xml:space="preserve"> </w:t>
      </w:r>
      <w:r>
        <w:t xml:space="preserve">exploration (eFigure 15 in Appendix), we also found a possibility of</w:t>
      </w:r>
      <w:r>
        <w:t xml:space="preserve"> </w:t>
      </w:r>
      <w:r>
        <w:t xml:space="preserve">hematogenous infection at the individual level (eFigure 16 in Appendix), and</w:t>
      </w:r>
      <w:r>
        <w:t xml:space="preserve"> </w:t>
      </w:r>
      <w:r>
        <w:t xml:space="preserve">these were from infectious gastroenteritis and unspecified acute upper</w:t>
      </w:r>
      <w:r>
        <w:t xml:space="preserve"> </w:t>
      </w:r>
      <w:r>
        <w:t xml:space="preserve">respiratory infection. Both population- and individual-level explorations also</w:t>
      </w:r>
      <w:r>
        <w:t xml:space="preserve"> </w:t>
      </w:r>
      <w:r>
        <w:t xml:space="preserve">implied a period surrounding the beginning of pregnancy as the onset of the</w:t>
      </w:r>
      <w:r>
        <w:t xml:space="preserve"> </w:t>
      </w:r>
      <w:r>
        <w:t xml:space="preserve">optimal time to predict PROM. Several features in the DI-VNN were</w:t>
      </w:r>
      <w:r>
        <w:t xml:space="preserve"> </w:t>
      </w:r>
      <w:r>
        <w:t xml:space="preserve">counterintuitive, e.g., H527 (unspecified disorder of refraction), 734 (flat</w:t>
      </w:r>
      <w:r>
        <w:t xml:space="preserve"> </w:t>
      </w:r>
      <w:r>
        <w:t xml:space="preserve">foot), H521 (myopia), and H522 (astigmatism). Yet, these describe blurry vision</w:t>
      </w:r>
      <w:r>
        <w:t xml:space="preserve"> </w:t>
      </w:r>
      <w:r>
        <w:t xml:space="preserve">and swelling in the feet, which are also symptoms of preeclampsia. Similar</w:t>
      </w:r>
      <w:r>
        <w:t xml:space="preserve"> </w:t>
      </w:r>
      <w:r>
        <w:t xml:space="preserve">eye-related codes, i.e., myopia and astigmatism, were also found to be</w:t>
      </w:r>
      <w:r>
        <w:t xml:space="preserve"> </w:t>
      </w:r>
      <w:r>
        <w:t xml:space="preserve">important in predicting preeclampsia in an RF model (Sufriyana H, et al, 2020).</w:t>
      </w:r>
    </w:p>
    <w:p>
      <w:pPr>
        <w:pStyle w:val="Heading1"/>
      </w:pPr>
      <w:bookmarkStart w:id="60" w:name="references"/>
      <w:r>
        <w:t xml:space="preserve">References</w:t>
      </w:r>
      <w:bookmarkEnd w:id="60"/>
    </w:p>
    <w:p>
      <w:r>
        <w:br w:type="page"/>
      </w:r>
    </w:p>
    <w:p>
      <w:pPr>
        <w:pStyle w:val="Heading1"/>
      </w:pPr>
      <w:bookmarkStart w:id="61" w:name="appendix"/>
      <w:r>
        <w:t xml:space="preserve">Appendix</w:t>
      </w:r>
      <w:bookmarkEnd w:id="61"/>
    </w:p>
    <w:p>
      <w:r>
        <w:br w:type="page"/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Multiple pregnancy" title="" id="1" name="Picture"/>
            <a:graphic>
              <a:graphicData uri="http://schemas.openxmlformats.org/drawingml/2006/picture">
                <pic:pic>
                  <pic:nvPicPr>
                    <pic:cNvPr descr="prom_files/figure-docx/figure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Multiple pregnancy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Chorioamnionitis" title="" id="1" name="Picture"/>
            <a:graphic>
              <a:graphicData uri="http://schemas.openxmlformats.org/drawingml/2006/picture">
                <pic:pic>
                  <pic:nvPicPr>
                    <pic:cNvPr descr="prom_files/figure-docx/figure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Chorioamnionitis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Intra-amniotic infection (IAI)" title="" id="1" name="Picture"/>
            <a:graphic>
              <a:graphicData uri="http://schemas.openxmlformats.org/drawingml/2006/picture">
                <pic:pic>
                  <pic:nvPicPr>
                    <pic:cNvPr descr="prom_files/figure-docx/figure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Intra-amniotic infection (IAI)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Ante-partum hemorrhage (APH)" title="" id="1" name="Picture"/>
            <a:graphic>
              <a:graphicData uri="http://schemas.openxmlformats.org/drawingml/2006/picture">
                <pic:pic>
                  <pic:nvPicPr>
                    <pic:cNvPr descr="prom_files/figure-docx/figure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Ante-partum hemorrhage (APH)</w:t>
      </w:r>
    </w:p>
    <w:p>
      <w:r>
        <w:br w:type="page"/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Genital tract infection (GTI)" title="" id="1" name="Picture"/>
            <a:graphic>
              <a:graphicData uri="http://schemas.openxmlformats.org/drawingml/2006/picture">
                <pic:pic>
                  <pic:nvPicPr>
                    <pic:cNvPr descr="prom_files/figure-docx/figure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Genital tract infection (GTI)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Periodontal disease" title="" id="1" name="Picture"/>
            <a:graphic>
              <a:graphicData uri="http://schemas.openxmlformats.org/drawingml/2006/picture">
                <pic:pic>
                  <pic:nvPicPr>
                    <pic:cNvPr descr="prom_files/figure-docx/figure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Periodontal disease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Polyhydramnios" title="" id="1" name="Picture"/>
            <a:graphic>
              <a:graphicData uri="http://schemas.openxmlformats.org/drawingml/2006/picture">
                <pic:pic>
                  <pic:nvPicPr>
                    <pic:cNvPr descr="prom_files/figure-docx/figure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Polyhydramnios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Pneumonia" title="" id="1" name="Picture"/>
            <a:graphic>
              <a:graphicData uri="http://schemas.openxmlformats.org/drawingml/2006/picture">
                <pic:pic>
                  <pic:nvPicPr>
                    <pic:cNvPr descr="prom_files/figure-docx/figure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Pneumonia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Asthma" title="" id="1" name="Picture"/>
            <a:graphic>
              <a:graphicData uri="http://schemas.openxmlformats.org/drawingml/2006/picture">
                <pic:pic>
                  <pic:nvPicPr>
                    <pic:cNvPr descr="prom_files/figure-docx/figure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Asthma</w:t>
      </w:r>
    </w:p>
    <w:p>
      <w:r>
        <w:br w:type="page"/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Low socio-economic status (SES)" title="" id="1" name="Picture"/>
            <a:graphic>
              <a:graphicData uri="http://schemas.openxmlformats.org/drawingml/2006/picture">
                <pic:pic>
                  <pic:nvPicPr>
                    <pic:cNvPr descr="prom_files/figure-docx/figure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Low socio-economic status (SES)</w:t>
      </w:r>
    </w:p>
    <w:p>
      <w:r>
        <w:br w:type="page"/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Maternal age" title="" id="1" name="Picture"/>
            <a:graphic>
              <a:graphicData uri="http://schemas.openxmlformats.org/drawingml/2006/picture">
                <pic:pic>
                  <pic:nvPicPr>
                    <pic:cNvPr descr="prom_files/figure-docx/figure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Maternal age</w:t>
      </w:r>
    </w:p>
    <w:p>
      <w:r>
        <w:br w:type="page"/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Influenza" title="" id="1" name="Picture"/>
            <a:graphic>
              <a:graphicData uri="http://schemas.openxmlformats.org/drawingml/2006/picture">
                <pic:pic>
                  <pic:nvPicPr>
                    <pic:cNvPr descr="prom_files/figure-docx/figure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Influenza</w:t>
      </w:r>
    </w:p>
    <w:p>
      <w:r>
        <w:br w:type="page"/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Final association diagram" title="" id="1" name="Picture"/>
            <a:graphic>
              <a:graphicData uri="http://schemas.openxmlformats.org/drawingml/2006/picture">
                <pic:pic>
                  <pic:nvPicPr>
                    <pic:cNvPr descr="prom_files/figure-docx/figure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association diagram</w:t>
      </w:r>
    </w:p>
    <w:p>
      <w:pPr>
        <w:pStyle w:val="BodyText"/>
      </w:pPr>
      <w:r>
        <w:t xml:space="preserve">Caption:</w:t>
      </w:r>
    </w:p>
    <w:p>
      <w:pPr>
        <w:pStyle w:val="BodyText"/>
      </w:pPr>
      <w:r>
        <w:t xml:space="preserve">All associated factors were verified by inverse probability weighting (IPW)</w:t>
      </w:r>
      <w:r>
        <w:t xml:space="preserve"> </w:t>
      </w:r>
      <w:r>
        <w:t xml:space="preserve">using our data. Association tests were only conducted between PROM and each of</w:t>
      </w:r>
      <w:r>
        <w:t xml:space="preserve"> </w:t>
      </w:r>
      <w:r>
        <w:t xml:space="preserve">the associated factors. Inter-associated factor relationships were not</w:t>
      </w:r>
      <w:r>
        <w:t xml:space="preserve"> </w:t>
      </w:r>
      <w:r>
        <w:t xml:space="preserve">verified, but this demonstrates how an associated factor is included in the</w:t>
      </w:r>
      <w:r>
        <w:t xml:space="preserve"> </w:t>
      </w:r>
      <w:r>
        <w:t xml:space="preserve">associated model of another associated factor in this figure. APH, ante-partum</w:t>
      </w:r>
      <w:r>
        <w:t xml:space="preserve"> </w:t>
      </w:r>
      <w:r>
        <w:t xml:space="preserve">hemorrhage; GTI, genital tract infection; IAI, intra-amniotic infection; PROM,</w:t>
      </w:r>
      <w:r>
        <w:t xml:space="preserve"> </w:t>
      </w:r>
      <w:r>
        <w:t xml:space="preserve">prelabor rupture of membranes; SES, socio-economic status.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7553325"/>
            <wp:effectExtent b="0" l="0" r="0" t="0"/>
            <wp:docPr descr="Exploratory data analysis" title="" id="1" name="Picture"/>
            <a:graphic>
              <a:graphicData uri="http://schemas.openxmlformats.org/drawingml/2006/picture">
                <pic:pic>
                  <pic:nvPicPr>
                    <pic:cNvPr descr="prom_files/figure-docx/figure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Exploratory data analysis</w:t>
      </w:r>
    </w:p>
    <w:p>
      <w:pPr>
        <w:pStyle w:val="BodyText"/>
      </w:pPr>
      <w:r>
        <w:t xml:space="preserve">Caption:</w:t>
      </w:r>
    </w:p>
    <w:p>
      <w:pPr>
        <w:pStyle w:val="Compact"/>
        <w:numPr>
          <w:numId w:val="1001"/>
          <w:ilvl w:val="0"/>
        </w:numPr>
      </w:pPr>
      <w:r>
        <w:t xml:space="preserve">area under the receiver operating characteristic curve (AUROC) of DI-VNN</w:t>
      </w:r>
      <w:r>
        <w:t xml:space="preserve"> </w:t>
      </w:r>
      <w:r>
        <w:t xml:space="preserve">every 4 weeks; (b) ontology (ONT) network and arrays of the DI-VNN. Showing the</w:t>
      </w:r>
      <w:r>
        <w:t xml:space="preserve"> </w:t>
      </w:r>
      <w:r>
        <w:t xml:space="preserve">best time window for the prediction by the DI-VNN (a) and AUROCs of &gt;0.55 for</w:t>
      </w:r>
      <w:r>
        <w:t xml:space="preserve"> </w:t>
      </w:r>
      <w:r>
        <w:t xml:space="preserve">prediction using parts of the network architecture up to each layer on which a</w:t>
      </w:r>
      <w:r>
        <w:t xml:space="preserve"> </w:t>
      </w:r>
      <w:r>
        <w:t xml:space="preserve">node resides (b). Each node is a CliXO term. We only show distinguished output</w:t>
      </w:r>
      <w:r>
        <w:t xml:space="preserve"> </w:t>
      </w:r>
      <w:r>
        <w:t xml:space="preserve">arrays for a particular channel denoted by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. A feature in the array may tend</w:t>
      </w:r>
      <w:r>
        <w:t xml:space="preserve"> </w:t>
      </w:r>
      <w:r>
        <w:t xml:space="preserve">to positive or negative output, color-coded based on the gradient as shown,</w:t>
      </w:r>
      <w:r>
        <w:t xml:space="preserve"> </w:t>
      </w:r>
      <w:r>
        <w:t xml:space="preserve">including the feature description. Yellow squares in an array refer to a</w:t>
      </w:r>
      <w:r>
        <w:t xml:space="preserve"> </w:t>
      </w:r>
      <w:r>
        <w:t xml:space="preserve">feature if only its output is non-zero. A feature may not have this square,</w:t>
      </w:r>
      <w:r>
        <w:t xml:space="preserve"> </w:t>
      </w:r>
      <w:r>
        <w:t xml:space="preserve">e.g. assoc_A03 and 8602. ONT:154 is an example of a backpropagation effect</w:t>
      </w:r>
      <w:r>
        <w:t xml:space="preserve"> </w:t>
      </w:r>
      <w:r>
        <w:t xml:space="preserve">from ONT:171. CliXO, clique-extracted ontology; DI-VNN, deep-insight visible</w:t>
      </w:r>
      <w:r>
        <w:t xml:space="preserve"> </w:t>
      </w:r>
      <w:r>
        <w:t xml:space="preserve">neural network.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7553325"/>
            <wp:effectExtent b="0" l="0" r="0" t="0"/>
            <wp:docPr descr="A case example" title="" id="1" name="Picture"/>
            <a:graphic>
              <a:graphicData uri="http://schemas.openxmlformats.org/drawingml/2006/picture">
                <pic:pic>
                  <pic:nvPicPr>
                    <pic:cNvPr descr="prom_files/figure-docx/figure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case example</w:t>
      </w:r>
    </w:p>
    <w:p>
      <w:pPr>
        <w:pStyle w:val="BodyText"/>
      </w:pPr>
      <w:r>
        <w:t xml:space="preserve">Caption:</w:t>
      </w:r>
    </w:p>
    <w:p>
      <w:pPr>
        <w:pStyle w:val="BodyText"/>
      </w:pPr>
      <w:r>
        <w:t xml:space="preserve">This is an example for predicting prelabor rupture of membranes (PROM) by</w:t>
      </w:r>
      <w:r>
        <w:t xml:space="preserve"> </w:t>
      </w:r>
      <w:r>
        <w:t xml:space="preserve">DI-VNN and estimating of the time of delivery by PC-RF. An ontology term in the</w:t>
      </w:r>
      <w:r>
        <w:t xml:space="preserve"> </w:t>
      </w:r>
      <w:r>
        <w:t xml:space="preserve">timeline is prefixed by ONT, followed by the number and one of the feature</w:t>
      </w:r>
      <w:r>
        <w:t xml:space="preserve"> </w:t>
      </w:r>
      <w:r>
        <w:t xml:space="preserve">members. 8878, diagnostic ultrasound of gravid uterus; A09, diarrhea and</w:t>
      </w:r>
      <w:r>
        <w:t xml:space="preserve"> </w:t>
      </w:r>
      <w:r>
        <w:t xml:space="preserve">gastroenteritis of presumed infectious origin; AUROC, area under receiver</w:t>
      </w:r>
      <w:r>
        <w:t xml:space="preserve"> </w:t>
      </w:r>
      <w:r>
        <w:t xml:space="preserve">operating characteristics curve; DI-VNN, deep-insight visible neural network;</w:t>
      </w:r>
      <w:r>
        <w:t xml:space="preserve"> </w:t>
      </w:r>
      <w:r>
        <w:t xml:space="preserve">J069, unspecified acute upper respiratory infection; K30, dyspepsia; PC,</w:t>
      </w:r>
      <w:r>
        <w:t xml:space="preserve"> </w:t>
      </w:r>
      <w:r>
        <w:t xml:space="preserve">principal component; RF, random forest.</w:t>
      </w:r>
    </w:p>
    <w:p>
      <w:r>
        <w:br w:type="page"/>
      </w:r>
    </w:p>
    <w:p>
      <w:pPr>
        <w:pStyle w:val="CaptionedFigure"/>
      </w:pPr>
      <w:r>
        <w:drawing>
          <wp:inline>
            <wp:extent cx="6477000" cy="2981325"/>
            <wp:effectExtent b="0" l="0" r="0" t="0"/>
            <wp:docPr descr="Ontology ONT:169" title="" id="1" name="Picture"/>
            <a:graphic>
              <a:graphicData uri="http://schemas.openxmlformats.org/drawingml/2006/picture">
                <pic:pic>
                  <pic:nvPicPr>
                    <pic:cNvPr descr="prom_files/figure-docx/figure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Ontology ONT:169</w:t>
      </w:r>
    </w:p>
    <w:p>
      <w:r>
        <w:br w:type="page"/>
      </w:r>
    </w:p>
    <w:p>
      <w:pPr>
        <w:pStyle w:val="Compact"/>
      </w:pPr>
      <w:r>
        <w:t xml:space="preserve">Association tests</w:t>
      </w:r>
    </w:p>
    <w:p>
      <w:pPr>
        <w:pStyle w:val="Compact"/>
      </w:pPr>
      <w:r>
        <w:t xml:space="preserve">Latent candidate predictors</w:t>
      </w:r>
    </w:p>
    <w:p>
      <w:pPr>
        <w:pStyle w:val="Compact"/>
      </w:pPr>
      <w:r>
        <w:t xml:space="preserve">Outcome regression (95% CI; P value)</w:t>
      </w:r>
    </w:p>
    <w:p>
      <w:pPr>
        <w:pStyle w:val="Compact"/>
      </w:pPr>
      <w:r>
        <w:t xml:space="preserve">Inverse probability weighting (95% CI; P value)</w:t>
      </w:r>
    </w:p>
    <w:p>
      <w:pPr>
        <w:pStyle w:val="Compact"/>
      </w:pPr>
      <w:r>
        <w:t xml:space="preserve">Multiple pregnancy</w:t>
      </w:r>
    </w:p>
    <w:p>
      <w:pPr>
        <w:pStyle w:val="Compact"/>
      </w:pPr>
      <w:r>
        <w:t xml:space="preserve">1.325 (1.118 to 1.569; P=.001**)</w:t>
      </w:r>
    </w:p>
    <w:p>
      <w:pPr>
        <w:pStyle w:val="Compact"/>
      </w:pPr>
      <w:r>
        <w:t xml:space="preserve">1.062 (1.055 to 1.068; P&lt;.001***)</w:t>
      </w:r>
    </w:p>
    <w:p>
      <w:pPr>
        <w:pStyle w:val="Compact"/>
      </w:pPr>
      <w:r>
        <w:t xml:space="preserve">Chorioamnionitis</w:t>
      </w:r>
    </w:p>
    <w:p>
      <w:pPr>
        <w:pStyle w:val="Compact"/>
      </w:pPr>
      <w:r>
        <w:t xml:space="preserve">5.77 (3.823 to 8.707; P&lt;.001***)</w:t>
      </w:r>
    </w:p>
    <w:p>
      <w:pPr>
        <w:pStyle w:val="Compact"/>
      </w:pPr>
      <w:r>
        <w:t xml:space="preserve">1.351 (1.33 to 1.372; P&lt;.001***)</w:t>
      </w:r>
    </w:p>
    <w:p>
      <w:pPr>
        <w:pStyle w:val="Compact"/>
      </w:pPr>
      <w:r>
        <w:t xml:space="preserve">IAI</w:t>
      </w:r>
    </w:p>
    <w:p>
      <w:pPr>
        <w:pStyle w:val="Compact"/>
      </w:pPr>
      <w:r>
        <w:t xml:space="preserve">2.134 (1 to 4.555; P=.05)</w:t>
      </w:r>
    </w:p>
    <w:p>
      <w:pPr>
        <w:pStyle w:val="Compact"/>
      </w:pPr>
      <w:r>
        <w:t xml:space="preserve">1.118 (1.083 to 1.153; P&lt;.001***)</w:t>
      </w:r>
    </w:p>
    <w:p>
      <w:pPr>
        <w:pStyle w:val="Compact"/>
      </w:pPr>
      <w:r>
        <w:t xml:space="preserve">APH</w:t>
      </w:r>
    </w:p>
    <w:p>
      <w:pPr>
        <w:pStyle w:val="Compact"/>
      </w:pPr>
      <w:r>
        <w:t xml:space="preserve">0.413 (0.287 to 0.594; P&lt;.001***)</w:t>
      </w:r>
    </w:p>
    <w:p>
      <w:pPr>
        <w:pStyle w:val="Compact"/>
      </w:pPr>
      <w:r>
        <w:t xml:space="preserve">0.929 (0.924 to 0.933; P&lt;.001***)</w:t>
      </w:r>
    </w:p>
    <w:p>
      <w:pPr>
        <w:pStyle w:val="Compact"/>
      </w:pPr>
      <w:r>
        <w:t xml:space="preserve">GTI</w:t>
      </w:r>
    </w:p>
    <w:p>
      <w:pPr>
        <w:pStyle w:val="Compact"/>
      </w:pPr>
      <w:r>
        <w:t xml:space="preserve">2.138 (1.368 to 3.342; P&lt;.001***)</w:t>
      </w:r>
    </w:p>
    <w:p>
      <w:pPr>
        <w:pStyle w:val="Compact"/>
      </w:pPr>
      <w:r>
        <w:t xml:space="preserve">1.116 (1.101 to 1.132; P&lt;.001***)</w:t>
      </w:r>
    </w:p>
    <w:p>
      <w:pPr>
        <w:pStyle w:val="Compact"/>
      </w:pPr>
      <w:r>
        <w:t xml:space="preserve">Periodontal disease</w:t>
      </w:r>
    </w:p>
    <w:p>
      <w:pPr>
        <w:pStyle w:val="Compact"/>
      </w:pPr>
      <w:r>
        <w:t xml:space="preserve">0.383 (0.26 to 0.566; P&lt;.001***)</w:t>
      </w:r>
    </w:p>
    <w:p>
      <w:pPr>
        <w:pStyle w:val="Compact"/>
      </w:pPr>
      <w:r>
        <w:t xml:space="preserve">0.967 (0.96 to 0.973; P&lt;.001***)</w:t>
      </w:r>
    </w:p>
    <w:p>
      <w:pPr>
        <w:pStyle w:val="Compact"/>
      </w:pPr>
      <w:r>
        <w:t xml:space="preserve">Polyhydramnios</w:t>
      </w:r>
    </w:p>
    <w:p>
      <w:pPr>
        <w:pStyle w:val="Compact"/>
      </w:pPr>
      <w:r>
        <w:t xml:space="preserve">1.238 (0.851 to 1.801; P=.26)</w:t>
      </w:r>
    </w:p>
    <w:p>
      <w:pPr>
        <w:pStyle w:val="Compact"/>
      </w:pPr>
      <w:r>
        <w:t xml:space="preserve">0.998 (0.989 to 1.006; P&gt;.99)</w:t>
      </w:r>
    </w:p>
    <w:p>
      <w:pPr>
        <w:pStyle w:val="Compact"/>
      </w:pPr>
      <w:r>
        <w:t xml:space="preserve">Pneumonia</w:t>
      </w:r>
    </w:p>
    <w:p>
      <w:pPr>
        <w:pStyle w:val="Compact"/>
      </w:pPr>
      <w:r>
        <w:t xml:space="preserve">0.91 (0.538 to 1.539; P=.73)</w:t>
      </w:r>
    </w:p>
    <w:p>
      <w:pPr>
        <w:pStyle w:val="Compact"/>
      </w:pPr>
      <w:r>
        <w:t xml:space="preserve">1.037 (1.025 to 1.049; P&lt;.001***)</w:t>
      </w:r>
    </w:p>
    <w:p>
      <w:pPr>
        <w:pStyle w:val="Compact"/>
      </w:pPr>
      <w:r>
        <w:t xml:space="preserve">Asthma</w:t>
      </w:r>
    </w:p>
    <w:p>
      <w:pPr>
        <w:pStyle w:val="Compact"/>
      </w:pPr>
      <w:r>
        <w:t xml:space="preserve">0.649 (0.514 to 0.82; P&lt;.001***)</w:t>
      </w:r>
    </w:p>
    <w:p>
      <w:pPr>
        <w:pStyle w:val="Compact"/>
      </w:pPr>
      <w:r>
        <w:t xml:space="preserve">0.971 (0.966 to 0.977; P&lt;.001***)</w:t>
      </w:r>
    </w:p>
    <w:p>
      <w:pPr>
        <w:pStyle w:val="Compact"/>
      </w:pPr>
      <w:r>
        <w:t xml:space="preserve">Low SES</w:t>
      </w:r>
    </w:p>
    <w:p>
      <w:pPr>
        <w:pStyle w:val="Compact"/>
      </w:pPr>
      <w:r>
        <w:t xml:space="preserve">0.837 (0.808 to 0.867; P&lt;.001***)</w:t>
      </w:r>
    </w:p>
    <w:p>
      <w:pPr>
        <w:pStyle w:val="Compact"/>
      </w:pPr>
      <w:r>
        <w:t xml:space="preserve">0.979 (0.978 to 0.98; P&lt;.001***)</w:t>
      </w:r>
    </w:p>
    <w:p>
      <w:pPr>
        <w:pStyle w:val="Compact"/>
      </w:pPr>
      <w:r>
        <w:t xml:space="preserve">Maternal age</w:t>
      </w:r>
    </w:p>
    <w:p>
      <w:pPr>
        <w:pStyle w:val="Compact"/>
      </w:pPr>
      <w:r>
        <w:t xml:space="preserve">0.761 (0.73 to 0.793; P&lt;.001***)</w:t>
      </w:r>
    </w:p>
    <w:p>
      <w:pPr>
        <w:pStyle w:val="Compact"/>
      </w:pPr>
      <w:r>
        <w:t xml:space="preserve">0.969 (0.969 to 0.97; P&lt;.001***)</w:t>
      </w:r>
    </w:p>
    <w:p>
      <w:pPr>
        <w:pStyle w:val="Compact"/>
      </w:pPr>
      <w:r>
        <w:t xml:space="preserve">Influenza</w:t>
      </w:r>
    </w:p>
    <w:p>
      <w:pPr>
        <w:pStyle w:val="Compact"/>
      </w:pPr>
      <w:r>
        <w:t xml:space="preserve">0.957 (0.863 to 1.061; P=.4)</w:t>
      </w:r>
    </w:p>
    <w:p>
      <w:pPr>
        <w:pStyle w:val="Compact"/>
      </w:pPr>
      <w:r>
        <w:t xml:space="preserve">0.995 (0.993 to 0.997; P&lt;.001***)</w:t>
      </w:r>
    </w:p>
    <w:p>
      <w:pPr>
        <w:pStyle w:val="Compact"/>
      </w:pPr>
      <w:r>
        <w:rPr>
          <w:i/>
        </w:rPr>
        <w:t xml:space="preserve"> </w:t>
      </w:r>
      <w:r>
        <w:rPr>
          <w:i/>
        </w:rPr>
        <w:t xml:space="preserve">P&lt;.05;</w:t>
      </w:r>
      <w:r>
        <w:rPr>
          <w:i/>
        </w:rPr>
        <w:t xml:space="preserve"> </w:t>
      </w:r>
      <w:r>
        <w:rPr>
          <w:b/>
          <w:i/>
        </w:rPr>
        <w:t xml:space="preserve"> </w:t>
      </w:r>
      <w:r>
        <w:rPr>
          <w:b/>
          <w:i/>
        </w:rPr>
        <w:t xml:space="preserve">P&lt;.01;</w:t>
      </w:r>
      <w:r>
        <w:rPr>
          <w:b/>
          <w:i/>
        </w:rPr>
        <w:t xml:space="preserve"> </w:t>
      </w:r>
      <w:r>
        <w:t xml:space="preserve"> </w:t>
      </w:r>
      <w:r>
        <w:t xml:space="preserve">P&lt;.001; CI, confidence interval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3E5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E5"/>
    <w:pPr>
      <w:keepNext/>
      <w:keepLines/>
      <w:pBdr>
        <w:bottom w:val="single" w:sz="4" w:space="1" w:color="B24745" w:themeColor="accent1"/>
      </w:pBdr>
      <w:spacing w:before="480" w:after="240"/>
      <w:outlineLvl w:val="0"/>
    </w:pPr>
    <w:rPr>
      <w:rFonts w:asciiTheme="majorHAnsi" w:eastAsiaTheme="majorEastAsia" w:hAnsiTheme="majorHAnsi" w:cstheme="majorBidi"/>
      <w:b/>
      <w:color w:val="853533" w:themeColor="accent1" w:themeShade="BF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3E5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color w:val="853533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3E5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E5"/>
    <w:rPr>
      <w:rFonts w:asciiTheme="majorHAnsi" w:eastAsiaTheme="majorEastAsia" w:hAnsiTheme="majorHAnsi" w:cstheme="majorBidi"/>
      <w:b/>
      <w:color w:val="853533" w:themeColor="accent1" w:themeShade="BF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13E5"/>
    <w:rPr>
      <w:rFonts w:asciiTheme="majorHAnsi" w:eastAsiaTheme="majorEastAsia" w:hAnsiTheme="majorHAnsi" w:cstheme="majorBidi"/>
      <w:b/>
      <w:color w:val="853533" w:themeColor="accent1" w:themeShade="BF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213E5"/>
    <w:rPr>
      <w:rFonts w:asciiTheme="majorHAnsi" w:eastAsiaTheme="majorEastAsia" w:hAnsiTheme="majorHAnsi" w:cstheme="majorBidi"/>
      <w:b/>
      <w:color w:val="404040" w:themeColor="text1" w:themeTint="BF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370C81"/>
    <w:pPr>
      <w:spacing w:after="120"/>
    </w:pPr>
    <w:rPr>
      <w:rFonts w:eastAsia="Arial"/>
      <w:b/>
      <w:bCs/>
      <w:color w:val="404040" w:themeColor="text1" w:themeTint="BF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/>
    </w:pPr>
    <w:rPr>
      <w:rFonts w:asciiTheme="majorHAnsi" w:eastAsiaTheme="majorEastAsia" w:hAnsiTheme="majorHAnsi" w:cstheme="majorBidi"/>
      <w:color w:val="853533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853533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2474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B2474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Tableheading">
    <w:name w:val="Table heading"/>
    <w:basedOn w:val="Normal"/>
    <w:link w:val="TableheadingChar"/>
    <w:qFormat/>
    <w:rsid w:val="00370C81"/>
    <w:rPr>
      <w:rFonts w:eastAsia="Arial"/>
      <w:b/>
    </w:rPr>
  </w:style>
  <w:style w:type="paragraph" w:customStyle="1" w:styleId="Tabletext">
    <w:name w:val="Table text"/>
    <w:basedOn w:val="Tableheading"/>
    <w:link w:val="TabletextChar"/>
    <w:qFormat/>
    <w:rsid w:val="00370C81"/>
    <w:rPr>
      <w:b w:val="0"/>
    </w:rPr>
  </w:style>
  <w:style w:type="character" w:customStyle="1" w:styleId="TableheadingChar">
    <w:name w:val="Table heading Char"/>
    <w:basedOn w:val="DefaultParagraphFont"/>
    <w:link w:val="Tableheading"/>
    <w:rsid w:val="00370C81"/>
    <w:rPr>
      <w:rFonts w:eastAsia="Arial"/>
      <w:b/>
      <w:sz w:val="20"/>
    </w:rPr>
  </w:style>
  <w:style w:type="paragraph" w:customStyle="1" w:styleId="Tablefootnote">
    <w:name w:val="Table footnote"/>
    <w:basedOn w:val="Tabletext"/>
    <w:link w:val="TablefootnoteChar"/>
    <w:qFormat/>
    <w:rsid w:val="00370C81"/>
    <w:rPr>
      <w:sz w:val="16"/>
    </w:rPr>
  </w:style>
  <w:style w:type="character" w:customStyle="1" w:styleId="TabletextChar">
    <w:name w:val="Table text Char"/>
    <w:basedOn w:val="TableheadingChar"/>
    <w:link w:val="Tabletext"/>
    <w:rsid w:val="00370C81"/>
    <w:rPr>
      <w:rFonts w:eastAsia="Arial"/>
      <w:b w:val="0"/>
      <w:sz w:val="20"/>
    </w:rPr>
  </w:style>
  <w:style w:type="paragraph" w:customStyle="1" w:styleId="Figurelegends">
    <w:name w:val="Figure legends"/>
    <w:basedOn w:val="Tablefootnote"/>
    <w:link w:val="FigurelegendsChar"/>
    <w:qFormat/>
    <w:rsid w:val="00370C81"/>
  </w:style>
  <w:style w:type="character" w:customStyle="1" w:styleId="TablefootnoteChar">
    <w:name w:val="Table footnote Char"/>
    <w:basedOn w:val="TabletextChar"/>
    <w:link w:val="Tablefootnote"/>
    <w:rsid w:val="00370C81"/>
    <w:rPr>
      <w:rFonts w:eastAsia="Arial"/>
      <w:b w:val="0"/>
      <w:sz w:val="16"/>
    </w:rPr>
  </w:style>
  <w:style w:type="character" w:customStyle="1" w:styleId="FigurelegendsChar">
    <w:name w:val="Figure legends Char"/>
    <w:basedOn w:val="TablefootnoteChar"/>
    <w:link w:val="Figurelegends"/>
    <w:rsid w:val="00370C81"/>
    <w:rPr>
      <w:rFonts w:eastAsia="Arial"/>
      <w:b w:val="0"/>
      <w:sz w:val="1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hyperlink" Id="rId57" Target="https://predme.app/promti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predme.app/promtime" TargetMode="External" /></Relationships>
</file>

<file path=word/theme/theme1.xml><?xml version="1.0" encoding="utf-8"?>
<a:theme xmlns:a="http://schemas.openxmlformats.org/drawingml/2006/main" name="Office Theme">
  <a:themeElements>
    <a:clrScheme name="JAMA">
      <a:dk1>
        <a:sysClr val="windowText" lastClr="000000"/>
      </a:dk1>
      <a:lt1>
        <a:sysClr val="window" lastClr="FFFFFF"/>
      </a:lt1>
      <a:dk2>
        <a:srgbClr val="39302A"/>
      </a:dk2>
      <a:lt2>
        <a:srgbClr val="80796B"/>
      </a:lt2>
      <a:accent1>
        <a:srgbClr val="B24745"/>
      </a:accent1>
      <a:accent2>
        <a:srgbClr val="DF8F44"/>
      </a:accent2>
      <a:accent3>
        <a:srgbClr val="80796B"/>
      </a:accent3>
      <a:accent4>
        <a:srgbClr val="79AF97"/>
      </a:accent4>
      <a:accent5>
        <a:srgbClr val="374E55"/>
      </a:accent5>
      <a:accent6>
        <a:srgbClr val="DC0000"/>
      </a:accent6>
      <a:hlink>
        <a:srgbClr val="4DBBD5"/>
      </a:hlink>
      <a:folHlink>
        <a:srgbClr val="4DBBD5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Supplement: Prognostication for prelabor rupture of membranes and the time of delivery in nationwide insured women: development, validation, and deployment</dc:title>
  <dc:creator/>
  <cp:keywords/>
  <dcterms:created xsi:type="dcterms:W3CDTF">2021-08-31T08:56:52Z</dcterms:created>
  <dcterms:modified xsi:type="dcterms:W3CDTF">2021-08-31T08:56:52Z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