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Resampled</w:t>
      </w:r>
      <w:r>
        <w:t xml:space="preserve"> </w:t>
      </w:r>
      <w:r>
        <w:t xml:space="preserve">dimensional</w:t>
      </w:r>
      <w:r>
        <w:t xml:space="preserve"> </w:t>
      </w:r>
      <w:r>
        <w:t xml:space="preserve">reduction</w:t>
      </w:r>
      <w:r>
        <w:t xml:space="preserve"> </w:t>
      </w:r>
      <w:r>
        <w:t xml:space="preserve">for</w:t>
      </w:r>
      <w:r>
        <w:t xml:space="preserve"> </w:t>
      </w:r>
      <w:r>
        <w:t xml:space="preserve">feature</w:t>
      </w:r>
      <w:r>
        <w:t xml:space="preserve"> </w:t>
      </w:r>
      <w:r>
        <w:t xml:space="preserve">representation</w:t>
      </w:r>
      <w:r>
        <w:t xml:space="preserve"> </w:t>
      </w:r>
      <w:r>
        <w:t xml:space="preserve">in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data representation into new</w:t>
      </w:r>
      <w:r>
        <w:t xml:space="preserve"> </w:t>
      </w:r>
      <w:r>
        <w:t xml:space="preserve">dimensions by resampling. We would use prelabor rupture of membranes (PROM)</w:t>
      </w:r>
      <w:r>
        <w:t xml:space="preserve"> </w:t>
      </w:r>
      <w:r>
        <w:t xml:space="preserve">with 10-fold cross-validated principal components (PCs), as an example. There</w:t>
      </w:r>
      <w:r>
        <w:t xml:space="preserve"> </w:t>
      </w:r>
      <w:r>
        <w:t xml:space="preserve">are three of six sections corresponding to some sections in the main text,</w:t>
      </w:r>
      <w:r>
        <w:t xml:space="preserve"> </w:t>
      </w:r>
      <w:r>
        <w:t xml:space="preserve">which are respectively Introduction, Software and equipment, and Procedure.</w:t>
      </w:r>
      <w:r>
        <w:t xml:space="preserve"> </w:t>
      </w:r>
      <w:r>
        <w:t xml:space="preserve">Along with this PDF document, we also provide R Markdown (.Rmd) containing the</w:t>
      </w:r>
      <w:r>
        <w:t xml:space="preserve"> </w:t>
      </w:r>
      <w:r>
        <w:t xml:space="preserve">same texts with this document but including the programming codes for the data</w:t>
      </w:r>
      <w:r>
        <w:t xml:space="preserve"> </w:t>
      </w:r>
      <w:r>
        <w:t xml:space="preserve">analysis in-between of these texts. The R Markdown are 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https://github.com/herdiantrisufriyana/resdimer</w:t>
        </w:r>
      </w:hyperlink>
      <w:r>
        <w:t xml:space="preserve">. To get raw data, one need to</w:t>
      </w:r>
      <w:r>
        <w:t xml:space="preserve"> </w:t>
      </w:r>
      <w:r>
        <w:t xml:space="preserve">request an access from the BPJS Kesehatan for their sample dataset published in</w:t>
      </w:r>
      <w:r>
        <w:t xml:space="preserve"> </w:t>
      </w:r>
      <w:r>
        <w:t xml:space="preserve">August 2019. Up to this date, there are three sample datasets they published in</w:t>
      </w:r>
      <w:r>
        <w:t xml:space="preserve"> </w:t>
      </w:r>
      <w:r>
        <w:t xml:space="preserve">February 2019, August 2019, and December 2020. For the first and second</w:t>
      </w:r>
      <w:r>
        <w:t xml:space="preserve"> </w:t>
      </w:r>
      <w:r>
        <w:t xml:space="preserve">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 while</w:t>
      </w:r>
      <w:r>
        <w:t xml:space="preserve"> </w:t>
      </w:r>
      <w:r>
        <w:t xml:space="preserve">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 the</w:t>
      </w:r>
      <w:r>
        <w:t xml:space="preserve"> </w:t>
      </w:r>
      <w:r>
        <w:t xml:space="preserve">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Heading2"/>
      </w:pPr>
      <w:bookmarkStart w:id="26" w:name="programming-environment"/>
      <w:r>
        <w:t xml:space="preserve">Programming environment</w:t>
      </w:r>
      <w:bookmarkEnd w:id="26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123 R packages which are 8 base</w:t>
      </w:r>
      <w:r>
        <w:t xml:space="preserve"> </w:t>
      </w:r>
      <w:r>
        <w:t xml:space="preserve">packages, 29 other packages, and 109 dependencies.</w:t>
      </w:r>
    </w:p>
    <w:p>
      <w:pPr>
        <w:pStyle w:val="Heading1"/>
      </w:pPr>
      <w:bookmarkStart w:id="27" w:name="procedure"/>
      <w:r>
        <w:t xml:space="preserve">Procedure</w:t>
      </w:r>
      <w:bookmarkEnd w:id="27"/>
    </w:p>
    <w:p>
      <w:pPr>
        <w:pStyle w:val="Heading2"/>
      </w:pPr>
      <w:bookmarkStart w:id="28" w:name="step-1"/>
      <w:r>
        <w:t xml:space="preserve">Step 1</w:t>
      </w:r>
      <w:bookmarkEnd w:id="28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factor we used as variable of interests. Then, We computed</w:t>
      </w:r>
      <w:r>
        <w:t xml:space="preserve"> </w:t>
      </w:r>
      <w:r>
        <w:t xml:space="preserve">a number of days for a code, or any code representing a causal factor, in the</w:t>
      </w:r>
      <w:r>
        <w:t xml:space="preserve"> </w:t>
      </w:r>
      <w:r>
        <w:t xml:space="preserve">latest encounter before each visit.</w:t>
      </w:r>
    </w:p>
    <w:p>
      <w:pPr>
        <w:pStyle w:val="BodyText"/>
      </w:pPr>
      <w:r>
        <w:t xml:space="preserve">To ensure PCs defined by derivation set only, we need to conduct data partition</w:t>
      </w:r>
      <w:r>
        <w:t xml:space="preserve"> </w:t>
      </w:r>
      <w:r>
        <w:t xml:space="preserve">before continuing the downstream analysis. Therefore, PCs were not derived by</w:t>
      </w:r>
      <w:r>
        <w:t xml:space="preserve"> </w:t>
      </w:r>
      <w:r>
        <w:t xml:space="preserve">involving validation set.</w:t>
      </w:r>
    </w:p>
    <w:p>
      <w:pPr>
        <w:pStyle w:val="BodyText"/>
      </w:pPr>
      <w:r>
        <w:t xml:space="preserve">Deriving PCs is relatively time-consuming. If one eventually uses this method</w:t>
      </w:r>
      <w:r>
        <w:t xml:space="preserve"> </w:t>
      </w:r>
      <w:r>
        <w:t xml:space="preserve">for predictive modeling, it is efficient to conduct any filtering of predictors</w:t>
      </w:r>
      <w:r>
        <w:t xml:space="preserve"> </w:t>
      </w:r>
      <w:r>
        <w:t xml:space="preserve">and data transformation before derivation of PCs. Therefore, more time can</w:t>
      </w:r>
      <w:r>
        <w:t xml:space="preserve"> </w:t>
      </w:r>
      <w:r>
        <w:t xml:space="preserve">be saved and one may not need to run expensive computation.</w:t>
      </w:r>
    </w:p>
    <w:p>
      <w:pPr>
        <w:pStyle w:val="BodyText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We also determined causal factors as the candidate predictors. These can be an</w:t>
      </w:r>
      <w:r>
        <w:t xml:space="preserve"> </w:t>
      </w:r>
      <w:r>
        <w:t xml:space="preserve">example how to conduct the data transformation on a variable represented by</w:t>
      </w:r>
      <w:r>
        <w:t xml:space="preserve"> </w:t>
      </w:r>
      <w:r>
        <w:t xml:space="preserve">multiple codes of diagnosis and procedure. We combined these factors with other</w:t>
      </w:r>
      <w:r>
        <w:t xml:space="preserve"> </w:t>
      </w:r>
      <w:r>
        <w:t xml:space="preserve">variables that assign a single code.</w:t>
      </w:r>
    </w:p>
    <w:p>
      <w:pPr>
        <w:pStyle w:val="BodyText"/>
      </w:pPr>
      <w:r>
        <w:t xml:space="preserve">We inferred the nationwide historical rates given the day number from a code</w:t>
      </w:r>
      <w:r>
        <w:t xml:space="preserve"> </w:t>
      </w:r>
      <w:r>
        <w:t xml:space="preserve">encounter to current visit for each candidate predictor, as described in the</w:t>
      </w:r>
      <w:r>
        <w:t xml:space="preserve"> </w:t>
      </w:r>
      <w:r>
        <w:t xml:space="preserve">main text. This used irredundant candidate predictors with non-zero variances</w:t>
      </w:r>
      <w:r>
        <w:t xml:space="preserve"> </w:t>
      </w:r>
      <w:r>
        <w:t xml:space="preserve">and no perfect separation in training set only.</w:t>
      </w:r>
    </w:p>
    <w:p>
      <w:pPr>
        <w:pStyle w:val="Heading2"/>
      </w:pPr>
      <w:bookmarkStart w:id="29" w:name="step-2-to-4"/>
      <w:r>
        <w:t xml:space="preserve">Step 2 to 4</w:t>
      </w:r>
      <w:bookmarkEnd w:id="29"/>
    </w:p>
    <w:p>
      <w:pPr>
        <w:pStyle w:val="FirstParagraph"/>
      </w:pPr>
      <w:r>
        <w:t xml:space="preserve">The historical rates of all candidate predictors were fitted to a principal</w:t>
      </w:r>
      <w:r>
        <w:t xml:space="preserve"> </w:t>
      </w:r>
      <w:r>
        <w:t xml:space="preserve">component (PC) model. Only derivation set was used for the model fitting. We</w:t>
      </w:r>
      <w:r>
        <w:t xml:space="preserve"> </w:t>
      </w:r>
      <w:r>
        <w:t xml:space="preserve">applied 10-fold cross validation to estimate weights for all candidate</w:t>
      </w:r>
      <w:r>
        <w:t xml:space="preserve"> </w:t>
      </w:r>
      <w:r>
        <w:t xml:space="preserve">predictors in each PC.</w:t>
      </w:r>
    </w:p>
    <w:p>
      <w:pPr>
        <w:pStyle w:val="Heading2"/>
      </w:pPr>
      <w:bookmarkStart w:id="30" w:name="step-5-to-6"/>
      <w:r>
        <w:t xml:space="preserve">Step 5 to 6</w:t>
      </w:r>
      <w:bookmarkEnd w:id="30"/>
    </w:p>
    <w:p>
      <w:pPr>
        <w:pStyle w:val="FirstParagraph"/>
      </w:pPr>
      <w:r>
        <w:t xml:space="preserve">Variable-wise average and standard deviation and weights of the transformation</w:t>
      </w:r>
      <w:r>
        <w:t xml:space="preserve"> </w:t>
      </w:r>
      <w:r>
        <w:t xml:space="preserve">was estimated for those at population level by averaging values of the</w:t>
      </w:r>
      <w:r>
        <w:t xml:space="preserve"> </w:t>
      </w:r>
      <w:r>
        <w:t xml:space="preserve">respective metrics. These values were inferred from training set only.</w:t>
      </w:r>
      <w:r>
        <w:t xml:space="preserve"> </w:t>
      </w:r>
      <w:r>
        <w:t xml:space="preserve">Then, for either training or validation set, data were standardized and</w:t>
      </w:r>
      <w:r>
        <w:t xml:space="preserve"> </w:t>
      </w:r>
      <w:r>
        <w:t xml:space="preserve">transformed into PCs.</w:t>
      </w:r>
    </w:p>
    <w:p>
      <w:pPr>
        <w:pStyle w:val="Heading2"/>
      </w:pPr>
      <w:bookmarkStart w:id="31" w:name="step-7"/>
      <w:r>
        <w:t xml:space="preserve">Step 7</w:t>
      </w:r>
      <w:bookmarkEnd w:id="31"/>
    </w:p>
    <w:p>
      <w:pPr>
        <w:pStyle w:val="FirstParagraph"/>
      </w:pPr>
      <w:r>
        <w:t xml:space="preserve">We computed the existing number of events per variable (EPV) before being</w:t>
      </w:r>
      <w:r>
        <w:t xml:space="preserve"> </w:t>
      </w:r>
      <w:r>
        <w:t xml:space="preserve">transformed into PCs. Using original predictors, we only get 40 EPV. However,</w:t>
      </w:r>
      <w:r>
        <w:t xml:space="preserve"> </w:t>
      </w:r>
      <w:r>
        <w:t xml:space="preserve">if 50 EPV is needed, then only 75 PC is warranted from 372. The PCs were sorted</w:t>
      </w:r>
      <w:r>
        <w:t xml:space="preserve"> </w:t>
      </w:r>
      <w:r>
        <w:t xml:space="preserve">by proportion of variance explained (PVE) from the highest to the lowest.</w:t>
      </w:r>
      <w:r>
        <w:t xml:space="preserve"> </w:t>
      </w:r>
      <w:r>
        <w:t xml:space="preserve">Eventually, we only selected top PCs in any subset. In this example, we</w:t>
      </w:r>
      <w:r>
        <w:t xml:space="preserve"> </w:t>
      </w:r>
      <w:r>
        <w:t xml:space="preserve">demonstrated selecting PCs in training set.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resdim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resdimer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Resampled dimensional reduction for feature representation in machine learning</dc:title>
  <dc:creator/>
  <cp:keywords/>
  <dcterms:created xsi:type="dcterms:W3CDTF">2021-08-15T09:34:13Z</dcterms:created>
  <dcterms:modified xsi:type="dcterms:W3CDTF">2021-08-15T09:34:13Z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