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Systematic</w:t>
      </w:r>
      <w:r>
        <w:t xml:space="preserve"> </w:t>
      </w:r>
      <w:r>
        <w:t xml:space="preserve">human</w:t>
      </w:r>
      <w:r>
        <w:t xml:space="preserve"> </w:t>
      </w:r>
      <w:r>
        <w:t xml:space="preserve">learning</w:t>
      </w:r>
      <w:r>
        <w:t xml:space="preserve"> </w:t>
      </w:r>
      <w:r>
        <w:t xml:space="preserve">by</w:t>
      </w:r>
      <w:r>
        <w:t xml:space="preserve"> </w:t>
      </w:r>
      <w:r>
        <w:t xml:space="preserve">literature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for</w:t>
      </w:r>
      <w:r>
        <w:t xml:space="preserve"> </w:t>
      </w:r>
      <w:r>
        <w:t xml:space="preserve">feature</w:t>
      </w:r>
      <w:r>
        <w:t xml:space="preserve"> </w:t>
      </w:r>
      <w:r>
        <w:t xml:space="preserve">selection</w:t>
      </w:r>
      <w:r>
        <w:t xml:space="preserve"> </w:t>
      </w:r>
      <w:r>
        <w:t xml:space="preserve">in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this Supplementary Information, we describe details on this study following</w:t>
      </w:r>
      <w:r>
        <w:t xml:space="preserve"> </w:t>
      </w:r>
      <w:r>
        <w:t xml:space="preserve">chronological order of our analysis pipeline on systematic human learning using</w:t>
      </w:r>
      <w:r>
        <w:t xml:space="preserve"> </w:t>
      </w:r>
      <w:r>
        <w:t xml:space="preserve">prelabor rupture of membranes (PROM) as an outcome. There are three of six</w:t>
      </w:r>
      <w:r>
        <w:t xml:space="preserve"> </w:t>
      </w:r>
      <w:r>
        <w:t xml:space="preserve">sections corresponding to some sections in the main text, which are</w:t>
      </w:r>
      <w:r>
        <w:t xml:space="preserve"> </w:t>
      </w:r>
      <w:r>
        <w:t xml:space="preserve">respectively Introduction, Software and equipment, and Procedure. Along with</w:t>
      </w:r>
      <w:r>
        <w:t xml:space="preserve"> </w:t>
      </w:r>
      <w:r>
        <w:t xml:space="preserve">this PDF document, we also provide R Markdown (.Rmd) containing the same texts</w:t>
      </w:r>
      <w:r>
        <w:t xml:space="preserve"> </w:t>
      </w:r>
      <w:r>
        <w:t xml:space="preserve">with this document but including the programming codes for the data analysis</w:t>
      </w:r>
      <w:r>
        <w:t xml:space="preserve"> </w:t>
      </w:r>
      <w:r>
        <w:t xml:space="preserve">in-between of these texts. The R Markdown are available in</w:t>
      </w:r>
      <w:r>
        <w:t xml:space="preserve"> </w:t>
      </w:r>
      <w:hyperlink r:id="rId21">
        <w:r>
          <w:rPr>
            <w:rStyle w:val="Hyperlink"/>
          </w:rPr>
          <w:t xml:space="preserve">https://github.com/herdiantrisufriyana/shl</w:t>
        </w:r>
      </w:hyperlink>
      <w:r>
        <w:t xml:space="preserve">. To get raw data, one need to</w:t>
      </w:r>
      <w:r>
        <w:t xml:space="preserve"> </w:t>
      </w:r>
      <w:r>
        <w:t xml:space="preserve">request an access from the BPJS Kesehatan for their sample dataset published in</w:t>
      </w:r>
      <w:r>
        <w:t xml:space="preserve"> </w:t>
      </w:r>
      <w:r>
        <w:t xml:space="preserve">August 2019. Up to this date, there are three sample datasets they published in</w:t>
      </w:r>
      <w:r>
        <w:t xml:space="preserve"> </w:t>
      </w:r>
      <w:r>
        <w:t xml:space="preserve">February 2019, August 2019, and December 2020. For the first and second</w:t>
      </w:r>
      <w:r>
        <w:t xml:space="preserve"> </w:t>
      </w:r>
      <w:r>
        <w:t xml:space="preserve">versions, a request is applied via</w:t>
      </w:r>
      <w:r>
        <w:t xml:space="preserve"> </w:t>
      </w:r>
      <w:hyperlink r:id="rId22">
        <w:r>
          <w:rPr>
            <w:rStyle w:val="Hyperlink"/>
          </w:rPr>
          <w:t xml:space="preserve">https://e-ppid.bpjs-kesehatan.go.id/</w:t>
        </w:r>
      </w:hyperlink>
      <w:r>
        <w:t xml:space="preserve">, while</w:t>
      </w:r>
      <w:r>
        <w:t xml:space="preserve"> </w:t>
      </w:r>
      <w:r>
        <w:t xml:space="preserve">the third is applied via</w:t>
      </w:r>
      <w:r>
        <w:t xml:space="preserve"> </w:t>
      </w:r>
      <w:hyperlink r:id="rId23">
        <w:r>
          <w:rPr>
            <w:rStyle w:val="Hyperlink"/>
          </w:rPr>
          <w:t xml:space="preserve">https://data.bpjs-kesehatan.go.id</w:t>
        </w:r>
      </w:hyperlink>
      <w:r>
        <w:t xml:space="preserve">. To preprocess the</w:t>
      </w:r>
      <w:r>
        <w:t xml:space="preserve"> </w:t>
      </w:r>
      <w:r>
        <w:t xml:space="preserve">raw data into the input dataset of this study, follow the codes of the R</w:t>
      </w:r>
      <w:r>
        <w:t xml:space="preserve"> </w:t>
      </w:r>
      <w:r>
        <w:t xml:space="preserve">Markdown in</w:t>
      </w:r>
      <w:r>
        <w:t xml:space="preserve"> </w:t>
      </w:r>
      <w:hyperlink r:id="rId24">
        <w:r>
          <w:rPr>
            <w:rStyle w:val="Hyperlink"/>
          </w:rPr>
          <w:t xml:space="preserve">https://github.com/herdiantrisufriyana/medhist/tree/main/preprocessing</w:t>
        </w:r>
      </w:hyperlink>
      <w:r>
        <w:t xml:space="preserve">.</w:t>
      </w:r>
    </w:p>
    <w:p>
      <w:pPr>
        <w:pStyle w:val="Heading1"/>
      </w:pPr>
      <w:bookmarkStart w:id="25" w:name="software-and-equipment"/>
      <w:r>
        <w:t xml:space="preserve">Software and equipment</w:t>
      </w:r>
      <w:bookmarkEnd w:id="25"/>
    </w:p>
    <w:p>
      <w:pPr>
        <w:pStyle w:val="FirstParagraph"/>
      </w:pPr>
      <w:r>
        <w:t xml:space="preserve">We set up a programming environment for this study. Bioconductor was utilized</w:t>
      </w:r>
      <w:r>
        <w:t xml:space="preserve"> </w:t>
      </w:r>
      <w:r>
        <w:t xml:space="preserve">as described in the main text. There were 198 R packages which are 9 base</w:t>
      </w:r>
      <w:r>
        <w:t xml:space="preserve"> </w:t>
      </w:r>
      <w:r>
        <w:t xml:space="preserve">packages, 36 other packages, and 91 dependencies.</w:t>
      </w:r>
    </w:p>
    <w:p>
      <w:pPr>
        <w:pStyle w:val="Heading1"/>
      </w:pPr>
      <w:bookmarkStart w:id="26" w:name="procedure"/>
      <w:r>
        <w:t xml:space="preserve">Procedure</w:t>
      </w:r>
      <w:bookmarkEnd w:id="26"/>
    </w:p>
    <w:p>
      <w:pPr>
        <w:pStyle w:val="FirstParagraph"/>
      </w:pPr>
      <w:r>
        <w:t xml:space="preserve">Here we applied systematic human learning, as described in the main text, to</w:t>
      </w:r>
      <w:r>
        <w:t xml:space="preserve"> </w:t>
      </w:r>
      <w:r>
        <w:t xml:space="preserve">determine what were causal factors that can be inferred from our dataset.</w:t>
      </w:r>
    </w:p>
    <w:p>
      <w:pPr>
        <w:pStyle w:val="Heading2"/>
      </w:pPr>
      <w:bookmarkStart w:id="27" w:name="step-1"/>
      <w:r>
        <w:t xml:space="preserve">Step 1</w:t>
      </w:r>
      <w:bookmarkEnd w:id="27"/>
    </w:p>
    <w:p>
      <w:pPr>
        <w:pStyle w:val="FirstParagraph"/>
      </w:pPr>
      <w:r>
        <w:t xml:space="preserve">We chose PubMed for a reason described in the main text. There is no source</w:t>
      </w:r>
      <w:r>
        <w:t xml:space="preserve"> </w:t>
      </w:r>
      <w:r>
        <w:t xml:space="preserve">code for this step. One can choose &gt;1 literature databases.</w:t>
      </w:r>
    </w:p>
    <w:p>
      <w:pPr>
        <w:pStyle w:val="Heading2"/>
      </w:pPr>
      <w:bookmarkStart w:id="28" w:name="step-2"/>
      <w:r>
        <w:t xml:space="preserve">Step 2</w:t>
      </w:r>
      <w:bookmarkEnd w:id="28"/>
    </w:p>
    <w:p>
      <w:pPr>
        <w:pStyle w:val="FirstParagraph"/>
      </w:pPr>
      <w:r>
        <w:t xml:space="preserve">Keywords</w:t>
      </w:r>
      <w:r>
        <w:t xml:space="preserve"> </w:t>
      </w:r>
      <w:r>
        <w:t xml:space="preserve">‘</w:t>
      </w:r>
      <w:r>
        <w:t xml:space="preserve">“</w:t>
      </w:r>
      <w:r>
        <w:t xml:space="preserve">Fetal Membranes, Premature Rupture</w:t>
      </w:r>
      <w:r>
        <w:t xml:space="preserve">”</w:t>
      </w:r>
      <w:r>
        <w:t xml:space="preserve">[Mesh]</w:t>
      </w:r>
      <w:r>
        <w:t xml:space="preserve">’</w:t>
      </w:r>
      <w:r>
        <w:t xml:space="preserve"> </w:t>
      </w:r>
      <w:r>
        <w:t xml:space="preserve">were used to find a</w:t>
      </w:r>
      <w:r>
        <w:t xml:space="preserve"> </w:t>
      </w:r>
      <w:r>
        <w:t xml:space="preserve">document from an authoritative institution. After reading that document, we</w:t>
      </w:r>
      <w:r>
        <w:t xml:space="preserve"> </w:t>
      </w:r>
      <w:r>
        <w:t xml:space="preserve">wrote down the variable as a dataframe in this source code.</w:t>
      </w:r>
    </w:p>
    <w:p>
      <w:pPr>
        <w:pStyle w:val="Heading2"/>
      </w:pPr>
      <w:bookmarkStart w:id="29" w:name="step-3-to-5"/>
      <w:r>
        <w:t xml:space="preserve">Step 3 to 5</w:t>
      </w:r>
      <w:bookmarkEnd w:id="29"/>
    </w:p>
    <w:p>
      <w:pPr>
        <w:pStyle w:val="FirstParagraph"/>
      </w:pPr>
      <w:r>
        <w:t xml:space="preserve">These steps are iteratives. During the these steps, we took note in this source</w:t>
      </w:r>
      <w:r>
        <w:t xml:space="preserve"> </w:t>
      </w:r>
      <w:r>
        <w:t xml:space="preserve">code as a dataframe. We would process this dataframe to automatically construct</w:t>
      </w:r>
      <w:r>
        <w:t xml:space="preserve"> </w:t>
      </w:r>
      <w:r>
        <w:t xml:space="preserve">a causal diagram in the next section.</w:t>
      </w:r>
    </w:p>
    <w:p>
      <w:pPr>
        <w:pStyle w:val="Heading2"/>
      </w:pPr>
      <w:bookmarkStart w:id="30" w:name="step-6"/>
      <w:r>
        <w:t xml:space="preserve">Step 6</w:t>
      </w:r>
      <w:bookmarkEnd w:id="30"/>
    </w:p>
    <w:p>
      <w:pPr>
        <w:pStyle w:val="FirstParagraph"/>
      </w:pPr>
      <w:r>
        <w:t xml:space="preserve">In this step, we made a common-cause table for each causal factor. A unique set</w:t>
      </w:r>
      <w:r>
        <w:t xml:space="preserve"> </w:t>
      </w:r>
      <w:r>
        <w:t xml:space="preserve">of the first-level factors were identified from the common-cause table. Then,</w:t>
      </w:r>
      <w:r>
        <w:t xml:space="preserve"> </w:t>
      </w:r>
      <w:r>
        <w:t xml:space="preserve">we created tables of baseline edges and nodes before considering available data.</w:t>
      </w:r>
    </w:p>
    <w:p>
      <w:pPr>
        <w:pStyle w:val="Heading2"/>
      </w:pPr>
      <w:bookmarkStart w:id="31" w:name="step-7"/>
      <w:r>
        <w:t xml:space="preserve">Step 7</w:t>
      </w:r>
      <w:bookmarkEnd w:id="31"/>
    </w:p>
    <w:p>
      <w:pPr>
        <w:pStyle w:val="FirstParagraph"/>
      </w:pPr>
      <w:r>
        <w:t xml:space="preserve">The data source was a sample dataset of the whole health insurance database</w:t>
      </w:r>
      <w:r>
        <w:t xml:space="preserve"> </w:t>
      </w:r>
      <w:r>
        <w:t xml:space="preserve">during 2015 and 2016 by cross-sectional design. Stratified random sampling was</w:t>
      </w:r>
      <w:r>
        <w:t xml:space="preserve"> </w:t>
      </w:r>
      <w:r>
        <w:t xml:space="preserve">applied. The strata variable was constructed from 66,072 combinations of all</w:t>
      </w:r>
      <w:r>
        <w:t xml:space="preserve"> </w:t>
      </w:r>
      <w:r>
        <w:t xml:space="preserve">the healthcare facilities (</w:t>
      </w:r>
      <w:r>
        <w:rPr>
          <w:i/>
        </w:rPr>
        <w:t xml:space="preserve">n</w:t>
      </w:r>
      <w:r>
        <w:t xml:space="preserve">=22,024) and category of family, which were: (1)</w:t>
      </w:r>
      <w:r>
        <w:t xml:space="preserve"> </w:t>
      </w:r>
      <w:r>
        <w:t xml:space="preserve">a family of which members never visit the healthcare facilities; (2) a family</w:t>
      </w:r>
      <w:r>
        <w:t xml:space="preserve"> </w:t>
      </w:r>
      <w:r>
        <w:t xml:space="preserve">of which members have visited only primary care; and (3) a family of which</w:t>
      </w:r>
      <w:r>
        <w:t xml:space="preserve"> </w:t>
      </w:r>
      <w:r>
        <w:t xml:space="preserve">members have visited all levels of care. For each stratum, one to ten families</w:t>
      </w:r>
      <w:r>
        <w:t xml:space="preserve"> </w:t>
      </w:r>
      <w:r>
        <w:t xml:space="preserve">were randomly included. This means only 10 families were randomly included if</w:t>
      </w:r>
      <w:r>
        <w:t xml:space="preserve"> </w:t>
      </w:r>
      <w:r>
        <w:t xml:space="preserve">more than that number, resulting 586,969 families with 1,697,452 subjects.</w:t>
      </w:r>
    </w:p>
    <w:p>
      <w:pPr>
        <w:pStyle w:val="BodyText"/>
      </w:pPr>
      <w:r>
        <w:t xml:space="preserve">We conducted non-essential data cleaning, e.g. revising the inconsistent name</w:t>
      </w:r>
      <w:r>
        <w:t xml:space="preserve"> </w:t>
      </w:r>
      <w:r>
        <w:t xml:space="preserve">of states, estimating the healthcare identifiers,</w:t>
      </w:r>
      <w:r>
        <w:t xml:space="preserve"> </w:t>
      </w:r>
      <w:r>
        <w:rPr>
          <w:i/>
        </w:rPr>
        <w:t xml:space="preserve">et cetera</w:t>
      </w:r>
      <w:r>
        <w:t xml:space="preserve">. These procedures</w:t>
      </w:r>
      <w:r>
        <w:t xml:space="preserve"> </w:t>
      </w:r>
      <w:r>
        <w:t xml:space="preserve">were parts of our R package of medhist 0.1.0. No sampling was conducted.</w:t>
      </w:r>
    </w:p>
    <w:p>
      <w:pPr>
        <w:pStyle w:val="BodyText"/>
      </w:pPr>
      <w:r>
        <w:t xml:space="preserve">After the non-essential data cleaning, we applied retrospective cohort design,</w:t>
      </w:r>
      <w:r>
        <w:t xml:space="preserve"> </w:t>
      </w:r>
      <w:r>
        <w:t xml:space="preserve">as described in the main text. For pregnant women, we use several codes for</w:t>
      </w:r>
      <w:r>
        <w:t xml:space="preserve"> </w:t>
      </w:r>
      <w:r>
        <w:t xml:space="preserve">determining delivery or immediately after delivery care. The 220 codes are</w:t>
      </w:r>
      <w:r>
        <w:t xml:space="preserve"> </w:t>
      </w:r>
      <w:r>
        <w:t xml:space="preserve">described.</w:t>
      </w:r>
    </w:p>
    <w:p>
      <w:pPr>
        <w:pStyle w:val="BodyText"/>
      </w:pPr>
      <w:r>
        <w:t xml:space="preserve">We conducted data preprocessing after defining the target population and</w:t>
      </w:r>
      <w:r>
        <w:t xml:space="preserve"> </w:t>
      </w:r>
      <w:r>
        <w:t xml:space="preserve">sampling it retrospectively. Demographics were included as categorical</w:t>
      </w:r>
      <w:r>
        <w:t xml:space="preserve"> </w:t>
      </w:r>
      <w:r>
        <w:t xml:space="preserve">variables for causal inference. We also computed a number of days for a code in</w:t>
      </w:r>
      <w:r>
        <w:t xml:space="preserve"> </w:t>
      </w:r>
      <w:r>
        <w:t xml:space="preserve">the latest encounter before the time of prediction, including those by codes as</w:t>
      </w:r>
      <w:r>
        <w:t xml:space="preserve"> </w:t>
      </w:r>
      <w:r>
        <w:t xml:space="preserve">a causal factor.</w:t>
      </w:r>
    </w:p>
    <w:p>
      <w:pPr>
        <w:pStyle w:val="BodyText"/>
      </w:pPr>
      <w:r>
        <w:t xml:space="preserve">We also determined the diagnosis and procedure codes that represented each</w:t>
      </w:r>
      <w:r>
        <w:t xml:space="preserve"> </w:t>
      </w:r>
      <w:r>
        <w:t xml:space="preserve">causal factor. In this causal diagram, a measured causal factor was depicted,</w:t>
      </w:r>
      <w:r>
        <w:t xml:space="preserve"> </w:t>
      </w:r>
      <w:r>
        <w:t xml:space="preserve">as described in the main text. Eventually, we recoded any code assigned to a</w:t>
      </w:r>
      <w:r>
        <w:t xml:space="preserve"> </w:t>
      </w:r>
      <w:r>
        <w:t xml:space="preserve">causal factor into the name of that factor.</w:t>
      </w:r>
    </w:p>
    <w:p>
      <w:pPr>
        <w:pStyle w:val="BodyText"/>
      </w:pPr>
      <w:r>
        <w:t xml:space="preserve">We need to ensure all inference using training set only. Data partition was</w:t>
      </w:r>
      <w:r>
        <w:t xml:space="preserve"> </w:t>
      </w:r>
      <w:r>
        <w:t xml:space="preserve">conducted before continuing the downstream analysis. Therefore, causal</w:t>
      </w:r>
      <w:r>
        <w:t xml:space="preserve"> </w:t>
      </w:r>
      <w:r>
        <w:t xml:space="preserve">inference did not use validation set.</w:t>
      </w:r>
    </w:p>
    <w:p>
      <w:pPr>
        <w:pStyle w:val="Heading2"/>
      </w:pPr>
      <w:bookmarkStart w:id="32" w:name="step-8-to-9"/>
      <w:r>
        <w:t xml:space="preserve">Step 8 to 9</w:t>
      </w:r>
      <w:bookmarkEnd w:id="32"/>
    </w:p>
    <w:p>
      <w:pPr>
        <w:pStyle w:val="FirstParagraph"/>
      </w:pPr>
      <w:r>
        <w:t xml:space="preserve">We conducted causal inference as described in the main text. This will help us</w:t>
      </w:r>
      <w:r>
        <w:t xml:space="preserve"> </w:t>
      </w:r>
      <w:r>
        <w:t xml:space="preserve">to include only the confirmed causal factors as candidate predictors before</w:t>
      </w:r>
      <w:r>
        <w:t xml:space="preserve"> </w:t>
      </w:r>
      <w:r>
        <w:t xml:space="preserve">conducting pre-selection of those candidates to fulfill quality control of</w:t>
      </w:r>
      <w:r>
        <w:t xml:space="preserve"> </w:t>
      </w:r>
      <w:r>
        <w:t xml:space="preserve">predictors in the main text. We included causal factors of which the data were</w:t>
      </w:r>
      <w:r>
        <w:t xml:space="preserve"> </w:t>
      </w:r>
      <w:r>
        <w:t xml:space="preserve">available in training set. Details on this information and ICD-10 codes or</w:t>
      </w:r>
      <w:r>
        <w:t xml:space="preserve"> </w:t>
      </w:r>
      <w:r>
        <w:t xml:space="preserve">demographical variables for each candidate of causal factors are shown in the</w:t>
      </w:r>
      <w:r>
        <w:t xml:space="preserve"> </w:t>
      </w:r>
      <w:r>
        <w:t xml:space="preserve">next section.</w:t>
      </w:r>
    </w:p>
    <w:p>
      <w:pPr>
        <w:pStyle w:val="Heading2"/>
      </w:pPr>
      <w:bookmarkStart w:id="33" w:name="step-10"/>
      <w:r>
        <w:t xml:space="preserve">Step 10</w:t>
      </w:r>
      <w:bookmarkEnd w:id="33"/>
    </w:p>
    <w:p>
      <w:pPr>
        <w:pStyle w:val="FirstParagraph"/>
      </w:pPr>
      <w:r>
        <w:t xml:space="preserve">All candidate predictors, including non-demographical causal factors, have</w:t>
      </w:r>
      <w:r>
        <w:t xml:space="preserve"> </w:t>
      </w:r>
      <w:r>
        <w:t xml:space="preserve">non-zero variances. There were 460 candidate predictors fulfilling this</w:t>
      </w:r>
      <w:r>
        <w:t xml:space="preserve"> </w:t>
      </w:r>
      <w:r>
        <w:t xml:space="preserve">criterion. We also showed in the same table that there are 426 candidate</w:t>
      </w:r>
      <w:r>
        <w:t xml:space="preserve"> </w:t>
      </w:r>
      <w:r>
        <w:t xml:space="preserve">predictors without perfect separation.</w:t>
      </w:r>
    </w:p>
    <w:p>
      <w:pPr>
        <w:pStyle w:val="BodyText"/>
      </w:pPr>
      <w:r>
        <w:t xml:space="preserve">We excluded the diagnosis/procedure codes that may leak the outcome</w:t>
      </w:r>
      <w:r>
        <w:t xml:space="preserve"> </w:t>
      </w:r>
      <w:r>
        <w:t xml:space="preserve">information. We only used the existing codes in the training set to determine</w:t>
      </w:r>
      <w:r>
        <w:t xml:space="preserve"> </w:t>
      </w:r>
      <w:r>
        <w:t xml:space="preserve">outcome-leaker codes based on the previous codes for determining delivery or</w:t>
      </w:r>
      <w:r>
        <w:t xml:space="preserve"> </w:t>
      </w:r>
      <w:r>
        <w:t xml:space="preserve">immediately after delivery care. There were 54 codes that may leak the outcome.</w:t>
      </w:r>
      <w:r>
        <w:t xml:space="preserve"> </w:t>
      </w:r>
      <w:r>
        <w:t xml:space="preserve">All of them were also irredundant.</w:t>
      </w:r>
    </w:p>
    <w:p>
      <w:pPr>
        <w:pStyle w:val="BodyText"/>
      </w:pPr>
      <w:r>
        <w:t xml:space="preserve">By systematic human learning and causal inference using available data, we also</w:t>
      </w:r>
      <w:r>
        <w:t xml:space="preserve"> </w:t>
      </w:r>
      <w:r>
        <w:t xml:space="preserve">determined causal factors as the candidate predictors. There were 27 first- and</w:t>
      </w:r>
      <w:r>
        <w:t xml:space="preserve"> </w:t>
      </w:r>
      <w:r>
        <w:t xml:space="preserve">10 second-level factors of PROM. Only data for 12 out of 27 causal factors were</w:t>
      </w:r>
      <w:r>
        <w:t xml:space="preserve"> </w:t>
      </w:r>
      <w:r>
        <w:t xml:space="preserve">available in training set. Either the diagnosis/procedure codes, or</w:t>
      </w:r>
      <w:r>
        <w:t xml:space="preserve"> </w:t>
      </w:r>
      <w:r>
        <w:t xml:space="preserve">demographical variables (not included as candidate predictors), for causal</w:t>
      </w:r>
      <w:r>
        <w:t xml:space="preserve"> </w:t>
      </w:r>
      <w:r>
        <w:t xml:space="preserve">factors are also described.</w:t>
      </w:r>
    </w:p>
    <w:p>
      <w:pPr>
        <w:pStyle w:val="BodyText"/>
      </w:pPr>
      <w:r>
        <w:t xml:space="preserve">Features were extracted on irredundant candidate predictors with non-zero</w:t>
      </w:r>
      <w:r>
        <w:t xml:space="preserve"> </w:t>
      </w:r>
      <w:r>
        <w:t xml:space="preserve">variances and no perfect separation in training set only. The candidate</w:t>
      </w:r>
      <w:r>
        <w:t xml:space="preserve"> </w:t>
      </w:r>
      <w:r>
        <w:t xml:space="preserve">predictors were transformed into binaries in all data partitions.</w:t>
      </w:r>
    </w:p>
    <w:p>
      <w:pPr>
        <w:pStyle w:val="BodyText"/>
      </w:pPr>
      <w:r>
        <w:t xml:space="preserve">Previous data partition had not held out instances for calibration yet. This</w:t>
      </w:r>
      <w:r>
        <w:t xml:space="preserve"> </w:t>
      </w:r>
      <w:r>
        <w:t xml:space="preserve">took 80% of training set. We also gave different weights for event and nonevent</w:t>
      </w:r>
      <w:r>
        <w:t xml:space="preserve"> </w:t>
      </w:r>
      <w:r>
        <w:t xml:space="preserve">by including censored outcome For hyperparameter tuning, we applied 5-fold</w:t>
      </w:r>
      <w:r>
        <w:t xml:space="preserve"> </w:t>
      </w:r>
      <w:r>
        <w:t xml:space="preserve">cross validation, instead of 10-fold as applied for PC modeling. Meanwhile, the</w:t>
      </w:r>
      <w:r>
        <w:t xml:space="preserve"> </w:t>
      </w:r>
      <w:r>
        <w:t xml:space="preserve">final training and calibration for each model were conducted by bootstrapping</w:t>
      </w:r>
      <w:r>
        <w:t xml:space="preserve"> </w:t>
      </w:r>
      <w:r>
        <w:t xml:space="preserve">for 30 times. The same resampling methods were applied for both classification</w:t>
      </w:r>
      <w:r>
        <w:t xml:space="preserve"> </w:t>
      </w:r>
      <w:r>
        <w:t xml:space="preserve">and estimation tasks. We applied the tuning grids and the training</w:t>
      </w:r>
      <w:r>
        <w:t xml:space="preserve"> </w:t>
      </w:r>
      <w:r>
        <w:t xml:space="preserve">configurations.</w:t>
      </w:r>
    </w:p>
    <w:sectPr w:rsidR="007C0CA7" w:rsidSect="00705E64">
      <w:pgSz w:w="11906" w:h="16838" w:code="9"/>
      <w:pgMar w:top="850" w:right="850" w:bottom="850" w:left="850" w:header="0" w:footer="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B9A49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7C9"/>
    <w:pPr>
      <w:spacing w:after="0"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7C9"/>
    <w:pPr>
      <w:keepNext/>
      <w:keepLines/>
      <w:pBdr>
        <w:bottom w:val="single" w:sz="4" w:space="1" w:color="E64B35" w:themeColor="accent1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C9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7C9"/>
    <w:pPr>
      <w:keepNext/>
      <w:keepLines/>
      <w:spacing w:before="480" w:after="2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C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C9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C9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C9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C9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C9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37C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C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C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C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C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C637C9"/>
    <w:pPr>
      <w:spacing w:after="120"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37C9"/>
    <w:pPr>
      <w:spacing w:after="480" w:line="240" w:lineRule="auto"/>
    </w:pPr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637C9"/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37C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637C9"/>
    <w:rPr>
      <w:b/>
      <w:bCs/>
    </w:rPr>
  </w:style>
  <w:style w:type="character" w:styleId="Emphasis">
    <w:name w:val="Emphasis"/>
    <w:basedOn w:val="DefaultParagraphFont"/>
    <w:uiPriority w:val="20"/>
    <w:qFormat/>
    <w:rsid w:val="00C637C9"/>
    <w:rPr>
      <w:i/>
      <w:iCs/>
    </w:rPr>
  </w:style>
  <w:style w:type="paragraph" w:styleId="NoSpacing">
    <w:name w:val="No Spacing"/>
    <w:uiPriority w:val="1"/>
    <w:qFormat/>
    <w:rsid w:val="00C637C9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637C9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C637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C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C9"/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7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7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637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37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7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A7"/>
    <w:rPr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A7"/>
    <w:rPr>
      <w:sz w:val="24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7C0CA7"/>
  </w:style>
  <w:style w:type="paragraph" w:customStyle="1" w:styleId="EndNoteBibliographyTitle">
    <w:name w:val="EndNote Bibliography Title"/>
    <w:basedOn w:val="Normal"/>
    <w:link w:val="EndNoteBibliographyTitleChar"/>
    <w:rsid w:val="007C0CA7"/>
    <w:pPr>
      <w:jc w:val="center"/>
    </w:pPr>
    <w:rPr>
      <w:rFonts w:ascii="Helvetica" w:hAnsi="Helvetica" w:cs="Helvetica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0CA7"/>
    <w:rPr>
      <w:rFonts w:ascii="Helvetica" w:hAnsi="Helvetica" w:cs="Helvetica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7C0CA7"/>
    <w:pPr>
      <w:spacing w:line="240" w:lineRule="auto"/>
    </w:pPr>
    <w:rPr>
      <w:rFonts w:ascii="Helvetica" w:hAnsi="Helvetica" w:cs="Helvetica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7C0CA7"/>
    <w:rPr>
      <w:rFonts w:ascii="Helvetica" w:hAnsi="Helvetica" w:cs="Helvetica"/>
      <w:noProof/>
      <w:sz w:val="22"/>
    </w:rPr>
  </w:style>
  <w:style w:type="table" w:styleId="TableGrid">
    <w:name w:val="Table Grid"/>
    <w:basedOn w:val="TableNormal"/>
    <w:uiPriority w:val="39"/>
    <w:rsid w:val="007C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0CA7"/>
    <w:rPr>
      <w:color w:val="808080"/>
    </w:rPr>
  </w:style>
  <w:style w:type="table" w:styleId="ListTable1Light">
    <w:name w:val="List Table 1 Light"/>
    <w:basedOn w:val="TableNormal"/>
    <w:uiPriority w:val="46"/>
    <w:rsid w:val="007C0C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C0C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C0C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6042E"/>
    <w:rPr>
      <w:color w:val="4DBBD5" w:themeColor="hyperlink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4" Target="https://github.com/herdiantrisufriyana/medhist/tree/main/preprocessing" TargetMode="External" /><Relationship Type="http://schemas.openxmlformats.org/officeDocument/2006/relationships/hyperlink" Id="rId21" Target="https://github.com/herdiantrisufriyana/sh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4" Target="https://github.com/herdiantrisufriyana/medhist/tree/main/preprocessing" TargetMode="External" /><Relationship Type="http://schemas.openxmlformats.org/officeDocument/2006/relationships/hyperlink" Id="rId21" Target="https://github.com/herdiantrisufriyana/shl" TargetMode="External" /></Relationships>
</file>

<file path=word/theme/theme1.xml><?xml version="1.0" encoding="utf-8"?>
<a:theme xmlns:a="http://schemas.openxmlformats.org/drawingml/2006/main" name="Office Theme">
  <a:themeElements>
    <a:clrScheme name="NPG">
      <a:dk1>
        <a:sysClr val="windowText" lastClr="000000"/>
      </a:dk1>
      <a:lt1>
        <a:sysClr val="window" lastClr="FFFFFF"/>
      </a:lt1>
      <a:dk2>
        <a:srgbClr val="39302A"/>
      </a:dk2>
      <a:lt2>
        <a:srgbClr val="B09C85"/>
      </a:lt2>
      <a:accent1>
        <a:srgbClr val="E64B35"/>
      </a:accent1>
      <a:accent2>
        <a:srgbClr val="F39B7F"/>
      </a:accent2>
      <a:accent3>
        <a:srgbClr val="B09C85"/>
      </a:accent3>
      <a:accent4>
        <a:srgbClr val="00A087"/>
      </a:accent4>
      <a:accent5>
        <a:srgbClr val="3C5488"/>
      </a:accent5>
      <a:accent6>
        <a:srgbClr val="DC0000"/>
      </a:accent6>
      <a:hlink>
        <a:srgbClr val="4DBBD5"/>
      </a:hlink>
      <a:folHlink>
        <a:srgbClr val="4DBBD5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Systematic human learning by literature and data mining for feature selection in machine learning</dc:title>
  <dc:creator/>
  <cp:keywords/>
  <dcterms:created xsi:type="dcterms:W3CDTF">2021-08-14T08:39:47Z</dcterms:created>
  <dcterms:modified xsi:type="dcterms:W3CDTF">2021-08-14T08:39:47Z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output">
    <vt:lpwstr/>
  </property>
</Properties>
</file>