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 w:line="300" w:lineRule="auto"/>
        <w:jc w:val="center"/>
      </w:pPr>
      <w:r>
        <w:rPr>
          <w:rFonts w:ascii="Noto Sans SC" w:hAnsi="Noto Sans SC" w:eastAsia="Noto Sans SC"/>
          <w:sz w:val="36"/>
          <w:szCs w:val="36"/>
          <w:color w:val="000000"/>
        </w:rPr>
        <w:t xml:space="preserve">加密货币自动交易资料调研报告</w:t>
      </w:r>
    </w:p>
    <w:p>
      <w:pPr>
        <w:pStyle w:val="Subtitle"/>
        <w:spacing w:before="0" w:after="260" w:line="300" w:lineRule="auto"/>
        <w:jc w:val="center"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开源项目、热门策略、交易所 API 与工程落地</w:t>
      </w:r>
    </w:p>
    <w:p>
      <w:pPr>
        <w:pStyle w:val="Normal"/>
        <w:spacing w:before="0" w:after="40" w:line="300" w:lineRule="auto"/>
        <w:jc w:val="center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研究日期：2026年9月8日</w:t>
      </w:r>
    </w:p>
    <w:p>
      <w:pPr>
        <w:pStyle w:val="Normal"/>
        <w:spacing w:before="0" w:after="260" w:line="300" w:lineRule="auto"/>
        <w:jc w:val="center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适用对象：准备搭建或迭代加密货币自动交易系统的产品、量化和工程团队</w:t>
      </w:r>
    </w:p>
    <w:p>
      <w:pPr>
        <w:pStyle w:val="Normal"/>
        <w:spacing w:before="0" w:after="180" w:line="32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本报告基于公开官方文档、项目仓库和交易所 API 文档整理，重点回答四个问题：可以选哪些开源基础设施，常见策略如何实现，交易所 API 如何接入，以及如何把回测、风控和实盘执行连成可验证的工程系统。报告不构成投资建议，也不对任何策略的盈利能力作保证。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0"/>
        <w:gridCol w:w="8100"/>
      </w:tblGrid>
      <w:tr>
        <w:trPr>
          <w:tblHeader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结论</w:t>
            </w:r>
          </w:p>
        </w:tc>
        <w:tc>
          <w:tcPr>
            <w:tcW w:w="8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建议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优先级</w:t>
            </w:r>
          </w:p>
        </w:tc>
        <w:tc>
          <w:tcPr>
            <w:tcW w:w="8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先把数据、风控、订单状态机和审计做成确定性底座，再叠加策略与模型。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开源选型</w:t>
            </w:r>
          </w:p>
        </w:tc>
        <w:tc>
          <w:tcPr>
            <w:tcW w:w="8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单策略研究可从 Freqtrade 或 Jesse 入手；做做市、套利和多连接器时重点看 Hummingbot；需要事件驱动、低延迟和多资产统一抽象时看 NautilusTrader 或 LEAN。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API 方案</w:t>
            </w:r>
          </w:p>
        </w:tc>
        <w:tc>
          <w:tcPr>
            <w:tcW w:w="8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REST 用于下单、查询和补偿；WebSocket 用于行情、订单和账户事件；任何网络超时都必须通过 clientOrderId、订单查询和幂等逻辑恢复。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验证方法</w:t>
            </w:r>
          </w:p>
        </w:tc>
        <w:tc>
          <w:tcPr>
            <w:tcW w:w="8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回测必须纳入手续费、滑点、资金费率、延迟、最小下单量和强平规则，并用 walk-forward、纸面盘和测试网逐级验证。</w:t>
            </w:r>
          </w:p>
        </w:tc>
      </w:tr>
    </w:tbl>
    <w:p>
      <w:r>
        <w:br w:type="page"/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一 研究范围与术语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自动交易系统不是单一的策略脚本，而是由市场数据、信号生成、组合与风险、订单执行、状态持久化和监控告警组成的闭环。策略产生的是意图，风险层决定意图是否可执行，执行层负责把批准后的订单变成可追踪的交易状态。</w:t>
      </w:r>
    </w:p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关键术语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4700"/>
        <w:gridCol w:w="3000"/>
      </w:tblGrid>
      <w:tr>
        <w:trPr>
          <w:tblHeader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术语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含义</w:t>
            </w:r>
          </w:p>
        </w:tc>
        <w:tc>
          <w:tcPr>
            <w:tcW w:w="3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工程关注点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Spot / Futures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现货与合约市场。合约通常涉及杠杆、保证金、资金费率和强平。</w:t>
            </w:r>
          </w:p>
        </w:tc>
        <w:tc>
          <w:tcPr>
            <w:tcW w:w="3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账户模式、保证金模式、仓位模式、标记价格与强平价格必须进入风控。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Maker / Taker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挂单提供流动性或主动吃单。</w:t>
            </w:r>
          </w:p>
        </w:tc>
        <w:tc>
          <w:tcPr>
            <w:tcW w:w="3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费率、成交概率、排队位置和撤单频率会改变策略的真实收益。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Dry-run / Paper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用实时行情模拟下单，不接触真实资金。</w:t>
            </w:r>
          </w:p>
        </w:tc>
        <w:tc>
          <w:tcPr>
            <w:tcW w:w="3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要模拟延迟、成交概率、部分成交和拒单，不能只记录信号。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Client Order ID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由客户端生成的订单标识。</w:t>
            </w:r>
          </w:p>
        </w:tc>
        <w:tc>
          <w:tcPr>
            <w:tcW w:w="3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用于幂等、超时恢复、审计和跨 REST/WebSocket 的订单关联。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Walk-forward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滚动训练或参数选择，再在后续未见数据上验证。</w:t>
            </w:r>
          </w:p>
        </w:tc>
        <w:tc>
          <w:tcPr>
            <w:tcW w:w="3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用于发现过拟合，不能替代真实交易环境验证。</w:t>
            </w:r>
          </w:p>
        </w:tc>
      </w:tr>
    </w:tbl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二 开源项目与基础设施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下表按定位而不是按 GitHub 热度排序。项目功能、连接器数量、许可证和活跃度会变化，正式选型前应重新核对仓库和文档。</w:t>
      </w:r>
    </w:p>
    <w:tbl>
      <w:tblPr>
        <w:tblW w:w="10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100"/>
        <w:gridCol w:w="4000"/>
        <w:gridCol w:w="2300"/>
      </w:tblGrid>
      <w:tr>
        <w:trPr>
          <w:tblHeader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项目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定位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主要能力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适合场景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Freqtrade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Python 策略机器人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现货与合约策略、回测、Hyperopt、dry-run、Web API、策略模板和 FreqAI 扩展。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快速验证技术指标、规则策略和中低频自动交易。[S1][S2]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Hummingbot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连接器与做市框架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CEX/DEX 连接器、纯做市、跨交易所做市、套利、网格和策略脚本。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做市、跨市场价差、流动性提供和多连接器交易。[S3][S4]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CCXT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统一交易所 API 库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统一 REST 市场数据、账户和订单接口；通过统一参数处理不同交易所差异。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快速接入多个中心化交易所，适合作为适配层或原型底座。[S5]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Jesse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Python 研究与交易框架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策略开发、回测、指标、参数优化和实盘交易工作流。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偏研究型团队和希望使用 Python 统一开发体验的团队。[S6]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NautilusTrader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事件驱动交易平台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事件驱动架构、回测与实盘统一、订单簿数据、交易适配器和高性能组件。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需要统一回测/实盘语义、低延迟或多资产扩展的团队。[S7]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LEAN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通用算法交易引擎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多资产数据、回测、优化、实盘部署和算法模块化。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希望使用成熟事件引擎和多资产研究框架的团队。[S8]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vectorbt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向量化研究工具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基于 NumPy、pandas 和 Numba 的大规模参数扫描、组合回测和可视化。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快速研究因子、参数空间和组合构造，不直接替代实盘执行系统。[S9]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backtrader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Python 回测框架</w:t>
            </w:r>
          </w:p>
        </w:tc>
        <w:tc>
          <w:tcPr>
            <w:tcW w:w="40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数据源、指标、策略、经纪商抽象和分析器。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已有 Python 研究代码、需要传统事件回测接口的团队。[S10]</w:t>
            </w:r>
          </w:p>
        </w:tc>
      </w:tr>
    </w:tbl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项目选型判断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如果核心目标是尽快完成策略假设验证，优先考虑 Freqtrade、Jesse 或 vectorbt。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如果核心目标是持续报价、库存管理和套利，优先研究 Hummingbot，并重点评估连接器质量、订单簿一致性和库存风险。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如果团队需要把回测、模拟盘和实盘使用同一套事件语义，NautilusTrader 或 LEAN 的架构更值得深入评估。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CCXT 适合作为多交易所接入的加速器，但不能掩盖交易所之间在订单类型、仓位、保证金、限频和错误码上的本质差异。生产系统仍应保留交易所专用适配器。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三 热门交易策略与实现要点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策略的“热门”不等于稳定盈利。以下分类按公开框架常见用法和市场微观结构整理，重点是输入、信号、执行和失效条件。任何策略都应先在含成本的历史数据上验证，再经过纸面盘、测试网和极小资金实盘。</w:t>
      </w:r>
    </w:p>
    <w:tbl>
      <w:tblPr>
        <w:tblW w:w="11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3100"/>
        <w:gridCol w:w="4100"/>
        <w:gridCol w:w="2300"/>
      </w:tblGrid>
      <w:tr>
        <w:trPr>
          <w:tblHeader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策略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典型信号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技术实现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主要风险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趋势跟随 / 动量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均线、ADX、突破、收益率排序、波动率调整后的方向信号。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多周期 K 线、趋势过滤、ATR 止损、仓位按波动率缩放、移动止盈。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震荡市场连续止损；参数和换仓频率容易过拟合。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均值回归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价格偏离均线、布林带、z-score、短期反转。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标准化残差、半衰期估计、价差或组合回归、超时退出。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趋势启动时会逆势加仓；极端行情下均值可能长期不回归。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突破 / 波动率扩张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高低点突破、Donchian、ATR 突破、波动率压缩后扩张。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突破确认、成交量或盘口过滤、滑点上限、保护性止损。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假突破、跳空和流动性不足导致成交价格恶化。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网格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在价格区间内分层挂单，价格每移动一格触发买卖。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网格间距、库存上限、动态中心价、止损和趋势熔断。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单边趋势中库存越积越大；资金占用和手续费敏感。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做市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围绕中间价双边报价，按库存和波动率偏移报价。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订单簿、microprice、库存偏斜、报价半径、撤单和排队建模。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逆向选择、延迟、库存风险和突发波动。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跨交易所套利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同一资产在不同市场的价差超过成本和风险阈值。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同步行情、资金与持仓预置、双腿执行、失败腿补偿。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转账和提现延迟、流动性、腿风险、API 限频和账户冻结。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资金费率 / 基差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现货与永续合约的资金费率或基差达到阈值。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现货多头与合约空头对冲，持仓和资金费率预测，定时再平衡。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资金费率反转、基差收敛不确定、保证金和借贷成本。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因子与横截面排序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动量、波动率、成交量、资金费率、持仓量、相关性等因子排序。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截面 z-score、IC、组合约束、行业或资产相关性控制。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因子衰减、拥挤交易、数据泄漏和组合换手成本。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机器学习 / 强化学习</w:t>
            </w:r>
          </w:p>
        </w:tc>
        <w:tc>
          <w:tcPr>
            <w:tcW w:w="3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分类、回归、序列模型或策略代理输出概率、分数或动作。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特征版本、训练/验证隔离、概率校准、模型漂移和回退策略。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样本外失效、数据泄漏、不可解释和训练环境与实盘不一致。</w:t>
            </w:r>
          </w:p>
        </w:tc>
      </w:tr>
    </w:tbl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策略设计的通用公式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仓位大小应由账户权益、单笔风险和止损距离共同决定，而不是只由信号强弱决定。一个常见的确定性形式是：</w:t>
      </w:r>
    </w:p>
    <w:p>
      <w:pPr>
        <w:pStyle w:val="Normal"/>
        <w:spacing w:before="60" w:after="120" w:line="300" w:lineRule="auto"/>
        <w:jc w:val="center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仓位数量 = 账户权益 × 单笔风险比例 ÷ |入场价 - 止损价|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实际系统还要继续应用最小下单量、价格精度、名义价值、保证金、最大持仓、组合相关性、日内损失上限和断路条件。信号层可以提出入场方向，但不能绕过这些约束。</w:t>
      </w:r>
    </w:p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执行算法与策略的区别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TWAP、VWAP、冰山单、拆单和限价追单主要解决“如何成交”，不等于“何时交易”。它们通常是执行层组件，可以被趋势、套利或再平衡策略复用。把 alpha 信号和执行逻辑分开，便于独立测试成交成本和异常恢复。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四 交易所 API 与通信方案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生产接入通常采用 REST + WebSocket 的组合。REST 适合鉴权、下单、查询快照和补偿；WebSocket 适合实时行情、订单回报和账户事件。任何 WebSocket 连接都可能断开、乱序或丢消息，因此必须定期用 REST 快照校正本地状态。</w:t>
      </w:r>
    </w:p>
    <w:tbl>
      <w:tblPr>
        <w:tblW w:w="11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0"/>
        <w:gridCol w:w="2800"/>
        <w:gridCol w:w="4500"/>
        <w:gridCol w:w="2400"/>
      </w:tblGrid>
      <w:tr>
        <w:trPr>
          <w:tblHeader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交易所</w:t>
            </w:r>
          </w:p>
        </w:tc>
        <w:tc>
          <w:tcPr>
            <w:tcW w:w="2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主要 API</w:t>
            </w:r>
          </w:p>
        </w:tc>
        <w:tc>
          <w:tcPr>
            <w:tcW w:w="4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认证与接入要点</w:t>
            </w:r>
          </w:p>
        </w:tc>
        <w:tc>
          <w:tcPr>
            <w:tcW w:w="2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适合用途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Binance</w:t>
            </w:r>
          </w:p>
        </w:tc>
        <w:tc>
          <w:tcPr>
            <w:tcW w:w="2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Spot、USD-M Futures REST；WebSocket streams；用户数据流。</w:t>
            </w:r>
          </w:p>
        </w:tc>
        <w:tc>
          <w:tcPr>
            <w:tcW w:w="4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API Key/Secret 签名；需处理时间戳、recvWindow、权重限频、交易规则和 listenKey/用户流生命周期。[S11][S12]</w:t>
            </w:r>
          </w:p>
        </w:tc>
        <w:tc>
          <w:tcPr>
            <w:tcW w:w="2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流动性较高的现货和合约策略，适合做单交易所 MVP。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Coinbase Advanced</w:t>
            </w:r>
          </w:p>
        </w:tc>
        <w:tc>
          <w:tcPr>
            <w:tcW w:w="2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REST 与 WebSocket 的 Advanced Trade API。</w:t>
            </w:r>
          </w:p>
        </w:tc>
        <w:tc>
          <w:tcPr>
            <w:tcW w:w="4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JWT/API Key 鉴权；实时行情与订单事件分通道；需验证产品、地区和账户权限。[S13][S14]</w:t>
            </w:r>
          </w:p>
        </w:tc>
        <w:tc>
          <w:tcPr>
            <w:tcW w:w="2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合规要求较高或偏现货的美国市场接入。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OKX</w:t>
            </w:r>
          </w:p>
        </w:tc>
        <w:tc>
          <w:tcPr>
            <w:tcW w:w="2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V5 REST 与 WebSocket，覆盖现货、永续、期货和期权。</w:t>
            </w:r>
          </w:p>
        </w:tc>
        <w:tc>
          <w:tcPr>
            <w:tcW w:w="4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API Key、Secret、Passphrase；需处理 instId、tdMode、posSide、账户模式和频道订阅。[S15]</w:t>
            </w:r>
          </w:p>
        </w:tc>
        <w:tc>
          <w:tcPr>
            <w:tcW w:w="2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多品种、多账户模式和衍生品策略。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Bybit</w:t>
            </w:r>
          </w:p>
        </w:tc>
        <w:tc>
          <w:tcPr>
            <w:tcW w:w="2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V5 REST 与 WebSocket，统一多产品接口。</w:t>
            </w:r>
          </w:p>
        </w:tc>
        <w:tc>
          <w:tcPr>
            <w:tcW w:w="4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签名鉴权、时间戳和 recv_window；需区分 category、账户模式、订单类型和私有频道。[S16]</w:t>
            </w:r>
          </w:p>
        </w:tc>
        <w:tc>
          <w:tcPr>
            <w:tcW w:w="2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永续、期货和现货的统一接入。</w:t>
            </w:r>
          </w:p>
        </w:tc>
      </w:tr>
      <w:tr>
        <w:trPr>
          <w:cantSplit/>
        </w:trPr>
        <w:tc>
          <w:tcPr>
            <w:tcW w:w="1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Kraken</w:t>
            </w:r>
          </w:p>
        </w:tc>
        <w:tc>
          <w:tcPr>
            <w:tcW w:w="2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Spot REST 与 WebSocket API。</w:t>
            </w:r>
          </w:p>
        </w:tc>
        <w:tc>
          <w:tcPr>
            <w:tcW w:w="4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私有接口签名、nonce、账户权限和订单回报；需关注产品规则与限频。[S17]</w:t>
            </w:r>
          </w:p>
        </w:tc>
        <w:tc>
          <w:tcPr>
            <w:tcW w:w="2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偏现货、重视账户安全和多市场覆盖的场景。</w:t>
            </w:r>
          </w:p>
        </w:tc>
      </w:tr>
    </w:tbl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API 接入必须实现的工程能力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密钥隔离：API Key 只放在服务器密钥存储或受限环境变量中，不进入浏览器、数据库业务表、日志和错误追踪。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权限最小化：优先关闭提现权限；按策略拆分子账户或 API Key；对 IP 白名单、签名算法和权限变更做审计。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连接恢复：WebSocket 断线重连要有退避、订阅恢复、序列号校验和 REST 快照重建。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订单幂等：每次提交携带可追踪的 clientOrderId；超时不能直接重试下单，先查询订单状态，再决定补偿。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规则缓存：加载 tick size、step size、min notional、价格保护、杠杆和持仓模式，并在下单前二次校验。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时间同步：签名请求依赖服务器时间；监控时钟偏差，避免因为时间戳失效导致系统误判。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五 推荐的系统技术架构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一个可维护的自动交易系统可以拆成八层。策略和模型只负责产生可解释、可验证的交易意图，风险与执行层拥有最终否决权。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4100"/>
        <w:gridCol w:w="3400"/>
      </w:tblGrid>
      <w:tr>
        <w:trPr>
          <w:tblHeader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层次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职责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推荐技术方案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数据接入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行情快照、K 线、成交、盘口、资金费率、持仓量和交易所规则。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交易所 WebSocket + REST；历史数据归档；统一 schema；原始消息落盘。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标准化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统一 symbol、时间戳、价格精度、市场类型和事件类型。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Pydantic/JSON Schema、Decimal、UTC 时间、版本化数据契约。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研究与回测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特征、指标、组合、成本模型和报告。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vectorbt、Freqtrade、Jesse、NautilusTrader 或 LEAN；结果可复现。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策略引擎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生成信号、候选列表和持仓目标。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插件式策略接口；配置版本；离线与在线共用核心函数。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风险引擎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仓位、杠杆、止损、组合暴露、相关性、熔断和权限。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确定性规则、硬上限、拒单原因码、人工确认和审计。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执行引擎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拆单、下单、撤单、订单状态机、部分成交和异常补偿。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交易所专用 adapter；clientOrderId；REST 查询与 WebSocket 回报合并。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持久化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订单、成交、持仓、资金、策略版本和决策快照。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PostgreSQL；Redis 用于短期状态和队列；原始事件可对象存储归档。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监控与运维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延迟、断线、拒单、滑点、PnL、风险、资金和密钥事件。</w:t>
            </w:r>
          </w:p>
        </w:tc>
        <w:tc>
          <w:tcPr>
            <w:tcW w:w="34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结构化日志、Prometheus、Grafana、告警分级、值班手册和回放工具。</w:t>
            </w:r>
          </w:p>
        </w:tc>
      </w:tr>
    </w:tbl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建议的事件流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行情事件 -&gt; 标准化 -&gt; 特征与策略 -&gt; 交易意图 -&gt; 风险编译 -&gt; 订单状态机 -&gt; 交易所 -&gt; 回报事件 -&gt; 持仓与审计。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模型服务如果存在，应被放在候选生成或解释层，而不是直接拥有下单权限。模型返回的方向、置信度和理由需要转换成结构化意图，再由本地确定性风险编译器决定是否可交易。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六 回测与验证方法</w:t>
      </w:r>
    </w:p>
    <w:tbl>
      <w:tblPr>
        <w:tblW w:w="93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4700"/>
        <w:gridCol w:w="2900"/>
      </w:tblGrid>
      <w:tr>
        <w:trPr>
          <w:tblHeader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验证阶段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必须验证的内容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通过条件示例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数据质量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时间连续性、重复、缺失、时区、合约换月、交易规则和盘口快照。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关键字段完整；异常数据有清单并可复现。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含成本回测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手续费、滑点、资金费率、借贷费、点差、最小名义价值和成交延迟。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净收益、最大回撤和换手率在不同成本假设下仍可解释。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防止未来函数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特征只使用当时可见的数据；信号生成、成交和结算时间严格分离。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随机抽样审计信号；延迟一个 bar 后结果逻辑一致。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样本外验证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时间切分、walk-forward、跨资产、跨市场阶段和参数稳定性。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不是只依赖单一行情阶段；参数变化不会使结果完全崩溃。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纸面盘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实时行情、模拟撮合、断线、部分成交、拒单和费用。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运行一段连续周期无状态漂移，异常能恢复并留下审计。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测试网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真实 API 签名、权限、订单规则、保护单和部署运维。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能完成开仓、保护、平仓、重启恢复和人工停止。</w:t>
            </w:r>
          </w:p>
        </w:tc>
      </w:tr>
      <w:tr>
        <w:trPr>
          <w:cantSplit/>
        </w:trPr>
        <w:tc>
          <w:tcPr>
            <w:tcW w:w="1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小额实盘</w:t>
            </w:r>
          </w:p>
        </w:tc>
        <w:tc>
          <w:tcPr>
            <w:tcW w:w="4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真实流动性、延迟、滑点、资金和平台行为。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风险上限严格受控；任何异常都能快速撤单和停机。</w:t>
            </w:r>
          </w:p>
        </w:tc>
      </w:tr>
    </w:tbl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常见回测陷阱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只用 OHLC 收盘价假设成交，忽略了盘口、点差、跳价和同一根 K 线内的止损冲突。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把资金费率、手续费或借贷成本设为常数，导致长期持仓结果被高估。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使用全量数据计算标准化参数、因子排名或波动率，产生未来信息泄漏。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优化目标只看收益率，忽略最大回撤、尾部损失、换手、容量和策略相关性。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把回测代码和实盘代码写成两套逻辑，导致成交语义、精度和持仓计算不一致。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七 风控与安全清单</w:t>
      </w:r>
    </w:p>
    <w:tbl>
      <w:tblPr>
        <w:tblW w:w="93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0"/>
        <w:gridCol w:w="7200"/>
      </w:tblGrid>
      <w:tr>
        <w:trPr>
          <w:tblHeader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类别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最低控制项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交易风险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单笔风险、组合风险、最大杠杆、最大仓位、单日损失、连续亏损熔断、强平距离和保护单。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流动性风险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最大点差、最小深度、最大参与率、订单超时、部分成交和撤单失败处理。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模型风险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模型超时回退、本地规则兜底、置信度阈值、版本锁定、输入特征校验和漂移监控。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操作风险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启动门禁、测试网与生产隔离、人工急停、权限分级、变更审批和回滚。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密钥风险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最小权限、提现关闭、IP 白名单、定期轮换、秘密不落日志和异常登录告警。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数据风险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数据源故障检测、时间同步、来源标记、快照校验、历史数据版本和重放能力。</w:t>
            </w:r>
          </w:p>
        </w:tc>
      </w:tr>
      <w:tr>
        <w:trPr>
          <w:cantSplit/>
        </w:trPr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合规风险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按所在地和交易所规则核对身份、衍生品、杠杆、税务、记录保存和自动化交易限制。</w:t>
            </w:r>
          </w:p>
        </w:tc>
      </w:tr>
    </w:tbl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建议把“是否允许下单”设计成一个硬门禁，而不是一个提示。任何关键状态未知，例如订单状态不确定、行情过期、风险参数缺失、保护单未确认或连接异常，都应默认拒绝新增风险。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八 结合当前项目的落地建议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当前仓库已经具备一个较完整的 Binance 优先骨架：后端包含交易所适配、WebSocket 市场流、回测、风险引擎、因子研究、执行管理、通知和前端风险配置页面。建议沿着现有边界继续演进，而不是先把所有交易所一次性抽象成相同能力。</w:t>
      </w:r>
    </w:p>
    <w:tbl>
      <w:tblPr>
        <w:tblW w:w="93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0"/>
        <w:gridCol w:w="2500"/>
        <w:gridCol w:w="5700"/>
      </w:tblGrid>
      <w:tr>
        <w:trPr>
          <w:tblHeader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优先级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工作项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17365D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FFFFFF"/>
                <w:b/>
              </w:rPr>
              <w:t xml:space="preserve">落地建议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P0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执行与风险稳定性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继续强化订单状态机、超时查询、保护单确认、断线重建、幂等键和全链路审计；生产环境只保留最小杠杆与仓位上限。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P0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回测可信度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把手续费、滑点、资金费率、成交延迟、精度和拒单规则纳入回测；增加 walk-forward 与样本外报告。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P1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策略模块化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把趋势、均值回归、因子排序、盘口信号和资金费率策略统一为策略接口，输出结构化意图，不直接下单。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P1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数据质量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为 K 线、盘口、资金费率和历史归档增加来源、时间、水位、缺口和版本字段，支持重放。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P1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多交易所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先建立 Binance adapter 的接口契约和 conformance tests，再逐个增加 OKX、Bybit 或 Coinbase 专用适配器；CCXT 可用于原型或补充非关键数据。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P2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做市与 HFT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2F6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当前 HFT 盘口信号应继续保持 shadow 或纸面状态，先验证订单簿重建、延迟、撤单和库存模型，再考虑真实下单。</w:t>
            </w:r>
          </w:p>
        </w:tc>
      </w:tr>
      <w:tr>
        <w:trPr>
          <w:cantSplit/>
        </w:trPr>
        <w:tc>
          <w:tcPr>
            <w:tcW w:w="1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P2</w:t>
            </w:r>
          </w:p>
        </w:tc>
        <w:tc>
          <w:tcPr>
            <w:tcW w:w="25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模型接入</w:t>
            </w:r>
          </w:p>
        </w:tc>
        <w:tc>
          <w:tcPr>
            <w:tcW w:w="57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Noto Sans SC" w:hAnsi="Noto Sans SC" w:eastAsia="Noto Sans SC"/>
                <w:sz w:val="18"/>
                <w:szCs w:val="18"/>
                <w:color w:val="000000"/>
              </w:rPr>
              <w:t xml:space="preserve">模型只生成候选或解释，所有止损、仓位、杠杆、组合暴露和交易权限继续由本地确定性风控编译。</w:t>
            </w:r>
          </w:p>
        </w:tc>
      </w:tr>
    </w:tbl>
    <w:p>
      <w:pPr>
        <w:pStyle w:val="Heading2"/>
        <w:spacing w:before="160" w:after="100" w:line="280" w:lineRule="auto"/>
        <w:keepNext/>
      </w:pPr>
      <w:r>
        <w:rPr>
          <w:rFonts w:ascii="Noto Sans SC" w:hAnsi="Noto Sans SC" w:eastAsia="Noto Sans SC"/>
          <w:sz w:val="24"/>
          <w:szCs w:val="24"/>
          <w:color w:val="000000"/>
        </w:rPr>
        <w:t xml:space="preserve">建议的三个月路线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第1阶段：整理数据契约和订单状态机，补齐异常恢复、回放、测试网验收和风险审计。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第2阶段：完成两类低频策略的含成本回测、walk-forward、纸面盘和可解释报告。</w:t>
      </w:r>
    </w:p>
    <w:p>
      <w:pPr>
        <w:pStyle w:val="ListBullet"/>
        <w:ind w:left="360" w:hanging="180"/>
        <w:spacing w:after="70" w:line="28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第3阶段：再加入一个多交易所适配器，比较真实延迟、规则差异、费用和资金占用后决定是否扩展。</w:t>
      </w:r>
    </w:p>
    <w:p>
      <w:r>
        <w:br w:type="page"/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九 官方资料与延伸阅读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以下链接均为研究时使用的公开官方文档或项目仓库。访问日期：2026年9月8日。项目版本、API 字段、费率、限频和地区可用性会变化，落地前应再次核对。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[S1] Freqtrade 官方文档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https://www.freqtrade.io/en/stable/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[S2] Freqtrade 回测与 Hyperopt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https://www.freqtrade.io/en/stable/backtesting/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[S3] Hummingbot 官方网站与文档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https://hummingbot.org/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[S4] Hummingbot Strategies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https://hummingbot.org/strategies/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[S5] CCXT GitHub 与 Manual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https://github.com/ccxt/ccxt/wiki/Manual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[S6] Jesse 官方仓库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https://github.com/jesse-ai/jesse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[S7] NautilusTrader 官方文档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https://nautilustrader.io/docs/latest/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[S8] QuantConnect LEAN 官方仓库与文档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https://github.com/QuantConnect/Lean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[S9] vectorbt 官方文档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https://vectorbt.dev/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[S10] backtrader 官方网站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https://www.backtrader.com/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[S11] Binance Spot API 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https://developers.binance.com/docs/binance-spot-api-docs/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[S12] Binance USDⓈ-M Futures API 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https://developers.binance.com/docs/derivatives/usds-margined-futures/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[S13] Coinbase Advanced Trade API 概览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https://docs.cdp.coinbase.com/coinbase-app/advanced-trade-apis/welcome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[S14] Coinbase Advanced Trade WebSocket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https://docs.cdp.coinbase.com/advanced-trade/docs/ws-overview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[S15] OKX API v5 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https://www.okx.com/docs-v5/en/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[S16] Bybit V5 API 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https://bybit-exchange.github.io/docs/v5/intro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[S17] Kraken API 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https://docs.kraken.com/api/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[S18] Binance 公共历史数据归档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https://data.binance.vision/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[S19] Prometheus 官方文档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https://prometheus.io/docs/introduction/overview/</w:t>
      </w:r>
    </w:p>
    <w:p>
      <w:pPr>
        <w:pStyle w:val="Source"/>
        <w:spacing w:before="0" w:after="55" w:line="220" w:lineRule="auto"/>
      </w:pPr>
      <w:r>
        <w:rPr>
          <w:rFonts w:ascii="Noto Sans SC" w:hAnsi="Noto Sans SC" w:eastAsia="Noto Sans SC"/>
          <w:sz w:val="18"/>
          <w:szCs w:val="18"/>
          <w:color w:val="000000"/>
          <w:b/>
        </w:rPr>
        <w:t xml:space="preserve">[S20] Grafana 官方文档  </w:t>
      </w:r>
      <w:r>
        <w:rPr>
          <w:rFonts w:ascii="Noto Sans SC" w:hAnsi="Noto Sans SC" w:eastAsia="Noto Sans SC"/>
          <w:sz w:val="17"/>
          <w:szCs w:val="17"/>
          <w:color w:val="404040"/>
        </w:rPr>
        <w:t xml:space="preserve">https://grafana.com/docs/grafana/latest/</w:t>
      </w:r>
    </w:p>
    <w:p>
      <w:pPr>
        <w:pStyle w:val="Heading1"/>
        <w:spacing w:before="240" w:after="100" w:line="280" w:lineRule="auto"/>
        <w:keepNext/>
      </w:pPr>
      <w:r>
        <w:rPr>
          <w:rFonts w:ascii="Noto Sans SC" w:hAnsi="Noto Sans SC" w:eastAsia="Noto Sans SC"/>
          <w:sz w:val="28"/>
          <w:szCs w:val="28"/>
          <w:color w:val="000000"/>
        </w:rPr>
        <w:t xml:space="preserve">附录 研究使用说明</w:t>
      </w:r>
    </w:p>
    <w:p>
      <w:pPr>
        <w:pStyle w:val="Normal"/>
        <w:spacing w:before="0" w:after="120" w:line="300" w:lineRule="auto"/>
      </w:pPr>
      <w:r>
        <w:rPr>
          <w:rFonts w:ascii="Noto Sans SC" w:hAnsi="Noto Sans SC" w:eastAsia="Noto Sans SC"/>
          <w:sz w:val="22"/>
          <w:szCs w:val="22"/>
          <w:color w:val="000000"/>
        </w:rPr>
        <w:t xml:space="preserve">本报告的策略章节用于技术方案比较，不代表推荐任何特定资产、交易所或策略。自动交易系统的主要失败来源往往不是指标本身，而是数据偏差、成本估计过低、订单状态不一致、风险边界缺失、密钥管理不当和异常场景没有演练。</w:t>
      </w:r>
    </w:p>
    <w:sectPr>
      <w:footerReference w:type="default" r:id="rId2"/>
      <w:pgSz w:w="12240" w:h="15840"/>
      <w:pgMar w:top="1080" w:right="1080" w:bottom="1080" w:left="1080" w:header="500" w:footer="500" w:gutter="0"/>
      <w:cols w:num="1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Noto Sans SC" w:hAnsi="Noto Sans SC" w:eastAsia="Noto Sans SC"/>
        <w:sz w:val="16"/>
        <w:szCs w:val="16"/>
        <w:color w:val="666666"/>
      </w:rPr>
      <w:t xml:space="preserve">加密货币自动交易资料调研报告  |  2026年9月8日  |  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SC" w:hAnsi="Noto Sans SC" w:eastAsia="Noto Sans SC"/>
        <w:sz w:val="16"/>
        <w:szCs w:val="16"/>
        <w:color w:val="666666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Noto Sans SC" w:hAnsi="Noto Sans SC" w:eastAsia="Noto Sans SC"/>
        <w:sz w:val="22"/>
        <w:szCs w:val="22"/>
        <w:color w:val="000000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Noto Sans SC" w:hAnsi="Noto Sans SC" w:eastAsia="Noto Sans SC"/>
      <w:sz w:val="22"/>
      <w:szCs w:val="22"/>
      <w:color w:val="000000"/>
    </w:rPr>
  </w:style>
  <w:style w:type="paragraph" w:styleId="Title">
    <w:name w:val="Title"/>
    <w:basedOn w:val="Normal"/>
    <w:next w:val="Subtitle"/>
    <w:uiPriority w:val="1"/>
    <w:qFormat/>
    <w:pPr>
      <w:jc w:val="center"/>
      <w:spacing w:before="0" w:after="160" w:line="300"/>
    </w:pPr>
    <w:rPr>
      <w:rFonts w:ascii="Noto Sans SC" w:hAnsi="Noto Sans SC" w:eastAsia="Noto Sans SC"/>
      <w:b/>
      <w:sz w:val="36"/>
      <w:szCs w:val="36"/>
      <w:color w:val="000000"/>
    </w:rPr>
  </w:style>
  <w:style w:type="paragraph" w:styleId="Subtitle">
    <w:name w:val="Subtitle"/>
    <w:basedOn w:val="Normal"/>
    <w:pPr>
      <w:jc w:val="center"/>
      <w:spacing w:after="260"/>
    </w:pPr>
    <w:rPr>
      <w:rFonts w:ascii="Noto Sans SC" w:hAnsi="Noto Sans SC" w:eastAsia="Noto Sans SC"/>
      <w:sz w:val="24"/>
      <w:szCs w:val="24"/>
      <w:color w:val="40404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00" w:after="120" w:line="280"/>
    </w:pPr>
    <w:rPr>
      <w:rFonts w:ascii="Noto Sans SC" w:hAnsi="Noto Sans SC" w:eastAsia="Noto Sans SC"/>
      <w:b/>
      <w:sz w:val="28"/>
      <w:szCs w:val="28"/>
      <w:color w:val="000000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 w:line="270"/>
    </w:pPr>
    <w:rPr>
      <w:rFonts w:ascii="Noto Sans SC" w:hAnsi="Noto Sans SC" w:eastAsia="Noto Sans SC"/>
      <w:b/>
      <w:sz w:val="24"/>
      <w:szCs w:val="24"/>
      <w:color w:val="000000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50" w:after="60"/>
    </w:pPr>
    <w:rPr>
      <w:rFonts w:ascii="Noto Sans SC" w:hAnsi="Noto Sans SC" w:eastAsia="Noto Sans SC"/>
      <w:b/>
      <w:sz w:val="22"/>
      <w:szCs w:val="22"/>
      <w:color w:val="000000"/>
    </w:rPr>
  </w:style>
  <w:style w:type="paragraph" w:styleId="Source">
    <w:name w:val="Source"/>
    <w:basedOn w:val="Normal"/>
    <w:pPr>
      <w:spacing w:after="45" w:line="220"/>
    </w:pPr>
    <w:rPr>
      <w:rFonts w:ascii="Noto Sans SC" w:hAnsi="Noto Sans SC" w:eastAsia="Noto Sans SC"/>
      <w:sz w:val="17"/>
      <w:szCs w:val="17"/>
      <w:color w:val="404040"/>
    </w:rPr>
  </w:style>
  <w:style w:type="paragraph" w:styleId="ListBullet">
    <w:name w:val="List Bullet"/>
    <w:basedOn w:val="Normal"/>
    <w:pPr>
      <w:spacing w:after="70" w:line="2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