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Fase 4.3: O Ouro e o Sal do Saara — Timbuktu (Mali, Século XIV)</w:t>
      </w:r>
    </w:p>
    <w:p>
      <w:pPr>
        <w:pStyle w:val="ListParagraph"/>
        <w:numPr>
          <w:ilvl w:val="0"/>
          <w:numId w:val="2"/>
        </w:numPr>
        <w:spacing w:after="80"/>
      </w:pPr>
      <w:r>
        <w:rPr>
          <w:rFonts w:ascii="Arial" w:cs="Arial" w:eastAsia="Arial" w:hAnsi="Arial"/>
          <w:b/>
          <w:bCs/>
          <w:sz w:val="24"/>
          <w:szCs w:val="24"/>
        </w:rPr>
        <w:t xml:space="preserve">Geografia: </w:t>
      </w:r>
      <w:r>
        <w:rPr>
          <w:rFonts w:ascii="Arial" w:cs="Arial" w:eastAsia="Arial" w:hAnsi="Arial"/>
          <w:sz w:val="24"/>
          <w:szCs w:val="24"/>
        </w:rPr>
        <w:t xml:space="preserve">Duas geografias opostas e complementares: o Deserto do Saara ao norte (minas de sal de Taoudenni — 700 km ao norte de Timbuktu, em pleno deserto absoluto) e a cidade de Timbuktu na margem do Rio Níger, onde o deserto encontra o Sahel. Paisagem de dunas, caravanas, oásis de palmeiras, mesquitas de terra crua e o rio mais poderoso da África Ocidental.</w:t>
      </w:r>
    </w:p>
    <w:p>
      <w:pPr>
        <w:pStyle w:val="ListParagraph"/>
        <w:numPr>
          <w:ilvl w:val="0"/>
          <w:numId w:val="2"/>
        </w:numPr>
        <w:spacing w:after="80"/>
      </w:pPr>
      <w:r>
        <w:rPr>
          <w:rFonts w:ascii="Arial" w:cs="Arial" w:eastAsia="Arial" w:hAnsi="Arial"/>
          <w:b/>
          <w:bCs/>
          <w:sz w:val="24"/>
          <w:szCs w:val="24"/>
        </w:rPr>
        <w:t xml:space="preserve">História: </w:t>
      </w:r>
      <w:r>
        <w:rPr>
          <w:rFonts w:ascii="Arial" w:cs="Arial" w:eastAsia="Arial" w:hAnsi="Arial"/>
          <w:sz w:val="24"/>
          <w:szCs w:val="24"/>
        </w:rPr>
        <w:t xml:space="preserve">No século XIV, o Império do Mali sob Mansa Musa (o governante mais rico que a humanidade já conheceu, por estimativas modernas) controlava dois dos recursos mais valiosos do mundo medieval: ouro (das minas de Bambuk e Bure, no atual Mali/Guiné) e sal (das minas de Taoudenni, no Saara). A peregrinação de Mansa Musa a Meca em 1324 — com 60.000 pessoas e toneladas de ouro — causou inflação no Egito e no Oriente Médio por uma década. Timbuktu era simultaneamente o maior mercado de ouro do mundo e um dos maiores centros intelectuais medievais, com mais de 25.000 estudantes em sua Universidade de Sankoré.</w:t>
      </w:r>
    </w:p>
    <w:p>
      <w:pPr>
        <w:pStyle w:val="ListParagraph"/>
        <w:numPr>
          <w:ilvl w:val="0"/>
          <w:numId w:val="2"/>
        </w:numPr>
        <w:spacing w:after="80"/>
      </w:pPr>
      <w:r>
        <w:rPr>
          <w:rFonts w:ascii="Arial" w:cs="Arial" w:eastAsia="Arial" w:hAnsi="Arial"/>
          <w:b/>
          <w:bCs/>
          <w:sz w:val="24"/>
          <w:szCs w:val="24"/>
        </w:rPr>
        <w:t xml:space="preserve">Recursos: </w:t>
      </w:r>
      <w:r>
        <w:rPr>
          <w:rFonts w:ascii="Arial" w:cs="Arial" w:eastAsia="Arial" w:hAnsi="Arial"/>
          <w:sz w:val="24"/>
          <w:szCs w:val="24"/>
        </w:rPr>
        <w:t xml:space="preserve">Halita Saariana (sal-gema extraído em lajes de Taoudenni — diferente da halita europeia pelo processo de extração), Ouro Mandinga (pó aurífero das minas aluviais do Mali — comercializado em Timbuktu em penas de penas de pássaro), Diorite (rocha ígnea negra usada como pedra de teste para ouro — a "pedra de toque africana").</w:t>
      </w:r>
    </w:p>
    <w:p>
      <w:pPr>
        <w:pStyle w:val="ListParagraph"/>
        <w:numPr>
          <w:ilvl w:val="0"/>
          <w:numId w:val="2"/>
        </w:numPr>
        <w:spacing w:after="80"/>
      </w:pPr>
      <w:r>
        <w:rPr>
          <w:rFonts w:ascii="Arial" w:cs="Arial" w:eastAsia="Arial" w:hAnsi="Arial"/>
          <w:b/>
          <w:bCs/>
          <w:sz w:val="24"/>
          <w:szCs w:val="24"/>
        </w:rPr>
        <w:t xml:space="preserve">Desafio: </w:t>
      </w:r>
      <w:r>
        <w:rPr>
          <w:rFonts w:ascii="Arial" w:cs="Arial" w:eastAsia="Arial" w:hAnsi="Arial"/>
          <w:sz w:val="24"/>
          <w:szCs w:val="24"/>
        </w:rPr>
        <w:t xml:space="preserve">Duas mecânicas paralelas e inéditas na série: (1) nas minas de sal de Taoudenni, extrair lajes de halita usando o método tuaregue de machado de pedra (nova mecânica de golpe em ângulo horizontal, diferente de todas as fases anteriores); (2) em Timbuktu, navegar o bazar usando o Astrolábio Islâmico para encontrar a biblioteca de Sankoré antes que uma tempestade de areia feche os caminhos. O astrolábio substitui todas as ferramentas de detecção anteriores — é um instrumento de navegação e leitura do ambiente, não de extração.</w:t>
      </w:r>
    </w:p>
    <w:p>
      <w:pPr>
        <w:spacing w:after="80"/>
      </w:pPr>
      <w:r>
        <w:rPr>
          <w:rFonts w:ascii="Arial" w:cs="Arial" w:eastAsia="Arial" w:hAnsi="Arial"/>
          <w:sz w:val="24"/>
          <w:szCs w:val="24"/>
        </w:rPr>
        <w:t xml:space="preserve"/>
      </w:r>
    </w:p>
    <w:p>
      <w:pPr>
        <w:spacing w:after="200"/>
        <w:jc w:val="center"/>
      </w:pPr>
      <w:r>
        <w:rPr>
          <w:rFonts w:ascii="Arial" w:cs="Arial" w:eastAsia="Arial" w:hAnsi="Arial"/>
          <w:i/>
          <w:iCs/>
          <w:color w:val="888888"/>
          <w:sz w:val="24"/>
          <w:szCs w:val="24"/>
        </w:rPr>
        <w:t xml:space="preserve">[Imagem da Fase]</w:t>
      </w:r>
    </w:p>
    <w:p>
      <w:pPr>
        <w:spacing w:after="200" w:before="200"/>
      </w:pPr>
      <w:r>
        <w:rPr>
          <w:rFonts w:ascii="Arial" w:cs="Arial" w:eastAsia="Arial" w:hAnsi="Arial"/>
          <w:b/>
          <w:bCs/>
          <w:sz w:val="28"/>
          <w:szCs w:val="28"/>
        </w:rPr>
        <w:t xml:space="preserve">Cenas Fase 4.3 – A Cidade Onde o Ouro Vira Conhecimento</w:t>
      </w:r>
    </w:p>
    <w:p>
      <w:pPr>
        <w:spacing w:after="160" w:before="240"/>
      </w:pPr>
      <w:r>
        <w:rPr>
          <w:rFonts w:ascii="Arial" w:cs="Arial" w:eastAsia="Arial" w:hAnsi="Arial"/>
          <w:b/>
          <w:bCs/>
          <w:sz w:val="28"/>
          <w:szCs w:val="28"/>
        </w:rPr>
        <w:t xml:space="preserve">Cena 1: Início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montado em um dromedário (visualmente diferente de qualquer chegada anterior — em movimento, não parado) se aproximando de Timbuktu pelo norte, na frente de uma caravana de sal. Ao fundo, os três minaretes de terra crua das mesquitas de Djingareyber, Sankoré e Sidi Yahia cortando o horizonte plano. O rio Níger brilha ao longe. Fardos de lajes de sal amarradas nos flancos dos camelos. O céu é de um azul profundo de altitude do Sahel.</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"Século XIV, Mali. Esta caravana saiu das minas de sal de Taoudenni há 21 dias — 700 quilômetros de deserto puro, sem rio, sem vegetação, sem sombra. Cada laje de sal que chega aqui vale tanto quanto uma laje de ouro do mesmo tamanho. E o ouro que sai daqui vai para o Egito, para Veneza, para a China. Timbuktu é o lugar onde o deserto e o rio se encontram, onde o sal vira ouro e o ouro vira conhecimento."</w:t>
      </w:r>
    </w:p>
    <w:p>
      <w:pPr>
        <w:pStyle w:val="ListParagraph"/>
        <w:numPr>
          <w:ilvl w:val="0"/>
          <w:numId w:val="2"/>
        </w:numPr>
        <w:spacing w:after="80"/>
      </w:pPr>
      <w:r>
        <w:rPr>
          <w:rFonts w:ascii="Arial" w:cs="Arial" w:eastAsia="Arial" w:hAnsi="Arial"/>
          <w:b/>
          <w:bCs/>
          <w:sz w:val="24"/>
          <w:szCs w:val="24"/>
        </w:rPr>
        <w:t xml:space="preserve">Ferramentas: </w:t>
      </w:r>
      <w:r>
        <w:rPr>
          <w:rFonts w:ascii="Arial" w:cs="Arial" w:eastAsia="Arial" w:hAnsi="Arial"/>
          <w:sz w:val="24"/>
          <w:szCs w:val="24"/>
        </w:rPr>
        <w:t xml:space="preserve">Corvan chega à cidade e encontra suas ferramentas no mercado: Machado de Pedra Tuaregue (ferramenta para extração de sal em lajes — golpe horizontal, único na série) e Balança de Bronze (para pesar o pó de ouro no bazar — a moeda de troca corrente, medida em balanças de precisão que os mercadores carregavam consigo).</w:t>
      </w:r>
    </w:p>
    <w:p>
      <w:pPr>
        <w:pStyle w:val="ListParagraph"/>
        <w:numPr>
          <w:ilvl w:val="0"/>
          <w:numId w:val="2"/>
        </w:numPr>
        <w:spacing w:after="80"/>
      </w:pPr>
      <w:r>
        <w:rPr>
          <w:rFonts w:ascii="Arial" w:cs="Arial" w:eastAsia="Arial" w:hAnsi="Arial"/>
          <w:b/>
          <w:bCs/>
          <w:sz w:val="24"/>
          <w:szCs w:val="24"/>
        </w:rPr>
        <w:t xml:space="preserve">Ação: </w:t>
      </w:r>
      <w:r>
        <w:rPr>
          <w:rFonts w:ascii="Arial" w:cs="Arial" w:eastAsia="Arial" w:hAnsi="Arial"/>
          <w:sz w:val="24"/>
          <w:szCs w:val="24"/>
        </w:rPr>
        <w:t xml:space="preserve">Corvan deve localizar um </w:t>
      </w:r>
      <w:r>
        <w:rPr>
          <w:rFonts w:ascii="Arial" w:cs="Arial" w:eastAsia="Arial" w:hAnsi="Arial"/>
          <w:b/>
          <w:bCs/>
          <w:sz w:val="24"/>
          <w:szCs w:val="24"/>
        </w:rPr>
        <w:t xml:space="preserve">Dromedário de Caravana (Camelus dromedarius)</w:t>
      </w:r>
      <w:r>
        <w:rPr>
          <w:rFonts w:ascii="Arial" w:cs="Arial" w:eastAsia="Arial" w:hAnsi="Arial"/>
          <w:sz w:val="24"/>
          <w:szCs w:val="24"/>
        </w:rPr>
        <w:t xml:space="preserve"> ajoelhado para descanso perto do mercado, com os ornamentos de bronze de uma caravana tuaregue — para receber o item: </w:t>
      </w:r>
      <w:r>
        <w:rPr>
          <w:rFonts w:ascii="Arial" w:cs="Arial" w:eastAsia="Arial" w:hAnsi="Arial"/>
          <w:b/>
          <w:bCs/>
          <w:sz w:val="24"/>
          <w:szCs w:val="24"/>
        </w:rPr>
        <w:t xml:space="preserve">"Astrolábio Islâmico de Latão"</w:t>
      </w:r>
      <w:r>
        <w:rPr>
          <w:rFonts w:ascii="Arial" w:cs="Arial" w:eastAsia="Arial" w:hAnsi="Arial"/>
          <w:sz w:val="24"/>
          <w:szCs w:val="24"/>
        </w:rPr>
        <w:t xml:space="preserve"> (Nisso abre uma caixinha explicando que os astrolábios islâmicos do século XIV eram instrumentos de precisão em latão que mediam a altitude dos astros para determinar latitude, horário de oração, direção de Meca e orientação em desertos sem pontos de referência. Foram inventados pelos gregos, aperfeiçoados pelos árabes e transmitidos à Europa medieval pelos estudiosos de Timbuktu — parte dos 700.000 manuscritos preservados na cidade até hoje).</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2: Geologia e Solo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viaja em flashback até as minas de sal de Taoudenni — uma das paisagens mais alienígenas do planeta: um deserto branco absoluto, onde o solo É sal. Camadas de halita branca e rosa se alternam em estratos horizontais perfeitamente visíveis, como páginas de um livro gigante. Trabalhadores tuaregues cortam lajes retangulares diretamente do chão com machados de pedra. Não há ferramentas de metal — o metal enferruja no sal. Uma animação mostra como este deserto foi um lago raso há 10.000 anos, durante o "Saara Verde" do período úmido Holocene — e como a evaporação deixou este deserto de sal quando o clima mudou.</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"Há 10.000 anos, o Saara era um lago. Girafas pastavam onde hoje há dunas. Quando o clima secou, o lago evaporou — e deixou sal. Camada sobre camada de halita, preservada pelo calor e pela ausência de chuva. Os Tuaregues exploram este sal há séculos — as mesmas minas, as mesmas técnicas, os mesmos caminhos de caravana. Enquanto a Europa construía catedrais no século XIV, eles cruzavam este deserto com o único produto que valia tanto quanto ouro: o sal, sem o qual nenhuma civilização sobrevive."</w:t>
      </w:r>
    </w:p>
    <w:p>
      <w:pPr>
        <w:pStyle w:val="ListParagraph"/>
        <w:numPr>
          <w:ilvl w:val="0"/>
          <w:numId w:val="2"/>
        </w:numPr>
        <w:spacing w:after="80"/>
      </w:pPr>
      <w:r>
        <w:rPr>
          <w:rFonts w:ascii="Arial" w:cs="Arial" w:eastAsia="Arial" w:hAnsi="Arial"/>
          <w:b/>
          <w:bCs/>
          <w:sz w:val="24"/>
          <w:szCs w:val="24"/>
        </w:rPr>
        <w:t xml:space="preserve">Pop-up do Mineral: </w:t>
      </w:r>
      <w:r>
        <w:rPr>
          <w:rFonts w:ascii="Arial" w:cs="Arial" w:eastAsia="Arial" w:hAnsi="Arial"/>
          <w:sz w:val="24"/>
          <w:szCs w:val="24"/>
        </w:rPr>
        <w:t xml:space="preserve">Corvan examina uma laje e abre um pop-up com a foto da </w:t>
      </w:r>
      <w:r>
        <w:rPr>
          <w:rFonts w:ascii="Arial" w:cs="Arial" w:eastAsia="Arial" w:hAnsi="Arial"/>
          <w:b/>
          <w:bCs/>
          <w:sz w:val="24"/>
          <w:szCs w:val="24"/>
        </w:rPr>
        <w:t xml:space="preserve">Halita Saariana (Sal de Taoudenni)</w:t>
      </w:r>
      <w:r>
        <w:rPr>
          <w:rFonts w:ascii="Arial" w:cs="Arial" w:eastAsia="Arial" w:hAnsi="Arial"/>
          <w:sz w:val="24"/>
          <w:szCs w:val="24"/>
        </w:rPr>
        <w:t xml:space="preserve"> junto da curiosidade: O sal foi a primeira substância usada como moeda em escala global — antes dos metais. A palavra "salário" vem do latim "salarium" — o pagamento em sal dado aos soldados romanos. Em Timbuktu no século XIV, uma laje de sal de Taoudenni (30cm × 60cm) valia exatamente o mesmo que seu peso em ouro.</w:t>
      </w:r>
    </w:p>
    <w:p>
      <w:pPr>
        <w:pStyle w:val="ListParagraph"/>
        <w:numPr>
          <w:ilvl w:val="0"/>
          <w:numId w:val="2"/>
        </w:numPr>
        <w:spacing w:after="80"/>
      </w:pPr>
      <w:r>
        <w:rPr>
          <w:rFonts w:ascii="Arial" w:cs="Arial" w:eastAsia="Arial" w:hAnsi="Arial"/>
          <w:b/>
          <w:bCs/>
          <w:sz w:val="24"/>
          <w:szCs w:val="24"/>
        </w:rPr>
        <w:t xml:space="preserve">Pop-up de Dica de Coleta: </w:t>
      </w:r>
      <w:r>
        <w:rPr>
          <w:rFonts w:ascii="Arial" w:cs="Arial" w:eastAsia="Arial" w:hAnsi="Arial"/>
          <w:sz w:val="24"/>
          <w:szCs w:val="24"/>
        </w:rPr>
        <w:t xml:space="preserve">O sal de Taoudenni vem em estratos bem definidos: as camadas superiores são mais porosas e de qualidade inferior (usada para animais); as camadas intermediárias são densas e translúcidas — qualidade comercial; as camadas mais profundas têm cristais rosados puros. Use o Machado de Pedra em golpes horizontais paralelos à estratificação para separar lajes inteiras sem fragmentar. Golpes verticais estilhaçam o sal em pó — desperdício.</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3: Coleta</w:t>
      </w:r>
    </w:p>
    <w:p>
      <w:pPr>
        <w:pStyle w:val="ListParagraph"/>
        <w:numPr>
          <w:ilvl w:val="0"/>
          <w:numId w:val="2"/>
        </w:numPr>
        <w:spacing w:after="80"/>
      </w:pPr>
      <w:r>
        <w:rPr>
          <w:rFonts w:ascii="Arial" w:cs="Arial" w:eastAsia="Arial" w:hAnsi="Arial"/>
          <w:b/>
          <w:bCs/>
          <w:sz w:val="24"/>
          <w:szCs w:val="24"/>
        </w:rPr>
        <w:t xml:space="preserve">Mecânica: </w:t>
      </w:r>
      <w:r>
        <w:rPr>
          <w:rFonts w:ascii="Arial" w:cs="Arial" w:eastAsia="Arial" w:hAnsi="Arial"/>
          <w:sz w:val="24"/>
          <w:szCs w:val="24"/>
        </w:rPr>
        <w:t xml:space="preserve">Dois mini-puzzles em sequência. Primeira parte (Taoudenni): o jogador usa o Machado de Pedra em golpes horizontais na parede de sal estratificada — uma mecânica de timing e direção diferente de todas as fases anteriores, porque o golpe deve ser paralelo à camada para separar uma laje inteira. Segunda parte (Bazar de Timbuktu): o jogador usa o Astrolábio para navegar pelas ruelas do mercado antes da tempestade de areia — verificando a posição do sol pelo instrumento para determinar a direção da Biblioteca de Sankoré.</w:t>
      </w:r>
    </w:p>
    <w:p>
      <w:pPr>
        <w:pStyle w:val="ListParagraph"/>
        <w:numPr>
          <w:ilvl w:val="0"/>
          <w:numId w:val="2"/>
        </w:numPr>
        <w:spacing w:after="80"/>
      </w:pPr>
      <w:r>
        <w:rPr>
          <w:rFonts w:ascii="Arial" w:cs="Arial" w:eastAsia="Arial" w:hAnsi="Arial"/>
          <w:b/>
          <w:bCs/>
          <w:sz w:val="24"/>
          <w:szCs w:val="24"/>
        </w:rPr>
        <w:t xml:space="preserve">Objetivo: </w:t>
      </w:r>
      <w:r>
        <w:rPr>
          <w:rFonts w:ascii="Arial" w:cs="Arial" w:eastAsia="Arial" w:hAnsi="Arial"/>
          <w:sz w:val="24"/>
          <w:szCs w:val="24"/>
        </w:rPr>
        <w:t xml:space="preserve">Coletar </w:t>
      </w:r>
      <w:r>
        <w:rPr>
          <w:rFonts w:ascii="Arial" w:cs="Arial" w:eastAsia="Arial" w:hAnsi="Arial"/>
          <w:b/>
          <w:bCs/>
          <w:sz w:val="24"/>
          <w:szCs w:val="24"/>
        </w:rPr>
        <w:t xml:space="preserve">2 lajes de Halita Saariana</w:t>
      </w:r>
      <w:r>
        <w:rPr>
          <w:rFonts w:ascii="Arial" w:cs="Arial" w:eastAsia="Arial" w:hAnsi="Arial"/>
          <w:sz w:val="24"/>
          <w:szCs w:val="24"/>
        </w:rPr>
        <w:t xml:space="preserve"> (usando o método tuaregue correto de golpe horizontal) e </w:t>
      </w:r>
      <w:r>
        <w:rPr>
          <w:rFonts w:ascii="Arial" w:cs="Arial" w:eastAsia="Arial" w:hAnsi="Arial"/>
          <w:b/>
          <w:bCs/>
          <w:sz w:val="24"/>
          <w:szCs w:val="24"/>
        </w:rPr>
        <w:t xml:space="preserve">1 artefato histórico</w:t>
      </w:r>
      <w:r>
        <w:rPr>
          <w:rFonts w:ascii="Arial" w:cs="Arial" w:eastAsia="Arial" w:hAnsi="Arial"/>
          <w:sz w:val="24"/>
          <w:szCs w:val="24"/>
        </w:rPr>
        <w:t xml:space="preserve"> na Biblioteca de Sankoré (</w:t>
      </w:r>
      <w:r>
        <w:rPr>
          <w:rFonts w:ascii="Arial" w:cs="Arial" w:eastAsia="Arial" w:hAnsi="Arial"/>
          <w:b/>
          <w:bCs/>
          <w:sz w:val="24"/>
          <w:szCs w:val="24"/>
        </w:rPr>
        <w:t xml:space="preserve">Manuscrito de Timbuktu</w:t>
      </w:r>
      <w:r>
        <w:rPr>
          <w:rFonts w:ascii="Arial" w:cs="Arial" w:eastAsia="Arial" w:hAnsi="Arial"/>
          <w:sz w:val="24"/>
          <w:szCs w:val="24"/>
        </w:rPr>
        <w:t xml:space="preserve">: Um manuscrito em árabe sobre mineralogia e alquimia, do século XIV, escrito em papiro tratado com goma de acácia. Timbuktu tinha mais de 700.000 manuscritos — sobre astronomia, medicina, matemática, direito islâmico e ciência mineral. Muitos foram escondidos em areia durante invasões do século XVI e estão sendo recuperados até hoje. Este manuscrito descreve as propriedades do ouro, da prata e do mercúrio — conectando diretamente às Fases 1.1 e 3.3 da série).</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"Use o Astrolábio para encontrar a Biblioteca antes da tempestade. Gire o instrumento até a sombra do estilete se alinhar com o sol — ele vai te mostrar onde fica o norte, e a Biblioteca de Sankoré fica a nordeste do bazar. Rápido — quando a areia começa a subir no horizonte, você tem cerca de 10 minutos antes de não conseguir mais ver a rua à sua frente."</w:t>
      </w:r>
    </w:p>
    <w:p>
      <w:pPr>
        <w:pStyle w:val="ListParagraph"/>
        <w:numPr>
          <w:ilvl w:val="0"/>
          <w:numId w:val="2"/>
        </w:numPr>
        <w:spacing w:after="80"/>
      </w:pPr>
      <w:r>
        <w:rPr>
          <w:rFonts w:ascii="Arial" w:cs="Arial" w:eastAsia="Arial" w:hAnsi="Arial"/>
          <w:b/>
          <w:bCs/>
          <w:sz w:val="24"/>
          <w:szCs w:val="24"/>
        </w:rPr>
        <w:t xml:space="preserve">Obstáculo: </w:t>
      </w:r>
      <w:r>
        <w:rPr>
          <w:rFonts w:ascii="Arial" w:cs="Arial" w:eastAsia="Arial" w:hAnsi="Arial"/>
          <w:sz w:val="24"/>
          <w:szCs w:val="24"/>
        </w:rPr>
        <w:t xml:space="preserve">"A Tempestade de Areia (Harmattan)". No meio da navegação pelo bazar, o </w:t>
      </w:r>
      <w:r>
        <w:rPr>
          <w:rFonts w:ascii="Arial" w:cs="Arial" w:eastAsia="Arial" w:hAnsi="Arial"/>
          <w:b/>
          <w:bCs/>
          <w:sz w:val="24"/>
          <w:szCs w:val="24"/>
        </w:rPr>
        <w:t xml:space="preserve">vento Harmattan</w:t>
      </w:r>
      <w:r>
        <w:rPr>
          <w:rFonts w:ascii="Arial" w:cs="Arial" w:eastAsia="Arial" w:hAnsi="Arial"/>
          <w:sz w:val="24"/>
          <w:szCs w:val="24"/>
        </w:rPr>
        <w:t xml:space="preserve"> (vento sazonal do Saara que traz paredes de areia) começa a surgir no horizonte norte como uma nuvem marrom. O jogador tem um tempo limitado para usar o Astrolábio corretamente e chegar à Biblioteca. Se não usar o instrumento — tentando navegar pelo visual do cenário — a tempestade cobre tudo e Corvan precisa se abrigar até passar, perdendo o acesso à Biblioteca naquela tentativa. O astrolábio ensina que </w:t>
      </w:r>
      <w:r>
        <w:rPr>
          <w:rFonts w:ascii="Arial" w:cs="Arial" w:eastAsia="Arial" w:hAnsi="Arial"/>
          <w:b/>
          <w:bCs/>
          <w:sz w:val="24"/>
          <w:szCs w:val="24"/>
        </w:rPr>
        <w:t xml:space="preserve">ferramentas de leitura do ambiente natural são mais confiáveis que a intuição visual</w:t>
      </w:r>
      <w:r>
        <w:rPr>
          <w:rFonts w:ascii="Arial" w:cs="Arial" w:eastAsia="Arial" w:hAnsi="Arial"/>
          <w:sz w:val="24"/>
          <w:szCs w:val="24"/>
        </w:rPr>
        <w:t xml:space="preserve"> — uma lição epistemológica direta.</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4: Conclusão e Impacto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Na Biblioteca de Sankoré ao entardecer, Corvan segura o Manuscrito com luvas de couro. Ao redor, prateleiras de papiro e pergaminho em uma sala de teto baixo e fresco, a luz entrando por aberturas geométricas na parede de terra. Através de uma janela, o rio Níger brilha dourado com o sol poente. Uma animação mostra o percurso do conhecimento deste manuscrito: de Timbuktu → para Marrocos com comerciantes árabes → para a Espanha mourca → para a Itália renascentista → para os alquimistas que estavam refinando mercúrio em Almadén enquanto este manuscrito descrevia suas propriedades.</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"Este manuscrito sobre minerais foi escrito aqui, em Timbuktu, no século XIV. Cinquenta anos depois, chegou à Europa via Marrocos. Está na biblioteca de Florença quando Galileu nasce. O conhecimento que permitiu a Revolução Científica europeia passou por aqui — por este deserto, por esta cidade de sal e ouro que a história decidiu esquecer. Não existe um centro do mundo intelectual. Existe uma rede. E esta cidade de areia foi um dos nós mais importantes dessa rede."</w:t>
      </w:r>
    </w:p>
    <w:p>
      <w:pPr>
        <w:pStyle w:val="ListParagraph"/>
        <w:numPr>
          <w:ilvl w:val="0"/>
          <w:numId w:val="2"/>
        </w:numPr>
        <w:spacing w:after="80"/>
      </w:pPr>
      <w:r>
        <w:rPr>
          <w:rFonts w:ascii="Arial" w:cs="Arial" w:eastAsia="Arial" w:hAnsi="Arial"/>
          <w:b/>
          <w:bCs/>
          <w:sz w:val="24"/>
          <w:szCs w:val="24"/>
        </w:rPr>
        <w:t xml:space="preserve">Resultado: </w:t>
      </w:r>
      <w:r>
        <w:rPr>
          <w:rFonts w:ascii="Arial" w:cs="Arial" w:eastAsia="Arial" w:hAnsi="Arial"/>
          <w:sz w:val="24"/>
          <w:szCs w:val="24"/>
        </w:rPr>
        <w:t xml:space="preserve">Conclusão da trilogia da África. Desbloqueio do mapa completo da região e acesso à próxima grande área do Mapa Mundi de Mineralis.</w:t>
      </w:r>
    </w:p>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Mapa de Imagens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Imagem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Situação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Dromedário de Caravana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Astrolábio Islâmico de Latão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Machado de Pedra Tuaregue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Balança de Bronze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Manuscrito de Timbuktu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bl>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Sonorização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Tipo de Som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Efeitos Sonoros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spacing w:after="100"/>
            </w:pPr>
            <w:r>
              <w:rPr>
                <w:rFonts w:ascii="Arial" w:cs="Arial" w:eastAsia="Arial" w:hAnsi="Arial"/>
                <w:b/>
                <w:bCs/>
                <w:sz w:val="24"/>
                <w:szCs w:val="24"/>
              </w:rPr>
              <w:t xml:space="preserve">Ambiente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Cena 01 – Caravana no Deserto / Entrada de Timbuktu:</w:t>
            </w:r>
          </w:p>
          <w:p>
            <w:pPr>
              <w:spacing w:after="100"/>
            </w:pPr>
            <w:r>
              <w:rPr>
                <w:rFonts w:ascii="Arial" w:cs="Arial" w:eastAsia="Arial" w:hAnsi="Arial"/>
                <w:sz w:val="24"/>
                <w:szCs w:val="24"/>
              </w:rPr>
              <w:t xml:space="preserve">O som mais característico desta fase: o tilintar rítmico dos sinos e amuletos de bronze nos arreios dos camelos — um tintinar suave e constante que marca o passo lento da caravana. Vento suave sobre dunas de areia, sem agressividade. Ao longe, o chamado para a oração do muezim de uma das três mesquitas de Timbuktu — grave, reverberante, imponente. O som de folhas de palmeira seca balançando.</w:t>
            </w:r>
          </w:p>
          <w:p>
            <w:pPr>
              <w:spacing w:after="100"/>
            </w:pPr>
            <w:r>
              <w:rPr>
                <w:rFonts w:ascii="Arial" w:cs="Arial" w:eastAsia="Arial" w:hAnsi="Arial"/>
                <w:b/>
                <w:bCs/>
                <w:sz w:val="24"/>
                <w:szCs w:val="24"/>
              </w:rPr>
              <w:t xml:space="preserve">Cena 02/03 – Minas de Sal de Taoudenni / Bazar:</w:t>
            </w:r>
          </w:p>
          <w:p>
            <w:pPr>
              <w:spacing w:after="100"/>
            </w:pPr>
            <w:r>
              <w:rPr>
                <w:rFonts w:ascii="Arial" w:cs="Arial" w:eastAsia="Arial" w:hAnsi="Arial"/>
                <w:sz w:val="24"/>
                <w:szCs w:val="24"/>
              </w:rPr>
              <w:t xml:space="preserve">No deserto de sal: um silêncio quase absoluto, quebrado apenas pelo vento e pelo som de lascas de sal sendo cortadas — um "klink" limpo e cristalino, diferente da halita de Wieliczka (mais suave). No bazar de Timbuktu: um murmúrio coletivo em árabe, tamacheque (tuaregue) e mandinga. Moedas de ouro batendo em bandejas de metal. O arranhar de penas de escriba em manuscritos.</w:t>
            </w:r>
          </w:p>
          <w:p>
            <w:pPr>
              <w:spacing w:after="100"/>
            </w:pPr>
            <w:r>
              <w:rPr>
                <w:rFonts w:ascii="Arial" w:cs="Arial" w:eastAsia="Arial" w:hAnsi="Arial"/>
                <w:b/>
                <w:bCs/>
                <w:sz w:val="24"/>
                <w:szCs w:val="24"/>
              </w:rPr>
              <w:t xml:space="preserve">Cena 04 – Biblioteca / Pátio de Sankoré:</w:t>
            </w:r>
          </w:p>
          <w:p>
            <w:pPr>
              <w:spacing w:after="100"/>
            </w:pPr>
            <w:r>
              <w:rPr>
                <w:rFonts w:ascii="Arial" w:cs="Arial" w:eastAsia="Arial" w:hAnsi="Arial"/>
                <w:sz w:val="24"/>
                <w:szCs w:val="24"/>
              </w:rPr>
              <w:t xml:space="preserve">Silêncio quase sagrado de uma biblioteca medieval. Páginas sendo viradas com cuidado. Uma brisa suave por entre as aberturas da mesquita. Ao longe, o som de crianças recitando versos do Alcorão em uma escola — a "madrassa" — ecoando pelo pátio de pedra. Um dos sons mais intelectualmente evocativos de toda a série.</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100"/>
            </w:pPr>
            <w:r>
              <w:rPr>
                <w:rFonts w:ascii="Arial" w:cs="Arial" w:eastAsia="Arial" w:hAnsi="Arial"/>
                <w:b/>
                <w:bCs/>
                <w:sz w:val="24"/>
                <w:szCs w:val="24"/>
              </w:rPr>
              <w:t xml:space="preserve">Recompensa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Coleta de Bloco de Sal-Gema (Taoudenni):</w:t>
            </w:r>
          </w:p>
          <w:p>
            <w:pPr>
              <w:spacing w:after="100"/>
            </w:pPr>
            <w:r>
              <w:rPr>
                <w:rFonts w:ascii="Arial" w:cs="Arial" w:eastAsia="Arial" w:hAnsi="Arial"/>
                <w:sz w:val="24"/>
                <w:szCs w:val="24"/>
              </w:rPr>
              <w:t xml:space="preserve">Um "klink" de lâmina cortando halita — similar ao da Fase 3.1 mas mais agressivo, pois o sal de Taoudenni é extraído com machados de pedra pelos Tuaregues, não com talhadeiras finas. O som é bruto e rítmico, como um machado de cozinha em tábua de madeira.</w:t>
            </w:r>
          </w:p>
          <w:p>
            <w:pPr>
              <w:spacing w:after="100"/>
            </w:pPr>
            <w:r>
              <w:rPr>
                <w:rFonts w:ascii="Arial" w:cs="Arial" w:eastAsia="Arial" w:hAnsi="Arial"/>
                <w:b/>
                <w:bCs/>
                <w:sz w:val="24"/>
                <w:szCs w:val="24"/>
              </w:rPr>
              <w:t xml:space="preserve">Coleta do Manuscrito de Timbuktu:</w:t>
            </w:r>
          </w:p>
          <w:p>
            <w:pPr>
              <w:spacing w:after="100"/>
            </w:pPr>
            <w:r>
              <w:rPr>
                <w:rFonts w:ascii="Arial" w:cs="Arial" w:eastAsia="Arial" w:hAnsi="Arial"/>
                <w:sz w:val="24"/>
                <w:szCs w:val="24"/>
              </w:rPr>
              <w:t xml:space="preserve">O som de folhas de papiro envelhecido sendo abertas cuidadosamente — um farfalhar suave e respeitoso. Seguido por uma única nota de alaúde árabe (oud) — não uma melodia, apenas uma nota longa e ressonante que significa: "este objeto tem peso intelectual".</w:t>
            </w:r>
          </w:p>
          <w:p>
            <w:pPr>
              <w:spacing w:after="100"/>
            </w:pPr>
            <w:r>
              <w:rPr>
                <w:rFonts w:ascii="Arial" w:cs="Arial" w:eastAsia="Arial" w:hAnsi="Arial"/>
                <w:b/>
                <w:bCs/>
                <w:sz w:val="24"/>
                <w:szCs w:val="24"/>
              </w:rPr>
              <w:t xml:space="preserve">Pop-up Educativo:</w:t>
            </w:r>
          </w:p>
          <w:p>
            <w:pPr>
              <w:spacing w:after="100"/>
            </w:pPr>
            <w:r>
              <w:rPr>
                <w:rFonts w:ascii="Arial" w:cs="Arial" w:eastAsia="Arial" w:hAnsi="Arial"/>
                <w:sz w:val="24"/>
                <w:szCs w:val="24"/>
              </w:rPr>
              <w:t xml:space="preserve">Som curto e satisfatório de "página virando" ou clique digital suave quando a ficha de curiosidade mineral aparece na tela.</w:t>
            </w:r>
          </w:p>
        </w:tc>
      </w:tr>
      <w:tr>
        <w:tc>
          <w:tcPr>
            <w:tcW w:type="dxa" w:w="2000"/>
            <w:tcBorders>
              <w:top w:val="single" w:color="CCCCCC" w:sz="1"/>
              <w:left w:val="single" w:color="CCCCCC" w:sz="1"/>
              <w:bottom w:val="single" w:color="CCCCCC" w:sz="1"/>
              <w:right w:val="single" w:color="CCCCCC" w:sz="1"/>
            </w:tcBorders>
            <w:shd w:fill="F5EFF5" w:val="clear"/>
            <w:tcMar>
              <w:top w:type="dxa" w:w="80"/>
              <w:left w:type="dxa" w:w="120"/>
              <w:bottom w:type="dxa" w:w="80"/>
              <w:right w:type="dxa" w:w="120"/>
            </w:tcMar>
          </w:tcPr>
          <w:p>
            <w:pPr>
              <w:spacing w:after="100"/>
            </w:pPr>
            <w:r>
              <w:rPr>
                <w:rFonts w:ascii="Arial" w:cs="Arial" w:eastAsia="Arial" w:hAnsi="Arial"/>
                <w:b/>
                <w:bCs/>
                <w:sz w:val="24"/>
                <w:szCs w:val="24"/>
              </w:rPr>
              <w:t xml:space="preserve">Efeitos Sonoros de Interação (SFX)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O Machado de Pedra Tuaregue:</w:t>
            </w:r>
          </w:p>
          <w:p>
            <w:pPr>
              <w:spacing w:after="100"/>
            </w:pPr>
            <w:r>
              <w:rPr>
                <w:rFonts w:ascii="Arial" w:cs="Arial" w:eastAsia="Arial" w:hAnsi="Arial"/>
                <w:sz w:val="24"/>
                <w:szCs w:val="24"/>
              </w:rPr>
              <w:t xml:space="preserve">Acerto no sal de Taoudenni: "Klak!" seco e agudo — o sal do Saara é mais compacto e menos cristalino que a halita europeia. Ao separar um bloco inteiro: um "crack" de ruptura seguido de silêncio — o bloco inteiro se separa em silêncio, pesado.</w:t>
            </w:r>
          </w:p>
          <w:p>
            <w:pPr>
              <w:spacing w:after="100"/>
            </w:pPr>
            <w:r>
              <w:rPr>
                <w:rFonts w:ascii="Arial" w:cs="Arial" w:eastAsia="Arial" w:hAnsi="Arial"/>
                <w:b/>
                <w:bCs/>
                <w:sz w:val="24"/>
                <w:szCs w:val="24"/>
              </w:rPr>
              <w:t xml:space="preserve">O Astrolábio Islâmico (item do camelo):</w:t>
            </w:r>
          </w:p>
          <w:p>
            <w:pPr>
              <w:spacing w:after="100"/>
            </w:pPr>
            <w:r>
              <w:rPr>
                <w:rFonts w:ascii="Arial" w:cs="Arial" w:eastAsia="Arial" w:hAnsi="Arial"/>
                <w:sz w:val="24"/>
                <w:szCs w:val="24"/>
              </w:rPr>
              <w:t xml:space="preserve">Ao calibrar o astrolábio: um click metálico preciso de latão — "tick". Cada ajuste nos anéis produz um "tick" diferente em altura, criando uma pequena sequência musical quando o instrumento está corretamente alinhado.</w:t>
            </w:r>
          </w:p>
          <w:p>
            <w:pPr>
              <w:spacing w:after="100"/>
            </w:pPr>
            <w:r>
              <w:rPr>
                <w:rFonts w:ascii="Arial" w:cs="Arial" w:eastAsia="Arial" w:hAnsi="Arial"/>
                <w:b/>
                <w:bCs/>
                <w:sz w:val="24"/>
                <w:szCs w:val="24"/>
              </w:rPr>
              <w:t xml:space="preserve">A Tempestade de Areia (Obstáculo):</w:t>
            </w:r>
          </w:p>
          <w:p>
            <w:pPr>
              <w:spacing w:after="100"/>
            </w:pPr>
            <w:r>
              <w:rPr>
                <w:rFonts w:ascii="Arial" w:cs="Arial" w:eastAsia="Arial" w:hAnsi="Arial"/>
                <w:sz w:val="24"/>
                <w:szCs w:val="24"/>
              </w:rPr>
              <w:t xml:space="preserve">Primeiros sinais: vento aumentando gradualmente de volume, com grãos de areia batendo em superfícies duras — "ssss" crescente. No pico da tempestade: um rugido de baixa frequência e constante que domina todo o soundscape. Ao encontrar o oásis ou a caravana: o vento diminui abruptamente e os sinos dos camelos reaparecem como âncora sonora de segurança.</w:t>
            </w:r>
          </w:p>
        </w:tc>
      </w:tr>
      <w:tr>
        <w:tc>
          <w:tcPr>
            <w:tcW w:type="dxa" w:w="200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pPr>
              <w:spacing w:after="100"/>
            </w:pPr>
            <w:r>
              <w:rPr>
                <w:rFonts w:ascii="Arial" w:cs="Arial" w:eastAsia="Arial" w:hAnsi="Arial"/>
                <w:b/>
                <w:bCs/>
                <w:sz w:val="24"/>
                <w:szCs w:val="24"/>
              </w:rPr>
              <w:t xml:space="preserve">Música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Instrumentação:</w:t>
            </w:r>
          </w:p>
          <w:p>
            <w:pPr>
              <w:spacing w:after="100"/>
            </w:pPr>
            <w:r>
              <w:rPr>
                <w:rFonts w:ascii="Arial" w:cs="Arial" w:eastAsia="Arial" w:hAnsi="Arial"/>
                <w:sz w:val="24"/>
                <w:szCs w:val="24"/>
              </w:rPr>
              <w:t xml:space="preserve">Tradição musical do Mali e do Norte da África islâmico no século XIV: Kora (harpa-alaúde de 21 cordas da Guiné — um dos instrumentos mais complexos da África Ocidental), oud (alaúde árabe), ngoni (alaúde ancestral mandinga), tambor djembe em ritmo de caravana, e voz de griot (o narrador oral mandinga que preserva a história por tradição verbal). A kora é a assinatura sonora desta fase — seu timbre é inconfundível, ao mesmo tempo africano e universalmente evocativo de deserto e sabedoria.</w:t>
            </w:r>
          </w:p>
          <w:p>
            <w:pPr>
              <w:spacing w:after="100"/>
            </w:pPr>
            <w:r>
              <w:rPr>
                <w:rFonts w:ascii="Arial" w:cs="Arial" w:eastAsia="Arial" w:hAnsi="Arial"/>
                <w:b/>
                <w:bCs/>
                <w:sz w:val="24"/>
                <w:szCs w:val="24"/>
              </w:rPr>
              <w:t xml:space="preserve">Clima:</w:t>
            </w:r>
          </w:p>
          <w:p>
            <w:pPr>
              <w:spacing w:after="100"/>
            </w:pPr>
            <w:r>
              <w:rPr>
                <w:rFonts w:ascii="Arial" w:cs="Arial" w:eastAsia="Arial" w:hAnsi="Arial"/>
                <w:sz w:val="24"/>
                <w:szCs w:val="24"/>
              </w:rPr>
              <w:t xml:space="preserve">Na caravana e no deserto (Cenas 1–3): Uma melodia de kora que sobe e desce como as dunas — fluida, sem pressa, infinita. Sugere tanto o vazio do Saara quanto a riqueza intelectual de quem o atravessou. No bazar e na biblioteca (Cena 3–4): o oud islâmico entra com uma melodia mais ornamentada e estudada. Na Cena 4 (Manuscrito), a música para — apenas o silêncio da biblioteca, quebrado pela kora em uma única frase final.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2026-04-25T00:08:51.009Z</dcterms:created>
  <dcterms:modified xsi:type="dcterms:W3CDTF">2026-04-25T00:08:51.009Z</dcterms:modified>
</cp:coreProperties>
</file>

<file path=docProps/custom.xml><?xml version="1.0" encoding="utf-8"?>
<Properties xmlns="http://schemas.openxmlformats.org/officeDocument/2006/custom-properties" xmlns:vt="http://schemas.openxmlformats.org/officeDocument/2006/docPropsVTypes"/>
</file>