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DOCUMENTACIÓN EXPLICATIVA</w:t>
        <w:br/>
        <w:t>BLOQUE 3 - SERVICIO ASFI</w:t>
      </w:r>
    </w:p>
    <w:p>
      <w:pPr>
        <w:jc w:val="center"/>
      </w:pPr>
      <w:r>
        <w:rPr>
          <w:color w:val="4F81BD"/>
          <w:sz w:val="24"/>
        </w:rPr>
        <w:t>Proyecto: conversion-monetaria-asfi</w:t>
      </w:r>
    </w:p>
    <w:tbl>
      <w:tblPr>
        <w:tblW w:type="auto" w:w="0"/>
        <w:jc w:val="center"/>
        <w:tblLayout w:type="fixed"/>
        <w:tblLook w:firstColumn="1" w:firstRow="1" w:lastColumn="0" w:lastRow="0" w:noHBand="0" w:noVBand="1" w:val="04A0"/>
      </w:tblPr>
      <w:tblGrid>
        <w:gridCol w:w="8496"/>
      </w:tblGrid>
      <w:tr>
        <w:tc>
          <w:tcPr>
            <w:tcW w:type="dxa" w:w="9792"/>
            <w:shd w:fill="EAF2F8"/>
            <w:vAlign w:val="center"/>
          </w:tcPr>
          <w:p>
            <w:pPr>
              <w:spacing w:after="0" w:line="252" w:lineRule="auto"/>
            </w:pPr>
            <w:r>
              <w:rPr>
                <w:sz w:val="19"/>
              </w:rPr>
              <w:t>Documento de apoyo para entender la solución, ubicar archivos clave, ejecutar el proyecto y defender académicamente el bloque 3.</w:t>
            </w:r>
          </w:p>
        </w:tc>
      </w:tr>
    </w:tbl>
    <w:p/>
    <w:p>
      <w:r>
        <w:br w:type="page"/>
      </w:r>
    </w:p>
    <w:p>
      <w:pPr>
        <w:pStyle w:val="Heading1"/>
        <w:spacing w:before="80" w:after="120"/>
      </w:pPr>
      <w:r>
        <w:rPr>
          <w:b/>
          <w:color w:val="1F4E79"/>
          <w:sz w:val="28"/>
        </w:rPr>
        <w:t>1. Propósito del bloque 3</w:t>
      </w:r>
    </w:p>
    <w:p>
      <w:pPr>
        <w:spacing w:after="80" w:line="276" w:lineRule="auto"/>
      </w:pPr>
      <w:r>
        <w:t>El bloque 3 implementa el servicio central de ASFI que consume información desde los bancos, interpreta qué campos llegan cifrados, los descifra con el algoritmo correcto según el banco, consulta el tipo de cambio vigente, convierte saldos desde USD a bolivianos, registra el resultado en la base central, audita la operación, devuelve la actualización al banco y valida consistencia.</w:t>
      </w:r>
    </w:p>
    <w:p>
      <w:pPr>
        <w:spacing w:after="80" w:line="276" w:lineRule="auto"/>
      </w:pPr>
      <w:r>
        <w:t>La solución se diseñó para que sea entendible, modular y defendible. Por eso se evitó concentrar toda la lógica en un archivo monolítico y se separó el trabajo por módulos bien definidos.</w:t>
      </w:r>
    </w:p>
    <w:p>
      <w:pPr>
        <w:pStyle w:val="Heading1"/>
        <w:spacing w:before="80" w:after="120"/>
      </w:pPr>
      <w:r>
        <w:rPr>
          <w:b/>
          <w:color w:val="1F4E79"/>
          <w:sz w:val="28"/>
        </w:rPr>
        <w:t>2. Qué incluye la entrega</w:t>
      </w:r>
    </w:p>
    <w:p>
      <w:pPr>
        <w:pStyle w:val="ListBullet"/>
        <w:spacing w:after="40" w:line="259" w:lineRule="auto"/>
      </w:pPr>
      <w:r>
        <w:t>Arquitectura modular documentada.</w:t>
      </w:r>
    </w:p>
    <w:p>
      <w:pPr>
        <w:pStyle w:val="ListBullet"/>
        <w:spacing w:after="40" w:line="259" w:lineRule="auto"/>
      </w:pPr>
      <w:r>
        <w:t>Scripts SQL para la base oficial de ASFI.</w:t>
      </w:r>
    </w:p>
    <w:p>
      <w:pPr>
        <w:pStyle w:val="ListBullet"/>
        <w:spacing w:after="40" w:line="259" w:lineRule="auto"/>
      </w:pPr>
      <w:r>
        <w:t>Seed de 14 bancos con su algoritmo de cifrado.</w:t>
      </w:r>
    </w:p>
    <w:p>
      <w:pPr>
        <w:pStyle w:val="ListBullet"/>
        <w:spacing w:after="40" w:line="259" w:lineRule="auto"/>
      </w:pPr>
      <w:r>
        <w:t>Cliente HTTP real y cliente mock de laboratorio.</w:t>
      </w:r>
    </w:p>
    <w:p>
      <w:pPr>
        <w:pStyle w:val="ListBullet"/>
        <w:spacing w:after="40" w:line="259" w:lineRule="auto"/>
      </w:pPr>
      <w:r>
        <w:t>Interpretación de campos_cifrados y registro central de llaves por banco.</w:t>
      </w:r>
    </w:p>
    <w:p>
      <w:pPr>
        <w:pStyle w:val="ListBullet"/>
        <w:spacing w:after="40" w:line="259" w:lineRule="auto"/>
      </w:pPr>
      <w:r>
        <w:t>Descifrado tolerante a errores y tipo de cambio dinámico configurable.</w:t>
      </w:r>
    </w:p>
    <w:p>
      <w:pPr>
        <w:pStyle w:val="ListBullet"/>
        <w:spacing w:after="40" w:line="259" w:lineRule="auto"/>
      </w:pPr>
      <w:r>
        <w:t>Conversión monetaria con 4 decimales y código de verificación hexadecimal.</w:t>
      </w:r>
    </w:p>
    <w:p>
      <w:pPr>
        <w:pStyle w:val="ListBullet"/>
        <w:spacing w:after="40" w:line="259" w:lineRule="auto"/>
      </w:pPr>
      <w:r>
        <w:t>Persistencia central, auditoría, callback al banco y validación de consistencia.</w:t>
      </w:r>
    </w:p>
    <w:p>
      <w:pPr>
        <w:pStyle w:val="ListBullet"/>
        <w:spacing w:after="40" w:line="259" w:lineRule="auto"/>
      </w:pPr>
      <w:r>
        <w:t>Ejecución paralela por banco y escritura por lotes.</w:t>
      </w:r>
    </w:p>
    <w:p>
      <w:pPr>
        <w:pStyle w:val="ListBullet"/>
        <w:spacing w:after="40" w:line="259" w:lineRule="auto"/>
      </w:pPr>
      <w:r>
        <w:t>Controles de seguridad básica, Docker y pruebas automatizadas.</w:t>
      </w:r>
    </w:p>
    <w:p>
      <w:pPr>
        <w:pStyle w:val="Heading1"/>
        <w:spacing w:before="80" w:after="120"/>
      </w:pPr>
      <w:r>
        <w:rPr>
          <w:b/>
          <w:color w:val="1F4E79"/>
          <w:sz w:val="28"/>
        </w:rPr>
        <w:t>3. Arquitectura general</w:t>
      </w:r>
    </w:p>
    <w:p>
      <w:pPr>
        <w:spacing w:after="80" w:line="276" w:lineRule="auto"/>
      </w:pPr>
      <w:r>
        <w:t>La arquitectura se organizó para permitir pruebas por partes y para que cada módulo tenga una responsabilidad clara.</w:t>
      </w:r>
    </w:p>
    <w:tbl>
      <w:tblPr>
        <w:tblStyle w:val="TableGrid"/>
        <w:tblW w:type="auto" w:w="0"/>
        <w:jc w:val="center"/>
        <w:tblLook w:firstColumn="1" w:firstRow="1" w:lastColumn="0" w:lastRow="0" w:noHBand="0" w:noVBand="1" w:val="04A0"/>
      </w:tblPr>
      <w:tblGrid>
        <w:gridCol w:w="3240"/>
        <w:gridCol w:w="7056"/>
      </w:tblGrid>
      <w:tr>
        <w:tc>
          <w:tcPr>
            <w:tcW w:type="dxa" w:w="4896"/>
            <w:shd w:fill="D9EAF7"/>
            <w:vAlign w:val="center"/>
          </w:tcPr>
          <w:p>
            <w:pPr>
              <w:spacing w:after="0" w:line="252" w:lineRule="auto"/>
            </w:pPr>
            <w:r>
              <w:rPr>
                <w:b/>
                <w:sz w:val="19"/>
              </w:rPr>
              <w:t>Módulo</w:t>
            </w:r>
          </w:p>
        </w:tc>
        <w:tc>
          <w:tcPr>
            <w:tcW w:type="dxa" w:w="4896"/>
            <w:shd w:fill="D9EAF7"/>
            <w:vAlign w:val="center"/>
          </w:tcPr>
          <w:p>
            <w:pPr>
              <w:spacing w:after="0" w:line="252" w:lineRule="auto"/>
            </w:pPr>
            <w:r>
              <w:rPr>
                <w:b/>
                <w:sz w:val="19"/>
              </w:rPr>
              <w:t>Responsabilidad</w:t>
            </w:r>
          </w:p>
        </w:tc>
      </w:tr>
      <w:tr>
        <w:tc>
          <w:tcPr>
            <w:tcW w:type="dxa" w:w="3240"/>
            <w:vAlign w:val="center"/>
          </w:tcPr>
          <w:p>
            <w:pPr>
              <w:spacing w:after="0" w:line="252" w:lineRule="auto"/>
            </w:pPr>
            <w:r>
              <w:rPr>
                <w:sz w:val="19"/>
              </w:rPr>
              <w:t>API y orquestación</w:t>
            </w:r>
          </w:p>
        </w:tc>
        <w:tc>
          <w:tcPr>
            <w:tcW w:type="dxa" w:w="7056"/>
            <w:vAlign w:val="center"/>
          </w:tcPr>
          <w:p>
            <w:pPr>
              <w:spacing w:after="0" w:line="252" w:lineRule="auto"/>
            </w:pPr>
            <w:r>
              <w:rPr>
                <w:sz w:val="19"/>
              </w:rPr>
              <w:t>Recibe solicitudes y dispara el pipeline principal.</w:t>
            </w:r>
          </w:p>
        </w:tc>
      </w:tr>
      <w:tr>
        <w:tc>
          <w:tcPr>
            <w:tcW w:type="dxa" w:w="3240"/>
            <w:vAlign w:val="center"/>
          </w:tcPr>
          <w:p>
            <w:pPr>
              <w:spacing w:after="0" w:line="252" w:lineRule="auto"/>
            </w:pPr>
            <w:r>
              <w:rPr>
                <w:sz w:val="19"/>
              </w:rPr>
              <w:t>Consumo de bancos</w:t>
            </w:r>
          </w:p>
        </w:tc>
        <w:tc>
          <w:tcPr>
            <w:tcW w:type="dxa" w:w="7056"/>
            <w:vAlign w:val="center"/>
          </w:tcPr>
          <w:p>
            <w:pPr>
              <w:spacing w:after="0" w:line="252" w:lineRule="auto"/>
            </w:pPr>
            <w:r>
              <w:rPr>
                <w:sz w:val="19"/>
              </w:rPr>
              <w:t>Obtiene datos desde APIs reales o desde el mock.</w:t>
            </w:r>
          </w:p>
        </w:tc>
      </w:tr>
      <w:tr>
        <w:tc>
          <w:tcPr>
            <w:tcW w:type="dxa" w:w="3240"/>
            <w:vAlign w:val="center"/>
          </w:tcPr>
          <w:p>
            <w:pPr>
              <w:spacing w:after="0" w:line="252" w:lineRule="auto"/>
            </w:pPr>
            <w:r>
              <w:rPr>
                <w:sz w:val="19"/>
              </w:rPr>
              <w:t>Validación</w:t>
            </w:r>
          </w:p>
        </w:tc>
        <w:tc>
          <w:tcPr>
            <w:tcW w:type="dxa" w:w="7056"/>
            <w:vAlign w:val="center"/>
          </w:tcPr>
          <w:p>
            <w:pPr>
              <w:spacing w:after="0" w:line="252" w:lineRule="auto"/>
            </w:pPr>
            <w:r>
              <w:rPr>
                <w:sz w:val="19"/>
              </w:rPr>
              <w:t>Valida API key, timestamp, nonce e integridad.</w:t>
            </w:r>
          </w:p>
        </w:tc>
      </w:tr>
      <w:tr>
        <w:tc>
          <w:tcPr>
            <w:tcW w:type="dxa" w:w="3240"/>
            <w:vAlign w:val="center"/>
          </w:tcPr>
          <w:p>
            <w:pPr>
              <w:spacing w:after="0" w:line="252" w:lineRule="auto"/>
            </w:pPr>
            <w:r>
              <w:rPr>
                <w:sz w:val="19"/>
              </w:rPr>
              <w:t>Campos cifrados</w:t>
            </w:r>
          </w:p>
        </w:tc>
        <w:tc>
          <w:tcPr>
            <w:tcW w:type="dxa" w:w="7056"/>
            <w:vAlign w:val="center"/>
          </w:tcPr>
          <w:p>
            <w:pPr>
              <w:spacing w:after="0" w:line="252" w:lineRule="auto"/>
            </w:pPr>
            <w:r>
              <w:rPr>
                <w:sz w:val="19"/>
              </w:rPr>
              <w:t>Decide qué campos descifrar y cuáles dejar en claro.</w:t>
            </w:r>
          </w:p>
        </w:tc>
      </w:tr>
      <w:tr>
        <w:tc>
          <w:tcPr>
            <w:tcW w:type="dxa" w:w="3240"/>
            <w:vAlign w:val="center"/>
          </w:tcPr>
          <w:p>
            <w:pPr>
              <w:spacing w:after="0" w:line="252" w:lineRule="auto"/>
            </w:pPr>
            <w:r>
              <w:rPr>
                <w:sz w:val="19"/>
              </w:rPr>
              <w:t>Gestión de llaves</w:t>
            </w:r>
          </w:p>
        </w:tc>
        <w:tc>
          <w:tcPr>
            <w:tcW w:type="dxa" w:w="7056"/>
            <w:vAlign w:val="center"/>
          </w:tcPr>
          <w:p>
            <w:pPr>
              <w:spacing w:after="0" w:line="252" w:lineRule="auto"/>
            </w:pPr>
            <w:r>
              <w:rPr>
                <w:sz w:val="19"/>
              </w:rPr>
              <w:t>Localiza algoritmo y material criptográfico por BancoId.</w:t>
            </w:r>
          </w:p>
        </w:tc>
      </w:tr>
      <w:tr>
        <w:tc>
          <w:tcPr>
            <w:tcW w:type="dxa" w:w="3240"/>
            <w:vAlign w:val="center"/>
          </w:tcPr>
          <w:p>
            <w:pPr>
              <w:spacing w:after="0" w:line="252" w:lineRule="auto"/>
            </w:pPr>
            <w:r>
              <w:rPr>
                <w:sz w:val="19"/>
              </w:rPr>
              <w:t>Descifrado</w:t>
            </w:r>
          </w:p>
        </w:tc>
        <w:tc>
          <w:tcPr>
            <w:tcW w:type="dxa" w:w="7056"/>
            <w:vAlign w:val="center"/>
          </w:tcPr>
          <w:p>
            <w:pPr>
              <w:spacing w:after="0" w:line="252" w:lineRule="auto"/>
            </w:pPr>
            <w:r>
              <w:rPr>
                <w:sz w:val="19"/>
              </w:rPr>
              <w:t>Aplica el algoritmo correcto y maneja errores por cuenta.</w:t>
            </w:r>
          </w:p>
        </w:tc>
      </w:tr>
      <w:tr>
        <w:tc>
          <w:tcPr>
            <w:tcW w:type="dxa" w:w="3240"/>
            <w:vAlign w:val="center"/>
          </w:tcPr>
          <w:p>
            <w:pPr>
              <w:spacing w:after="0" w:line="252" w:lineRule="auto"/>
            </w:pPr>
            <w:r>
              <w:rPr>
                <w:sz w:val="19"/>
              </w:rPr>
              <w:t>Tipo de cambio</w:t>
            </w:r>
          </w:p>
        </w:tc>
        <w:tc>
          <w:tcPr>
            <w:tcW w:type="dxa" w:w="7056"/>
            <w:vAlign w:val="center"/>
          </w:tcPr>
          <w:p>
            <w:pPr>
              <w:spacing w:after="0" w:line="252" w:lineRule="auto"/>
            </w:pPr>
            <w:r>
              <w:rPr>
                <w:sz w:val="19"/>
              </w:rPr>
              <w:t>Obtiene una cotización dinámica desacoplada del flujo principal.</w:t>
            </w:r>
          </w:p>
        </w:tc>
      </w:tr>
      <w:tr>
        <w:tc>
          <w:tcPr>
            <w:tcW w:type="dxa" w:w="3240"/>
            <w:vAlign w:val="center"/>
          </w:tcPr>
          <w:p>
            <w:pPr>
              <w:spacing w:after="0" w:line="252" w:lineRule="auto"/>
            </w:pPr>
            <w:r>
              <w:rPr>
                <w:sz w:val="19"/>
              </w:rPr>
              <w:t>Conversión</w:t>
            </w:r>
          </w:p>
        </w:tc>
        <w:tc>
          <w:tcPr>
            <w:tcW w:type="dxa" w:w="7056"/>
            <w:vAlign w:val="center"/>
          </w:tcPr>
          <w:p>
            <w:pPr>
              <w:spacing w:after="0" w:line="252" w:lineRule="auto"/>
            </w:pPr>
            <w:r>
              <w:rPr>
                <w:sz w:val="19"/>
              </w:rPr>
              <w:t>Calcula SaldoBs = SaldoUSD x TipoCambio con 4 decimales.</w:t>
            </w:r>
          </w:p>
        </w:tc>
      </w:tr>
      <w:tr>
        <w:tc>
          <w:tcPr>
            <w:tcW w:type="dxa" w:w="3240"/>
            <w:vAlign w:val="center"/>
          </w:tcPr>
          <w:p>
            <w:pPr>
              <w:spacing w:after="0" w:line="252" w:lineRule="auto"/>
            </w:pPr>
            <w:r>
              <w:rPr>
                <w:sz w:val="19"/>
              </w:rPr>
              <w:t>Persistencia</w:t>
            </w:r>
          </w:p>
        </w:tc>
        <w:tc>
          <w:tcPr>
            <w:tcW w:type="dxa" w:w="7056"/>
            <w:vAlign w:val="center"/>
          </w:tcPr>
          <w:p>
            <w:pPr>
              <w:spacing w:after="0" w:line="252" w:lineRule="auto"/>
            </w:pPr>
            <w:r>
              <w:rPr>
                <w:sz w:val="19"/>
              </w:rPr>
              <w:t>Guarda resultados en la base central ASFI.</w:t>
            </w:r>
          </w:p>
        </w:tc>
      </w:tr>
      <w:tr>
        <w:tc>
          <w:tcPr>
            <w:tcW w:type="dxa" w:w="3240"/>
            <w:vAlign w:val="center"/>
          </w:tcPr>
          <w:p>
            <w:pPr>
              <w:spacing w:after="0" w:line="252" w:lineRule="auto"/>
            </w:pPr>
            <w:r>
              <w:rPr>
                <w:sz w:val="19"/>
              </w:rPr>
              <w:t>Auditoría</w:t>
            </w:r>
          </w:p>
        </w:tc>
        <w:tc>
          <w:tcPr>
            <w:tcW w:type="dxa" w:w="7056"/>
            <w:vAlign w:val="center"/>
          </w:tcPr>
          <w:p>
            <w:pPr>
              <w:spacing w:after="0" w:line="252" w:lineRule="auto"/>
            </w:pPr>
            <w:r>
              <w:rPr>
                <w:sz w:val="19"/>
              </w:rPr>
              <w:t>Registra operaciones en tabla y archivo.</w:t>
            </w:r>
          </w:p>
        </w:tc>
      </w:tr>
      <w:tr>
        <w:tc>
          <w:tcPr>
            <w:tcW w:type="dxa" w:w="3240"/>
            <w:vAlign w:val="center"/>
          </w:tcPr>
          <w:p>
            <w:pPr>
              <w:spacing w:after="0" w:line="252" w:lineRule="auto"/>
            </w:pPr>
            <w:r>
              <w:rPr>
                <w:sz w:val="19"/>
              </w:rPr>
              <w:t>Callback</w:t>
            </w:r>
          </w:p>
        </w:tc>
        <w:tc>
          <w:tcPr>
            <w:tcW w:type="dxa" w:w="7056"/>
            <w:vAlign w:val="center"/>
          </w:tcPr>
          <w:p>
            <w:pPr>
              <w:spacing w:after="0" w:line="252" w:lineRule="auto"/>
            </w:pPr>
            <w:r>
              <w:rPr>
                <w:sz w:val="19"/>
              </w:rPr>
              <w:t>Devuelve saldo convertido y código al banco.</w:t>
            </w:r>
          </w:p>
        </w:tc>
      </w:tr>
      <w:tr>
        <w:tc>
          <w:tcPr>
            <w:tcW w:type="dxa" w:w="3240"/>
            <w:vAlign w:val="center"/>
          </w:tcPr>
          <w:p>
            <w:pPr>
              <w:spacing w:after="0" w:line="252" w:lineRule="auto"/>
            </w:pPr>
            <w:r>
              <w:rPr>
                <w:sz w:val="19"/>
              </w:rPr>
              <w:t>Consistencia</w:t>
            </w:r>
          </w:p>
        </w:tc>
        <w:tc>
          <w:tcPr>
            <w:tcW w:type="dxa" w:w="7056"/>
            <w:vAlign w:val="center"/>
          </w:tcPr>
          <w:p>
            <w:pPr>
              <w:spacing w:after="0" w:line="252" w:lineRule="auto"/>
            </w:pPr>
            <w:r>
              <w:rPr>
                <w:sz w:val="19"/>
              </w:rPr>
              <w:t>Valida coincidencia entre ASFI y confirmación bancaria.</w:t>
            </w:r>
          </w:p>
        </w:tc>
      </w:tr>
      <w:tr>
        <w:tc>
          <w:tcPr>
            <w:tcW w:type="dxa" w:w="3240"/>
            <w:vAlign w:val="center"/>
          </w:tcPr>
          <w:p>
            <w:pPr>
              <w:spacing w:after="0" w:line="252" w:lineRule="auto"/>
            </w:pPr>
            <w:r>
              <w:rPr>
                <w:sz w:val="19"/>
              </w:rPr>
              <w:t>Paralelismo</w:t>
            </w:r>
          </w:p>
        </w:tc>
        <w:tc>
          <w:tcPr>
            <w:tcW w:type="dxa" w:w="7056"/>
            <w:vAlign w:val="center"/>
          </w:tcPr>
          <w:p>
            <w:pPr>
              <w:spacing w:after="0" w:line="252" w:lineRule="auto"/>
            </w:pPr>
            <w:r>
              <w:rPr>
                <w:sz w:val="19"/>
              </w:rPr>
              <w:t>Procesa varios bancos al mismo tiempo.</w:t>
            </w:r>
          </w:p>
        </w:tc>
      </w:tr>
    </w:tbl>
    <w:p>
      <w:pPr>
        <w:pStyle w:val="Heading1"/>
        <w:spacing w:before="80" w:after="120"/>
      </w:pPr>
      <w:r>
        <w:rPr>
          <w:b/>
          <w:color w:val="1F4E79"/>
          <w:sz w:val="28"/>
        </w:rPr>
        <w:t>4. Flujo del servicio</w:t>
      </w:r>
    </w:p>
    <w:p>
      <w:pPr>
        <w:pStyle w:val="ListNumber"/>
        <w:spacing w:after="40" w:line="259" w:lineRule="auto"/>
      </w:pPr>
      <w:r>
        <w:t>Se identifica el banco a procesar.</w:t>
      </w:r>
    </w:p>
    <w:p>
      <w:pPr>
        <w:pStyle w:val="ListNumber"/>
        <w:spacing w:after="40" w:line="259" w:lineRule="auto"/>
      </w:pPr>
      <w:r>
        <w:t>Se valida la solicitud.</w:t>
      </w:r>
    </w:p>
    <w:p>
      <w:pPr>
        <w:pStyle w:val="ListNumber"/>
        <w:spacing w:after="40" w:line="259" w:lineRule="auto"/>
      </w:pPr>
      <w:r>
        <w:t>Se obtienen cuentas desde la API del banco.</w:t>
      </w:r>
    </w:p>
    <w:p>
      <w:pPr>
        <w:pStyle w:val="ListNumber"/>
        <w:spacing w:after="40" w:line="259" w:lineRule="auto"/>
      </w:pPr>
      <w:r>
        <w:t>Se lee campos_cifrados.</w:t>
      </w:r>
    </w:p>
    <w:p>
      <w:pPr>
        <w:pStyle w:val="ListNumber"/>
        <w:spacing w:after="40" w:line="259" w:lineRule="auto"/>
      </w:pPr>
      <w:r>
        <w:t>Se localiza el algoritmo y la llave del banco.</w:t>
      </w:r>
    </w:p>
    <w:p>
      <w:pPr>
        <w:pStyle w:val="ListNumber"/>
        <w:spacing w:after="40" w:line="259" w:lineRule="auto"/>
      </w:pPr>
      <w:r>
        <w:t>Se descifran solo los campos marcados.</w:t>
      </w:r>
    </w:p>
    <w:p>
      <w:pPr>
        <w:pStyle w:val="ListNumber"/>
        <w:spacing w:after="40" w:line="259" w:lineRule="auto"/>
      </w:pPr>
      <w:r>
        <w:t>Se consulta el tipo de cambio.</w:t>
      </w:r>
    </w:p>
    <w:p>
      <w:pPr>
        <w:pStyle w:val="ListNumber"/>
        <w:spacing w:after="40" w:line="259" w:lineRule="auto"/>
      </w:pPr>
      <w:r>
        <w:t>Se realiza la conversión USD a Bs.</w:t>
      </w:r>
    </w:p>
    <w:p>
      <w:pPr>
        <w:pStyle w:val="ListNumber"/>
        <w:spacing w:after="40" w:line="259" w:lineRule="auto"/>
      </w:pPr>
      <w:r>
        <w:t>Se genera el código de verificación.</w:t>
      </w:r>
    </w:p>
    <w:p>
      <w:pPr>
        <w:pStyle w:val="ListNumber"/>
        <w:spacing w:after="40" w:line="259" w:lineRule="auto"/>
      </w:pPr>
      <w:r>
        <w:t>Se guarda el resultado en ASFI.</w:t>
      </w:r>
    </w:p>
    <w:p>
      <w:pPr>
        <w:pStyle w:val="ListNumber"/>
        <w:spacing w:after="40" w:line="259" w:lineRule="auto"/>
      </w:pPr>
      <w:r>
        <w:t>Se registra auditoría.</w:t>
      </w:r>
    </w:p>
    <w:p>
      <w:pPr>
        <w:pStyle w:val="ListNumber"/>
        <w:spacing w:after="40" w:line="259" w:lineRule="auto"/>
      </w:pPr>
      <w:r>
        <w:t>Se notifica al banco.</w:t>
      </w:r>
    </w:p>
    <w:p>
      <w:pPr>
        <w:pStyle w:val="ListNumber"/>
        <w:spacing w:after="40" w:line="259" w:lineRule="auto"/>
      </w:pPr>
      <w:r>
        <w:t>Se valida consistencia.</w:t>
      </w:r>
    </w:p>
    <w:p>
      <w:r>
        <w:br w:type="page"/>
      </w:r>
    </w:p>
    <w:p>
      <w:pPr>
        <w:pStyle w:val="Heading1"/>
        <w:spacing w:before="80" w:after="120"/>
      </w:pPr>
      <w:r>
        <w:rPr>
          <w:b/>
          <w:color w:val="1F4E79"/>
          <w:sz w:val="28"/>
        </w:rPr>
        <w:t>5. Cobertura de tareas 1 a 17</w:t>
      </w:r>
    </w:p>
    <w:p>
      <w:pPr>
        <w:spacing w:after="80" w:line="276" w:lineRule="auto"/>
      </w:pPr>
      <w:r>
        <w:t>La siguiente tabla resume qué se hizo en cada tarea y cuál es el archivo más representativo dentro del proyecto.</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spacing w:after="0" w:line="252" w:lineRule="auto"/>
            </w:pPr>
            <w:r>
              <w:rPr>
                <w:b/>
                <w:sz w:val="19"/>
              </w:rPr>
              <w:t>Tarea</w:t>
            </w:r>
          </w:p>
        </w:tc>
        <w:tc>
          <w:tcPr>
            <w:tcW w:type="dxa" w:w="3264"/>
            <w:shd w:fill="D9EAF7"/>
            <w:vAlign w:val="center"/>
          </w:tcPr>
          <w:p>
            <w:pPr>
              <w:spacing w:after="0" w:line="252" w:lineRule="auto"/>
            </w:pPr>
            <w:r>
              <w:rPr>
                <w:b/>
                <w:sz w:val="19"/>
              </w:rPr>
              <w:t>Qué se hizo</w:t>
            </w:r>
          </w:p>
        </w:tc>
        <w:tc>
          <w:tcPr>
            <w:tcW w:type="dxa" w:w="3264"/>
            <w:shd w:fill="D9EAF7"/>
            <w:vAlign w:val="center"/>
          </w:tcPr>
          <w:p>
            <w:pPr>
              <w:spacing w:after="0" w:line="252" w:lineRule="auto"/>
            </w:pPr>
            <w:r>
              <w:rPr>
                <w:b/>
                <w:sz w:val="19"/>
              </w:rPr>
              <w:t>Archivo clave</w:t>
            </w:r>
          </w:p>
        </w:tc>
      </w:tr>
      <w:tr>
        <w:tc>
          <w:tcPr>
            <w:tcW w:type="dxa" w:w="3264"/>
            <w:vAlign w:val="center"/>
          </w:tcPr>
          <w:p>
            <w:pPr>
              <w:spacing w:after="0" w:line="252" w:lineRule="auto"/>
            </w:pPr>
            <w:r>
              <w:rPr>
                <w:sz w:val="19"/>
              </w:rPr>
              <w:t>1</w:t>
            </w:r>
          </w:p>
        </w:tc>
        <w:tc>
          <w:tcPr>
            <w:tcW w:type="dxa" w:w="3264"/>
            <w:vAlign w:val="center"/>
          </w:tcPr>
          <w:p>
            <w:pPr>
              <w:spacing w:after="0" w:line="252" w:lineRule="auto"/>
            </w:pPr>
            <w:r>
              <w:rPr>
                <w:sz w:val="19"/>
              </w:rPr>
              <w:t>Arquitectura interna.</w:t>
            </w:r>
          </w:p>
        </w:tc>
        <w:tc>
          <w:tcPr>
            <w:tcW w:type="dxa" w:w="3264"/>
            <w:vAlign w:val="center"/>
          </w:tcPr>
          <w:p>
            <w:pPr>
              <w:spacing w:after="0" w:line="252" w:lineRule="auto"/>
            </w:pPr>
            <w:r>
              <w:rPr>
                <w:sz w:val="19"/>
              </w:rPr>
              <w:t>docs/arquitectura-interna-asfi.md</w:t>
            </w:r>
          </w:p>
        </w:tc>
      </w:tr>
      <w:tr>
        <w:tc>
          <w:tcPr>
            <w:tcW w:type="dxa" w:w="3264"/>
            <w:vAlign w:val="center"/>
          </w:tcPr>
          <w:p>
            <w:pPr>
              <w:spacing w:after="0" w:line="252" w:lineRule="auto"/>
            </w:pPr>
            <w:r>
              <w:rPr>
                <w:sz w:val="19"/>
              </w:rPr>
              <w:t>2</w:t>
            </w:r>
          </w:p>
        </w:tc>
        <w:tc>
          <w:tcPr>
            <w:tcW w:type="dxa" w:w="3264"/>
            <w:vAlign w:val="center"/>
          </w:tcPr>
          <w:p>
            <w:pPr>
              <w:spacing w:after="0" w:line="252" w:lineRule="auto"/>
            </w:pPr>
            <w:r>
              <w:rPr>
                <w:sz w:val="19"/>
              </w:rPr>
              <w:t>Base central ASFI.</w:t>
            </w:r>
          </w:p>
        </w:tc>
        <w:tc>
          <w:tcPr>
            <w:tcW w:type="dxa" w:w="3264"/>
            <w:vAlign w:val="center"/>
          </w:tcPr>
          <w:p>
            <w:pPr>
              <w:spacing w:after="0" w:line="252" w:lineRule="auto"/>
            </w:pPr>
            <w:r>
              <w:rPr>
                <w:sz w:val="19"/>
              </w:rPr>
              <w:t>sql/01_create_asfi_mysql.sql</w:t>
            </w:r>
          </w:p>
        </w:tc>
      </w:tr>
      <w:tr>
        <w:tc>
          <w:tcPr>
            <w:tcW w:type="dxa" w:w="3264"/>
            <w:vAlign w:val="center"/>
          </w:tcPr>
          <w:p>
            <w:pPr>
              <w:spacing w:after="0" w:line="252" w:lineRule="auto"/>
            </w:pPr>
            <w:r>
              <w:rPr>
                <w:sz w:val="19"/>
              </w:rPr>
              <w:t>3</w:t>
            </w:r>
          </w:p>
        </w:tc>
        <w:tc>
          <w:tcPr>
            <w:tcW w:type="dxa" w:w="3264"/>
            <w:vAlign w:val="center"/>
          </w:tcPr>
          <w:p>
            <w:pPr>
              <w:spacing w:after="0" w:line="252" w:lineRule="auto"/>
            </w:pPr>
            <w:r>
              <w:rPr>
                <w:sz w:val="19"/>
              </w:rPr>
              <w:t>Catálogo de 14 bancos.</w:t>
            </w:r>
          </w:p>
        </w:tc>
        <w:tc>
          <w:tcPr>
            <w:tcW w:type="dxa" w:w="3264"/>
            <w:vAlign w:val="center"/>
          </w:tcPr>
          <w:p>
            <w:pPr>
              <w:spacing w:after="0" w:line="252" w:lineRule="auto"/>
            </w:pPr>
            <w:r>
              <w:rPr>
                <w:sz w:val="19"/>
              </w:rPr>
              <w:t>sql/02_seed_bancos.sql</w:t>
            </w:r>
          </w:p>
        </w:tc>
      </w:tr>
      <w:tr>
        <w:tc>
          <w:tcPr>
            <w:tcW w:type="dxa" w:w="3264"/>
            <w:vAlign w:val="center"/>
          </w:tcPr>
          <w:p>
            <w:pPr>
              <w:spacing w:after="0" w:line="252" w:lineRule="auto"/>
            </w:pPr>
            <w:r>
              <w:rPr>
                <w:sz w:val="19"/>
              </w:rPr>
              <w:t>4</w:t>
            </w:r>
          </w:p>
        </w:tc>
        <w:tc>
          <w:tcPr>
            <w:tcW w:type="dxa" w:w="3264"/>
            <w:vAlign w:val="center"/>
          </w:tcPr>
          <w:p>
            <w:pPr>
              <w:spacing w:after="0" w:line="252" w:lineRule="auto"/>
            </w:pPr>
            <w:r>
              <w:rPr>
                <w:sz w:val="19"/>
              </w:rPr>
              <w:t>Consumo de APIs bancarias.</w:t>
            </w:r>
          </w:p>
        </w:tc>
        <w:tc>
          <w:tcPr>
            <w:tcW w:type="dxa" w:w="3264"/>
            <w:vAlign w:val="center"/>
          </w:tcPr>
          <w:p>
            <w:pPr>
              <w:spacing w:after="0" w:line="252" w:lineRule="auto"/>
            </w:pPr>
            <w:r>
              <w:rPr>
                <w:sz w:val="19"/>
              </w:rPr>
              <w:t>app/clients/http_bank_client.py</w:t>
            </w:r>
          </w:p>
        </w:tc>
      </w:tr>
      <w:tr>
        <w:tc>
          <w:tcPr>
            <w:tcW w:type="dxa" w:w="3264"/>
            <w:vAlign w:val="center"/>
          </w:tcPr>
          <w:p>
            <w:pPr>
              <w:spacing w:after="0" w:line="252" w:lineRule="auto"/>
            </w:pPr>
            <w:r>
              <w:rPr>
                <w:sz w:val="19"/>
              </w:rPr>
              <w:t>5</w:t>
            </w:r>
          </w:p>
        </w:tc>
        <w:tc>
          <w:tcPr>
            <w:tcW w:type="dxa" w:w="3264"/>
            <w:vAlign w:val="center"/>
          </w:tcPr>
          <w:p>
            <w:pPr>
              <w:spacing w:after="0" w:line="252" w:lineRule="auto"/>
            </w:pPr>
            <w:r>
              <w:rPr>
                <w:sz w:val="19"/>
              </w:rPr>
              <w:t>Lectura de campos cifrados.</w:t>
            </w:r>
          </w:p>
        </w:tc>
        <w:tc>
          <w:tcPr>
            <w:tcW w:type="dxa" w:w="3264"/>
            <w:vAlign w:val="center"/>
          </w:tcPr>
          <w:p>
            <w:pPr>
              <w:spacing w:after="0" w:line="252" w:lineRule="auto"/>
            </w:pPr>
            <w:r>
              <w:rPr>
                <w:sz w:val="19"/>
              </w:rPr>
              <w:t>app/crypto/encrypted_fields.py</w:t>
            </w:r>
          </w:p>
        </w:tc>
      </w:tr>
      <w:tr>
        <w:tc>
          <w:tcPr>
            <w:tcW w:type="dxa" w:w="3264"/>
            <w:vAlign w:val="center"/>
          </w:tcPr>
          <w:p>
            <w:pPr>
              <w:spacing w:after="0" w:line="252" w:lineRule="auto"/>
            </w:pPr>
            <w:r>
              <w:rPr>
                <w:sz w:val="19"/>
              </w:rPr>
              <w:t>6</w:t>
            </w:r>
          </w:p>
        </w:tc>
        <w:tc>
          <w:tcPr>
            <w:tcW w:type="dxa" w:w="3264"/>
            <w:vAlign w:val="center"/>
          </w:tcPr>
          <w:p>
            <w:pPr>
              <w:spacing w:after="0" w:line="252" w:lineRule="auto"/>
            </w:pPr>
            <w:r>
              <w:rPr>
                <w:sz w:val="19"/>
              </w:rPr>
              <w:t>Mapa banco -&gt; algoritmo -&gt; llave.</w:t>
            </w:r>
          </w:p>
        </w:tc>
        <w:tc>
          <w:tcPr>
            <w:tcW w:type="dxa" w:w="3264"/>
            <w:vAlign w:val="center"/>
          </w:tcPr>
          <w:p>
            <w:pPr>
              <w:spacing w:after="0" w:line="252" w:lineRule="auto"/>
            </w:pPr>
            <w:r>
              <w:rPr>
                <w:sz w:val="19"/>
              </w:rPr>
              <w:t>app/crypto/key_registry.py</w:t>
            </w:r>
          </w:p>
        </w:tc>
      </w:tr>
      <w:tr>
        <w:tc>
          <w:tcPr>
            <w:tcW w:type="dxa" w:w="3264"/>
            <w:vAlign w:val="center"/>
          </w:tcPr>
          <w:p>
            <w:pPr>
              <w:spacing w:after="0" w:line="252" w:lineRule="auto"/>
            </w:pPr>
            <w:r>
              <w:rPr>
                <w:sz w:val="19"/>
              </w:rPr>
              <w:t>7</w:t>
            </w:r>
          </w:p>
        </w:tc>
        <w:tc>
          <w:tcPr>
            <w:tcW w:type="dxa" w:w="3264"/>
            <w:vAlign w:val="center"/>
          </w:tcPr>
          <w:p>
            <w:pPr>
              <w:spacing w:after="0" w:line="252" w:lineRule="auto"/>
            </w:pPr>
            <w:r>
              <w:rPr>
                <w:sz w:val="19"/>
              </w:rPr>
              <w:t>Descifrado tolerante a errores.</w:t>
            </w:r>
          </w:p>
        </w:tc>
        <w:tc>
          <w:tcPr>
            <w:tcW w:type="dxa" w:w="3264"/>
            <w:vAlign w:val="center"/>
          </w:tcPr>
          <w:p>
            <w:pPr>
              <w:spacing w:after="0" w:line="252" w:lineRule="auto"/>
            </w:pPr>
            <w:r>
              <w:rPr>
                <w:sz w:val="19"/>
              </w:rPr>
              <w:t>app/crypto/decryptor.py</w:t>
            </w:r>
          </w:p>
        </w:tc>
      </w:tr>
      <w:tr>
        <w:tc>
          <w:tcPr>
            <w:tcW w:type="dxa" w:w="3264"/>
            <w:vAlign w:val="center"/>
          </w:tcPr>
          <w:p>
            <w:pPr>
              <w:spacing w:after="0" w:line="252" w:lineRule="auto"/>
            </w:pPr>
            <w:r>
              <w:rPr>
                <w:sz w:val="19"/>
              </w:rPr>
              <w:t>8</w:t>
            </w:r>
          </w:p>
        </w:tc>
        <w:tc>
          <w:tcPr>
            <w:tcW w:type="dxa" w:w="3264"/>
            <w:vAlign w:val="center"/>
          </w:tcPr>
          <w:p>
            <w:pPr>
              <w:spacing w:after="0" w:line="252" w:lineRule="auto"/>
            </w:pPr>
            <w:r>
              <w:rPr>
                <w:sz w:val="19"/>
              </w:rPr>
              <w:t>Tipo de cambio dinámico.</w:t>
            </w:r>
          </w:p>
        </w:tc>
        <w:tc>
          <w:tcPr>
            <w:tcW w:type="dxa" w:w="3264"/>
            <w:vAlign w:val="center"/>
          </w:tcPr>
          <w:p>
            <w:pPr>
              <w:spacing w:after="0" w:line="252" w:lineRule="auto"/>
            </w:pPr>
            <w:r>
              <w:rPr>
                <w:sz w:val="19"/>
              </w:rPr>
              <w:t>app/exchange/rate_service.py</w:t>
            </w:r>
          </w:p>
        </w:tc>
      </w:tr>
      <w:tr>
        <w:tc>
          <w:tcPr>
            <w:tcW w:type="dxa" w:w="3264"/>
            <w:vAlign w:val="center"/>
          </w:tcPr>
          <w:p>
            <w:pPr>
              <w:spacing w:after="0" w:line="252" w:lineRule="auto"/>
            </w:pPr>
            <w:r>
              <w:rPr>
                <w:sz w:val="19"/>
              </w:rPr>
              <w:t>9</w:t>
            </w:r>
          </w:p>
        </w:tc>
        <w:tc>
          <w:tcPr>
            <w:tcW w:type="dxa" w:w="3264"/>
            <w:vAlign w:val="center"/>
          </w:tcPr>
          <w:p>
            <w:pPr>
              <w:spacing w:after="0" w:line="252" w:lineRule="auto"/>
            </w:pPr>
            <w:r>
              <w:rPr>
                <w:sz w:val="19"/>
              </w:rPr>
              <w:t>Conversión monetaria.</w:t>
            </w:r>
          </w:p>
        </w:tc>
        <w:tc>
          <w:tcPr>
            <w:tcW w:type="dxa" w:w="3264"/>
            <w:vAlign w:val="center"/>
          </w:tcPr>
          <w:p>
            <w:pPr>
              <w:spacing w:after="0" w:line="252" w:lineRule="auto"/>
            </w:pPr>
            <w:r>
              <w:rPr>
                <w:sz w:val="19"/>
              </w:rPr>
              <w:t>app/converter/currency.py</w:t>
            </w:r>
          </w:p>
        </w:tc>
      </w:tr>
      <w:tr>
        <w:tc>
          <w:tcPr>
            <w:tcW w:type="dxa" w:w="3264"/>
            <w:vAlign w:val="center"/>
          </w:tcPr>
          <w:p>
            <w:pPr>
              <w:spacing w:after="0" w:line="252" w:lineRule="auto"/>
            </w:pPr>
            <w:r>
              <w:rPr>
                <w:sz w:val="19"/>
              </w:rPr>
              <w:t>10</w:t>
            </w:r>
          </w:p>
        </w:tc>
        <w:tc>
          <w:tcPr>
            <w:tcW w:type="dxa" w:w="3264"/>
            <w:vAlign w:val="center"/>
          </w:tcPr>
          <w:p>
            <w:pPr>
              <w:spacing w:after="0" w:line="252" w:lineRule="auto"/>
            </w:pPr>
            <w:r>
              <w:rPr>
                <w:sz w:val="19"/>
              </w:rPr>
              <w:t>Código de verificación.</w:t>
            </w:r>
          </w:p>
        </w:tc>
        <w:tc>
          <w:tcPr>
            <w:tcW w:type="dxa" w:w="3264"/>
            <w:vAlign w:val="center"/>
          </w:tcPr>
          <w:p>
            <w:pPr>
              <w:spacing w:after="0" w:line="252" w:lineRule="auto"/>
            </w:pPr>
            <w:r>
              <w:rPr>
                <w:sz w:val="19"/>
              </w:rPr>
              <w:t>app/utils/security.py</w:t>
            </w:r>
          </w:p>
        </w:tc>
      </w:tr>
      <w:tr>
        <w:tc>
          <w:tcPr>
            <w:tcW w:type="dxa" w:w="3264"/>
            <w:vAlign w:val="center"/>
          </w:tcPr>
          <w:p>
            <w:pPr>
              <w:spacing w:after="0" w:line="252" w:lineRule="auto"/>
            </w:pPr>
            <w:r>
              <w:rPr>
                <w:sz w:val="19"/>
              </w:rPr>
              <w:t>11</w:t>
            </w:r>
          </w:p>
        </w:tc>
        <w:tc>
          <w:tcPr>
            <w:tcW w:type="dxa" w:w="3264"/>
            <w:vAlign w:val="center"/>
          </w:tcPr>
          <w:p>
            <w:pPr>
              <w:spacing w:after="0" w:line="252" w:lineRule="auto"/>
            </w:pPr>
            <w:r>
              <w:rPr>
                <w:sz w:val="19"/>
              </w:rPr>
              <w:t>Registro de conversiones en ASFI.</w:t>
            </w:r>
          </w:p>
        </w:tc>
        <w:tc>
          <w:tcPr>
            <w:tcW w:type="dxa" w:w="3264"/>
            <w:vAlign w:val="center"/>
          </w:tcPr>
          <w:p>
            <w:pPr>
              <w:spacing w:after="0" w:line="252" w:lineRule="auto"/>
            </w:pPr>
            <w:r>
              <w:rPr>
                <w:sz w:val="19"/>
              </w:rPr>
              <w:t>app/repository/sqlite_repository.py</w:t>
            </w:r>
          </w:p>
        </w:tc>
      </w:tr>
      <w:tr>
        <w:tc>
          <w:tcPr>
            <w:tcW w:type="dxa" w:w="3264"/>
            <w:vAlign w:val="center"/>
          </w:tcPr>
          <w:p>
            <w:pPr>
              <w:spacing w:after="0" w:line="252" w:lineRule="auto"/>
            </w:pPr>
            <w:r>
              <w:rPr>
                <w:sz w:val="19"/>
              </w:rPr>
              <w:t>12</w:t>
            </w:r>
          </w:p>
        </w:tc>
        <w:tc>
          <w:tcPr>
            <w:tcW w:type="dxa" w:w="3264"/>
            <w:vAlign w:val="center"/>
          </w:tcPr>
          <w:p>
            <w:pPr>
              <w:spacing w:after="0" w:line="252" w:lineRule="auto"/>
            </w:pPr>
            <w:r>
              <w:rPr>
                <w:sz w:val="19"/>
              </w:rPr>
              <w:t>Log de auditoría.</w:t>
            </w:r>
          </w:p>
        </w:tc>
        <w:tc>
          <w:tcPr>
            <w:tcW w:type="dxa" w:w="3264"/>
            <w:vAlign w:val="center"/>
          </w:tcPr>
          <w:p>
            <w:pPr>
              <w:spacing w:after="0" w:line="252" w:lineRule="auto"/>
            </w:pPr>
            <w:r>
              <w:rPr>
                <w:sz w:val="19"/>
              </w:rPr>
              <w:t>app/audit/logger.py</w:t>
            </w:r>
          </w:p>
        </w:tc>
      </w:tr>
      <w:tr>
        <w:tc>
          <w:tcPr>
            <w:tcW w:type="dxa" w:w="3264"/>
            <w:vAlign w:val="center"/>
          </w:tcPr>
          <w:p>
            <w:pPr>
              <w:spacing w:after="0" w:line="252" w:lineRule="auto"/>
            </w:pPr>
            <w:r>
              <w:rPr>
                <w:sz w:val="19"/>
              </w:rPr>
              <w:t>13</w:t>
            </w:r>
          </w:p>
        </w:tc>
        <w:tc>
          <w:tcPr>
            <w:tcW w:type="dxa" w:w="3264"/>
            <w:vAlign w:val="center"/>
          </w:tcPr>
          <w:p>
            <w:pPr>
              <w:spacing w:after="0" w:line="252" w:lineRule="auto"/>
            </w:pPr>
            <w:r>
              <w:rPr>
                <w:sz w:val="19"/>
              </w:rPr>
              <w:t>Devolución al banco vía API.</w:t>
            </w:r>
          </w:p>
        </w:tc>
        <w:tc>
          <w:tcPr>
            <w:tcW w:type="dxa" w:w="3264"/>
            <w:vAlign w:val="center"/>
          </w:tcPr>
          <w:p>
            <w:pPr>
              <w:spacing w:after="0" w:line="252" w:lineRule="auto"/>
            </w:pPr>
            <w:r>
              <w:rPr>
                <w:sz w:val="19"/>
              </w:rPr>
              <w:t>app/response/bank_callback.py</w:t>
            </w:r>
          </w:p>
        </w:tc>
      </w:tr>
      <w:tr>
        <w:tc>
          <w:tcPr>
            <w:tcW w:type="dxa" w:w="3264"/>
            <w:vAlign w:val="center"/>
          </w:tcPr>
          <w:p>
            <w:pPr>
              <w:spacing w:after="0" w:line="252" w:lineRule="auto"/>
            </w:pPr>
            <w:r>
              <w:rPr>
                <w:sz w:val="19"/>
              </w:rPr>
              <w:t>14</w:t>
            </w:r>
          </w:p>
        </w:tc>
        <w:tc>
          <w:tcPr>
            <w:tcW w:type="dxa" w:w="3264"/>
            <w:vAlign w:val="center"/>
          </w:tcPr>
          <w:p>
            <w:pPr>
              <w:spacing w:after="0" w:line="252" w:lineRule="auto"/>
            </w:pPr>
            <w:r>
              <w:rPr>
                <w:sz w:val="19"/>
              </w:rPr>
              <w:t>Validación de consistencia.</w:t>
            </w:r>
          </w:p>
        </w:tc>
        <w:tc>
          <w:tcPr>
            <w:tcW w:type="dxa" w:w="3264"/>
            <w:vAlign w:val="center"/>
          </w:tcPr>
          <w:p>
            <w:pPr>
              <w:spacing w:after="0" w:line="252" w:lineRule="auto"/>
            </w:pPr>
            <w:r>
              <w:rPr>
                <w:sz w:val="19"/>
              </w:rPr>
              <w:t>app/consistency/checker.py</w:t>
            </w:r>
          </w:p>
        </w:tc>
      </w:tr>
      <w:tr>
        <w:tc>
          <w:tcPr>
            <w:tcW w:type="dxa" w:w="3264"/>
            <w:vAlign w:val="center"/>
          </w:tcPr>
          <w:p>
            <w:pPr>
              <w:spacing w:after="0" w:line="252" w:lineRule="auto"/>
            </w:pPr>
            <w:r>
              <w:rPr>
                <w:sz w:val="19"/>
              </w:rPr>
              <w:t>15</w:t>
            </w:r>
          </w:p>
        </w:tc>
        <w:tc>
          <w:tcPr>
            <w:tcW w:type="dxa" w:w="3264"/>
            <w:vAlign w:val="center"/>
          </w:tcPr>
          <w:p>
            <w:pPr>
              <w:spacing w:after="0" w:line="252" w:lineRule="auto"/>
            </w:pPr>
            <w:r>
              <w:rPr>
                <w:sz w:val="19"/>
              </w:rPr>
              <w:t>Barrido paralelo por banco.</w:t>
            </w:r>
          </w:p>
        </w:tc>
        <w:tc>
          <w:tcPr>
            <w:tcW w:type="dxa" w:w="3264"/>
            <w:vAlign w:val="center"/>
          </w:tcPr>
          <w:p>
            <w:pPr>
              <w:spacing w:after="0" w:line="252" w:lineRule="auto"/>
            </w:pPr>
            <w:r>
              <w:rPr>
                <w:sz w:val="19"/>
              </w:rPr>
              <w:t>app/core/pipeline.py</w:t>
            </w:r>
          </w:p>
        </w:tc>
      </w:tr>
      <w:tr>
        <w:tc>
          <w:tcPr>
            <w:tcW w:type="dxa" w:w="3264"/>
            <w:vAlign w:val="center"/>
          </w:tcPr>
          <w:p>
            <w:pPr>
              <w:spacing w:after="0" w:line="252" w:lineRule="auto"/>
            </w:pPr>
            <w:r>
              <w:rPr>
                <w:sz w:val="19"/>
              </w:rPr>
              <w:t>16</w:t>
            </w:r>
          </w:p>
        </w:tc>
        <w:tc>
          <w:tcPr>
            <w:tcW w:type="dxa" w:w="3264"/>
            <w:vAlign w:val="center"/>
          </w:tcPr>
          <w:p>
            <w:pPr>
              <w:spacing w:after="0" w:line="252" w:lineRule="auto"/>
            </w:pPr>
            <w:r>
              <w:rPr>
                <w:sz w:val="19"/>
              </w:rPr>
              <w:t>Escritura por lotes.</w:t>
            </w:r>
          </w:p>
        </w:tc>
        <w:tc>
          <w:tcPr>
            <w:tcW w:type="dxa" w:w="3264"/>
            <w:vAlign w:val="center"/>
          </w:tcPr>
          <w:p>
            <w:pPr>
              <w:spacing w:after="0" w:line="252" w:lineRule="auto"/>
            </w:pPr>
            <w:r>
              <w:rPr>
                <w:sz w:val="19"/>
              </w:rPr>
              <w:t>app/repository/sqlite_repository.py</w:t>
            </w:r>
          </w:p>
        </w:tc>
      </w:tr>
      <w:tr>
        <w:tc>
          <w:tcPr>
            <w:tcW w:type="dxa" w:w="3264"/>
            <w:vAlign w:val="center"/>
          </w:tcPr>
          <w:p>
            <w:pPr>
              <w:spacing w:after="0" w:line="252" w:lineRule="auto"/>
            </w:pPr>
            <w:r>
              <w:rPr>
                <w:sz w:val="19"/>
              </w:rPr>
              <w:t>17</w:t>
            </w:r>
          </w:p>
        </w:tc>
        <w:tc>
          <w:tcPr>
            <w:tcW w:type="dxa" w:w="3264"/>
            <w:vAlign w:val="center"/>
          </w:tcPr>
          <w:p>
            <w:pPr>
              <w:spacing w:after="0" w:line="252" w:lineRule="auto"/>
            </w:pPr>
            <w:r>
              <w:rPr>
                <w:sz w:val="19"/>
              </w:rPr>
              <w:t>Seguridad básica.</w:t>
            </w:r>
          </w:p>
        </w:tc>
        <w:tc>
          <w:tcPr>
            <w:tcW w:type="dxa" w:w="3264"/>
            <w:vAlign w:val="center"/>
          </w:tcPr>
          <w:p>
            <w:pPr>
              <w:spacing w:after="0" w:line="252" w:lineRule="auto"/>
            </w:pPr>
            <w:r>
              <w:rPr>
                <w:sz w:val="19"/>
              </w:rPr>
              <w:t>app/validators/request_validator.py</w:t>
            </w:r>
          </w:p>
        </w:tc>
      </w:tr>
    </w:tbl>
    <w:p>
      <w:pPr>
        <w:pStyle w:val="Heading1"/>
        <w:spacing w:before="80" w:after="120"/>
      </w:pPr>
      <w:r>
        <w:rPr>
          <w:b/>
          <w:color w:val="1F4E79"/>
          <w:sz w:val="28"/>
        </w:rPr>
        <w:t>6. Base de datos y persistencia</w:t>
      </w:r>
    </w:p>
    <w:p>
      <w:pPr>
        <w:spacing w:after="80" w:line="276" w:lineRule="auto"/>
      </w:pPr>
      <w:r>
        <w:t>La base relacional central se dejó en MySQL a nivel de script y en SQLite para la demo local. Esto conserva el esquema oficial y al mismo tiempo permite una ejecución rápida de laboratorio.</w:t>
      </w:r>
    </w:p>
    <w:p>
      <w:pPr>
        <w:pStyle w:val="ListBullet"/>
        <w:spacing w:after="40" w:line="259" w:lineRule="auto"/>
      </w:pPr>
      <w:r>
        <w:t>Tablas oficiales: Bancos y Cuentas.</w:t>
      </w:r>
    </w:p>
    <w:p>
      <w:pPr>
        <w:pStyle w:val="ListBullet"/>
        <w:spacing w:after="40" w:line="259" w:lineRule="auto"/>
      </w:pPr>
      <w:r>
        <w:t>Tablas de soporte: BancoLlaves, AuditLog, TipoCambioLog, ProcesamientoErrores, BancoCallbacks y ConsistencyChecks.</w:t>
      </w:r>
    </w:p>
    <w:p>
      <w:pPr>
        <w:pStyle w:val="ListBullet"/>
        <w:spacing w:after="40" w:line="259" w:lineRule="auto"/>
      </w:pPr>
      <w:r>
        <w:t>Persistencia desacoplada para poder migrar de SQLite demo a MySQL sin tocar la lógica de negocio.</w:t>
      </w:r>
    </w:p>
    <w:p>
      <w:pPr>
        <w:pStyle w:val="ListBullet"/>
        <w:spacing w:after="40" w:line="259" w:lineRule="auto"/>
      </w:pPr>
      <w:r>
        <w:t>Escritura por lotes para reducir el cuello de botella de la base central.</w:t>
      </w:r>
    </w:p>
    <w:p>
      <w:pPr>
        <w:pStyle w:val="Heading1"/>
        <w:spacing w:before="80" w:after="120"/>
      </w:pPr>
      <w:r>
        <w:rPr>
          <w:b/>
          <w:color w:val="1F4E79"/>
          <w:sz w:val="28"/>
        </w:rPr>
        <w:t>7. Seguridad implementada</w:t>
      </w:r>
    </w:p>
    <w:p>
      <w:pPr>
        <w:pStyle w:val="ListBullet"/>
        <w:spacing w:after="40" w:line="259" w:lineRule="auto"/>
      </w:pPr>
      <w:r>
        <w:t>API key por banco.</w:t>
      </w:r>
    </w:p>
    <w:p>
      <w:pPr>
        <w:pStyle w:val="ListBullet"/>
        <w:spacing w:after="40" w:line="259" w:lineRule="auto"/>
      </w:pPr>
      <w:r>
        <w:t>Timestamp y ventana temporal.</w:t>
      </w:r>
    </w:p>
    <w:p>
      <w:pPr>
        <w:pStyle w:val="ListBullet"/>
        <w:spacing w:after="40" w:line="259" w:lineRule="auto"/>
      </w:pPr>
      <w:r>
        <w:t>Nonce y mitigación de replay.</w:t>
      </w:r>
    </w:p>
    <w:p>
      <w:pPr>
        <w:pStyle w:val="ListBullet"/>
        <w:spacing w:after="40" w:line="259" w:lineRule="auto"/>
      </w:pPr>
      <w:r>
        <w:t>Hash de integridad del lote.</w:t>
      </w:r>
    </w:p>
    <w:p>
      <w:pPr>
        <w:pStyle w:val="ListBullet"/>
        <w:spacing w:after="40" w:line="259" w:lineRule="auto"/>
      </w:pPr>
      <w:r>
        <w:t>Control de fuente del tipo de cambio.</w:t>
      </w:r>
    </w:p>
    <w:p>
      <w:pPr>
        <w:pStyle w:val="ListBullet"/>
        <w:spacing w:after="40" w:line="259" w:lineRule="auto"/>
      </w:pPr>
      <w:r>
        <w:t>Asociación controlada entre banco, algoritmo y llave.</w:t>
      </w:r>
    </w:p>
    <w:p>
      <w:pPr>
        <w:pStyle w:val="ListBullet"/>
        <w:spacing w:after="40" w:line="259" w:lineRule="auto"/>
      </w:pPr>
      <w:r>
        <w:t>Actualización del banco por API y no por acceso directo a su base de datos.</w:t>
      </w:r>
    </w:p>
    <w:p>
      <w:pPr>
        <w:spacing w:after="80" w:line="276" w:lineRule="auto"/>
      </w:pPr>
      <w:r>
        <w:t>No se incluyó seguridad avanzada como mTLS o firmas HMAC asimétricas porque la meta fue dejar una solución realizable para la práctica y defendible desde la perspectiva de sistemas distribuidos.</w:t>
      </w:r>
    </w:p>
    <w:p>
      <w:r>
        <w:br w:type="page"/>
      </w:r>
    </w:p>
    <w:p>
      <w:pPr>
        <w:pStyle w:val="Heading1"/>
        <w:spacing w:before="80" w:after="120"/>
      </w:pPr>
      <w:r>
        <w:rPr>
          <w:b/>
          <w:color w:val="1F4E79"/>
          <w:sz w:val="28"/>
        </w:rPr>
        <w:t>8. Cómo ejecutar el proyecto</w:t>
      </w:r>
    </w:p>
    <w:p>
      <w:pPr>
        <w:spacing w:after="80" w:line="276" w:lineRule="auto"/>
      </w:pPr>
      <w:r>
        <w:t>Demo local:</w:t>
      </w:r>
    </w:p>
    <w:tbl>
      <w:tblPr>
        <w:tblW w:type="auto" w:w="0"/>
        <w:jc w:val="center"/>
        <w:tblLook w:firstColumn="1" w:firstRow="1" w:lastColumn="0" w:lastRow="0" w:noHBand="0" w:noVBand="1" w:val="04A0"/>
      </w:tblPr>
      <w:tblGrid>
        <w:gridCol w:w="9792"/>
      </w:tblGrid>
      <w:tr>
        <w:tc>
          <w:tcPr>
            <w:tcW w:type="dxa" w:w="9792"/>
            <w:shd w:fill="F4F6F6"/>
            <w:vAlign w:val="center"/>
          </w:tcPr>
          <w:p>
            <w:pPr>
              <w:spacing w:after="0" w:line="252" w:lineRule="auto"/>
            </w:pPr>
            <w:r>
              <w:rPr>
                <w:sz w:val="19"/>
              </w:rPr>
              <w:t>python scripts/run_demo.py --dataset "../01 - Practica 2 Dataset.csv" --limit 300 --batch-size 100 --rate-mode OFICIAL --interval-seconds 3</w:t>
            </w:r>
          </w:p>
        </w:tc>
      </w:tr>
    </w:tbl>
    <w:p>
      <w:pPr>
        <w:spacing w:after="80" w:line="276" w:lineRule="auto"/>
      </w:pPr>
      <w:r>
        <w:t>API FastAPI:</w:t>
      </w:r>
    </w:p>
    <w:tbl>
      <w:tblPr>
        <w:tblW w:type="auto" w:w="0"/>
        <w:jc w:val="center"/>
        <w:tblLook w:firstColumn="1" w:firstRow="1" w:lastColumn="0" w:lastRow="0" w:noHBand="0" w:noVBand="1" w:val="04A0"/>
      </w:tblPr>
      <w:tblGrid>
        <w:gridCol w:w="9792"/>
      </w:tblGrid>
      <w:tr>
        <w:tc>
          <w:tcPr>
            <w:tcW w:type="dxa" w:w="9792"/>
            <w:shd w:fill="F4F6F6"/>
            <w:vAlign w:val="center"/>
          </w:tcPr>
          <w:p>
            <w:pPr>
              <w:spacing w:after="0" w:line="252" w:lineRule="auto"/>
            </w:pPr>
            <w:r>
              <w:rPr>
                <w:sz w:val="19"/>
              </w:rPr>
              <w:t>uvicorn main:app --reload --port 8090</w:t>
            </w:r>
          </w:p>
        </w:tc>
      </w:tr>
    </w:tbl>
    <w:p>
      <w:pPr>
        <w:spacing w:after="80" w:line="276" w:lineRule="auto"/>
      </w:pPr>
      <w:r>
        <w:t>Docker:</w:t>
      </w:r>
    </w:p>
    <w:tbl>
      <w:tblPr>
        <w:tblW w:type="auto" w:w="0"/>
        <w:jc w:val="center"/>
        <w:tblLook w:firstColumn="1" w:firstRow="1" w:lastColumn="0" w:lastRow="0" w:noHBand="0" w:noVBand="1" w:val="04A0"/>
      </w:tblPr>
      <w:tblGrid>
        <w:gridCol w:w="9792"/>
      </w:tblGrid>
      <w:tr>
        <w:tc>
          <w:tcPr>
            <w:tcW w:type="dxa" w:w="9792"/>
            <w:shd w:fill="F4F6F6"/>
            <w:vAlign w:val="center"/>
          </w:tcPr>
          <w:p>
            <w:pPr>
              <w:spacing w:after="0" w:line="252" w:lineRule="auto"/>
            </w:pPr>
            <w:r>
              <w:rPr>
                <w:sz w:val="19"/>
              </w:rPr>
              <w:t>docker compose -f docker/docker-compose.asfi.yml up -d</w:t>
            </w:r>
          </w:p>
        </w:tc>
      </w:tr>
    </w:tbl>
    <w:p>
      <w:pPr>
        <w:pStyle w:val="Heading1"/>
        <w:spacing w:before="80" w:after="120"/>
      </w:pPr>
      <w:r>
        <w:rPr>
          <w:b/>
          <w:color w:val="1F4E79"/>
          <w:sz w:val="28"/>
        </w:rPr>
        <w:t>9. Resumen para defensa</w:t>
      </w:r>
    </w:p>
    <w:tbl>
      <w:tblPr>
        <w:tblW w:type="auto" w:w="0"/>
        <w:jc w:val="center"/>
        <w:tblLook w:firstColumn="1" w:firstRow="1" w:lastColumn="0" w:lastRow="0" w:noHBand="0" w:noVBand="1" w:val="04A0"/>
      </w:tblPr>
      <w:tblGrid>
        <w:gridCol w:w="9792"/>
      </w:tblGrid>
      <w:tr>
        <w:tc>
          <w:tcPr>
            <w:tcW w:type="dxa" w:w="9792"/>
            <w:shd w:fill="EAF2F8"/>
            <w:vAlign w:val="center"/>
          </w:tcPr>
          <w:p>
            <w:pPr>
              <w:spacing w:after="0" w:line="252" w:lineRule="auto"/>
            </w:pPr>
            <w:r>
              <w:rPr>
                <w:sz w:val="19"/>
              </w:rPr>
              <w:t>El bloque 3 implementa el servicio central de ASFI. Consume información de los bancos, interpreta campos cifrados, descifra según el algoritmo configurado para cada banco, consulta un tipo de cambio dinámico, realiza la conversión monetaria, persiste el resultado en la base central, audita la operación, devuelve el saldo convertido al banco y valida consistencia. El diseño quedó modular, concurrente y defendible en seguridad básica y rendimiento.</w:t>
            </w:r>
          </w:p>
        </w:tc>
      </w:tr>
    </w:tbl>
    <w:p>
      <w:pPr>
        <w:spacing w:after="80" w:line="276" w:lineRule="auto"/>
      </w:pPr>
      <w:r>
        <w:t>Ese resumen funciona bien para una explicación corta de 30 a 45 segundos.</w:t>
      </w:r>
    </w:p>
    <w:p>
      <w:pPr>
        <w:pStyle w:val="Heading1"/>
        <w:spacing w:before="80" w:after="120"/>
      </w:pPr>
      <w:r>
        <w:rPr>
          <w:b/>
          <w:color w:val="1F4E79"/>
          <w:sz w:val="28"/>
        </w:rPr>
        <w:t>10. Conclusión</w:t>
      </w:r>
    </w:p>
    <w:p>
      <w:pPr>
        <w:spacing w:after="80" w:line="276" w:lineRule="auto"/>
      </w:pPr>
      <w:r>
        <w:t>La entrega final no es solo una colección de scripts. Es un servicio organizado por capas, con documentación, pruebas y preparación para integración con el bloque 2. Esto permite entender el proyecto, ejecutarlo localmente y seguir iterándolo sin rehacer la arquitectura.</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