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743C9" w14:textId="00091575" w:rsidR="00D048E4" w:rsidRDefault="007A6EB0" w:rsidP="0007358B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1EBECD69" w14:textId="77777777" w:rsidR="00D048E4" w:rsidRDefault="00D048E4" w:rsidP="0007358B">
      <w:pPr>
        <w:spacing w:line="360" w:lineRule="auto"/>
        <w:jc w:val="center"/>
        <w:rPr>
          <w:rFonts w:cs="Times New Roman"/>
          <w:szCs w:val="24"/>
        </w:rPr>
      </w:pPr>
    </w:p>
    <w:p w14:paraId="20D5F08A" w14:textId="77777777" w:rsidR="00D048E4" w:rsidRDefault="00D048E4" w:rsidP="0007358B">
      <w:pPr>
        <w:jc w:val="center"/>
        <w:rPr>
          <w:rFonts w:cs="Times New Roman"/>
          <w:szCs w:val="24"/>
        </w:rPr>
      </w:pPr>
    </w:p>
    <w:p w14:paraId="51AF7339" w14:textId="53245FDF" w:rsidR="004338A5" w:rsidRPr="00CD1EC2" w:rsidRDefault="00CD1EC2" w:rsidP="0007358B">
      <w:pPr>
        <w:pStyle w:val="Cover"/>
        <w:rPr>
          <w:b/>
          <w:bCs/>
          <w:lang w:val="es-MX"/>
        </w:rPr>
      </w:pPr>
      <w:bookmarkStart w:id="0" w:name="_Hlk85727200"/>
      <w:r>
        <w:rPr>
          <w:b/>
          <w:bCs/>
          <w:lang w:val="es-MX"/>
        </w:rPr>
        <w:t>Descripción de los Datos</w:t>
      </w:r>
    </w:p>
    <w:bookmarkEnd w:id="0"/>
    <w:p w14:paraId="381579D7" w14:textId="77777777" w:rsidR="00D048E4" w:rsidRPr="00CD1EC2" w:rsidRDefault="00D048E4" w:rsidP="0007358B">
      <w:pPr>
        <w:jc w:val="center"/>
        <w:rPr>
          <w:rFonts w:cs="Times New Roman"/>
          <w:b/>
          <w:bCs/>
          <w:szCs w:val="24"/>
          <w:lang w:val="es-MX"/>
        </w:rPr>
      </w:pPr>
    </w:p>
    <w:p w14:paraId="16611F88" w14:textId="77777777" w:rsidR="008A5F4F" w:rsidRPr="00713098" w:rsidRDefault="008A5F4F" w:rsidP="0007358B">
      <w:pPr>
        <w:pStyle w:val="Cover"/>
        <w:rPr>
          <w:lang w:val="es-MX"/>
        </w:rPr>
      </w:pPr>
      <w:r w:rsidRPr="00713098">
        <w:rPr>
          <w:lang w:val="es-MX"/>
        </w:rPr>
        <w:t>Nuria Arroyo Bustamante y Heriberto Espino Montelongo</w:t>
      </w:r>
    </w:p>
    <w:p w14:paraId="27036F1D" w14:textId="77777777" w:rsidR="008A5F4F" w:rsidRPr="00713098" w:rsidRDefault="008A5F4F" w:rsidP="0007358B">
      <w:pPr>
        <w:pStyle w:val="Cover"/>
        <w:rPr>
          <w:lang w:val="es-MX"/>
        </w:rPr>
      </w:pPr>
      <w:r w:rsidRPr="00713098">
        <w:rPr>
          <w:lang w:val="es-MX"/>
        </w:rPr>
        <w:t>Universidad de las Américas Puebla</w:t>
      </w:r>
    </w:p>
    <w:p w14:paraId="49CA62AF" w14:textId="77777777" w:rsidR="008A5F4F" w:rsidRPr="00713098" w:rsidRDefault="008A5F4F" w:rsidP="0007358B">
      <w:pPr>
        <w:pStyle w:val="Cover"/>
        <w:rPr>
          <w:lang w:val="es-MX"/>
        </w:rPr>
      </w:pPr>
      <w:r w:rsidRPr="00713098">
        <w:rPr>
          <w:lang w:val="es-MX"/>
        </w:rPr>
        <w:t>P25 LDS1021 1: Minería de Datos</w:t>
      </w:r>
    </w:p>
    <w:p w14:paraId="7438A16C" w14:textId="77777777" w:rsidR="008A5F4F" w:rsidRPr="00713098" w:rsidRDefault="008A5F4F" w:rsidP="0007358B">
      <w:pPr>
        <w:pStyle w:val="Cover"/>
        <w:rPr>
          <w:lang w:val="es-MX"/>
        </w:rPr>
      </w:pPr>
      <w:r w:rsidRPr="00713098">
        <w:rPr>
          <w:lang w:val="es-MX"/>
        </w:rPr>
        <w:t xml:space="preserve">Dr. </w:t>
      </w:r>
      <w:proofErr w:type="spellStart"/>
      <w:r w:rsidRPr="00713098">
        <w:rPr>
          <w:lang w:val="es-MX"/>
        </w:rPr>
        <w:t>Hector</w:t>
      </w:r>
      <w:proofErr w:type="spellEnd"/>
      <w:r w:rsidRPr="00713098">
        <w:rPr>
          <w:lang w:val="es-MX"/>
        </w:rPr>
        <w:t xml:space="preserve"> </w:t>
      </w:r>
      <w:proofErr w:type="spellStart"/>
      <w:r w:rsidRPr="00713098">
        <w:rPr>
          <w:lang w:val="es-MX"/>
        </w:rPr>
        <w:t>Saib</w:t>
      </w:r>
      <w:proofErr w:type="spellEnd"/>
      <w:r w:rsidRPr="00713098">
        <w:rPr>
          <w:lang w:val="es-MX"/>
        </w:rPr>
        <w:t xml:space="preserve"> Maravillo </w:t>
      </w:r>
      <w:proofErr w:type="spellStart"/>
      <w:r w:rsidRPr="00713098">
        <w:rPr>
          <w:lang w:val="es-MX"/>
        </w:rPr>
        <w:t>Gomez</w:t>
      </w:r>
      <w:proofErr w:type="spellEnd"/>
    </w:p>
    <w:p w14:paraId="3B95A1DF" w14:textId="5BA5B524" w:rsidR="008A5F4F" w:rsidRPr="00713098" w:rsidRDefault="00BF2B9E" w:rsidP="0007358B">
      <w:pPr>
        <w:pStyle w:val="Cover"/>
        <w:rPr>
          <w:lang w:val="es-MX"/>
        </w:rPr>
      </w:pPr>
      <w:r>
        <w:rPr>
          <w:lang w:val="es-MX"/>
        </w:rPr>
        <w:t xml:space="preserve">3 de marzo </w:t>
      </w:r>
      <w:r w:rsidR="008A5F4F" w:rsidRPr="00713098">
        <w:rPr>
          <w:lang w:val="es-MX"/>
        </w:rPr>
        <w:t>de 2025</w:t>
      </w:r>
    </w:p>
    <w:p w14:paraId="149196A1" w14:textId="304C6BAA" w:rsidR="004338A5" w:rsidRPr="008A5F4F" w:rsidRDefault="004338A5" w:rsidP="0007358B">
      <w:pPr>
        <w:spacing w:line="360" w:lineRule="auto"/>
        <w:jc w:val="center"/>
        <w:rPr>
          <w:rFonts w:cs="Times New Roman"/>
          <w:szCs w:val="24"/>
          <w:lang w:val="es-MX"/>
        </w:rPr>
      </w:pPr>
    </w:p>
    <w:p w14:paraId="7ECB360A" w14:textId="54E5234E" w:rsidR="004338A5" w:rsidRPr="008A5F4F" w:rsidRDefault="004338A5" w:rsidP="0007358B">
      <w:pPr>
        <w:spacing w:line="360" w:lineRule="auto"/>
        <w:jc w:val="center"/>
        <w:rPr>
          <w:rFonts w:cs="Times New Roman"/>
          <w:szCs w:val="24"/>
          <w:lang w:val="es-MX"/>
        </w:rPr>
      </w:pPr>
    </w:p>
    <w:p w14:paraId="758842F8" w14:textId="077E29EB" w:rsidR="004338A5" w:rsidRPr="008A5F4F" w:rsidRDefault="004338A5" w:rsidP="0007358B">
      <w:pPr>
        <w:spacing w:line="360" w:lineRule="auto"/>
        <w:jc w:val="center"/>
        <w:rPr>
          <w:rFonts w:cs="Times New Roman"/>
          <w:szCs w:val="24"/>
          <w:lang w:val="es-MX"/>
        </w:rPr>
      </w:pPr>
    </w:p>
    <w:p w14:paraId="0E1ADFBC" w14:textId="3805EE16" w:rsidR="004338A5" w:rsidRPr="008A5F4F" w:rsidRDefault="004338A5" w:rsidP="0007358B">
      <w:pPr>
        <w:spacing w:line="360" w:lineRule="auto"/>
        <w:jc w:val="center"/>
        <w:rPr>
          <w:rFonts w:cs="Times New Roman"/>
          <w:szCs w:val="24"/>
          <w:lang w:val="es-MX"/>
        </w:rPr>
      </w:pPr>
    </w:p>
    <w:p w14:paraId="568BA413" w14:textId="46223DD3" w:rsidR="004338A5" w:rsidRPr="008A5F4F" w:rsidRDefault="004338A5" w:rsidP="0007358B">
      <w:pPr>
        <w:spacing w:line="360" w:lineRule="auto"/>
        <w:jc w:val="center"/>
        <w:rPr>
          <w:rFonts w:cs="Times New Roman"/>
          <w:szCs w:val="24"/>
          <w:lang w:val="es-MX"/>
        </w:rPr>
      </w:pPr>
    </w:p>
    <w:p w14:paraId="2AAAA816" w14:textId="6FFF2510" w:rsidR="004338A5" w:rsidRPr="008A5F4F" w:rsidRDefault="004338A5" w:rsidP="0007358B">
      <w:pPr>
        <w:spacing w:line="360" w:lineRule="auto"/>
        <w:jc w:val="center"/>
        <w:rPr>
          <w:rFonts w:cs="Times New Roman"/>
          <w:szCs w:val="24"/>
          <w:lang w:val="es-MX"/>
        </w:rPr>
      </w:pPr>
    </w:p>
    <w:p w14:paraId="2A3DC52F" w14:textId="1EC264FB" w:rsidR="004338A5" w:rsidRPr="008A5F4F" w:rsidRDefault="004338A5" w:rsidP="0007358B">
      <w:pPr>
        <w:spacing w:line="360" w:lineRule="auto"/>
        <w:jc w:val="center"/>
        <w:rPr>
          <w:rFonts w:cs="Times New Roman"/>
          <w:szCs w:val="24"/>
          <w:lang w:val="es-MX"/>
        </w:rPr>
      </w:pPr>
    </w:p>
    <w:p w14:paraId="1A978B59" w14:textId="77777777" w:rsidR="004338A5" w:rsidRPr="008A5F4F" w:rsidRDefault="004338A5" w:rsidP="0007358B">
      <w:pPr>
        <w:spacing w:line="360" w:lineRule="auto"/>
        <w:jc w:val="center"/>
        <w:rPr>
          <w:rFonts w:cs="Times New Roman"/>
          <w:szCs w:val="24"/>
          <w:lang w:val="es-MX"/>
        </w:rPr>
      </w:pPr>
    </w:p>
    <w:p w14:paraId="7F0A98D5" w14:textId="77777777" w:rsidR="00D048E4" w:rsidRPr="008A5F4F" w:rsidRDefault="00D048E4" w:rsidP="0007358B">
      <w:pPr>
        <w:spacing w:line="360" w:lineRule="auto"/>
        <w:rPr>
          <w:rFonts w:cs="Times New Roman"/>
          <w:szCs w:val="24"/>
          <w:lang w:val="es-MX"/>
        </w:rPr>
      </w:pPr>
      <w:r w:rsidRPr="008A5F4F">
        <w:rPr>
          <w:rFonts w:cs="Times New Roman"/>
          <w:szCs w:val="24"/>
          <w:lang w:val="es-MX"/>
        </w:rPr>
        <w:br w:type="page"/>
      </w:r>
    </w:p>
    <w:p w14:paraId="5E30AC43" w14:textId="46B15EA2" w:rsidR="000A6221" w:rsidRDefault="00B0636A" w:rsidP="0007358B">
      <w:pPr>
        <w:pStyle w:val="Heading1"/>
        <w:spacing w:line="360" w:lineRule="auto"/>
        <w:rPr>
          <w:lang w:val="es-MX"/>
        </w:rPr>
      </w:pPr>
      <w:r w:rsidRPr="68D3BE22">
        <w:rPr>
          <w:lang w:val="es-MX"/>
        </w:rPr>
        <w:t>Descripción de los Datos</w:t>
      </w:r>
    </w:p>
    <w:p w14:paraId="5221C6B5" w14:textId="477FCD25" w:rsidR="5C76A1DF" w:rsidRPr="0007358B" w:rsidRDefault="5C76A1DF" w:rsidP="0007358B">
      <w:pPr>
        <w:spacing w:before="240" w:after="240" w:line="360" w:lineRule="auto"/>
        <w:ind w:firstLine="0"/>
        <w:jc w:val="both"/>
        <w:rPr>
          <w:lang w:val="es-MX"/>
        </w:rPr>
      </w:pPr>
      <w:r w:rsidRPr="68D3BE22">
        <w:rPr>
          <w:rFonts w:eastAsia="Times New Roman" w:cs="Times New Roman"/>
          <w:szCs w:val="24"/>
          <w:lang w:val="es-MX"/>
        </w:rPr>
        <w:t xml:space="preserve">Los datos </w:t>
      </w:r>
      <w:r w:rsidRPr="0007358B">
        <w:rPr>
          <w:rFonts w:eastAsia="Times New Roman" w:cs="Times New Roman"/>
          <w:szCs w:val="24"/>
          <w:lang w:val="es-MX"/>
        </w:rPr>
        <w:t>utilizados en este análisis abarcan el periodo del 1 de marzo de 2011 hasta diciembre de 2022, ya que distintas fuentes</w:t>
      </w:r>
      <w:r w:rsidRPr="68D3BE22">
        <w:rPr>
          <w:rFonts w:eastAsia="Times New Roman" w:cs="Times New Roman"/>
          <w:szCs w:val="24"/>
          <w:lang w:val="es-MX"/>
        </w:rPr>
        <w:t xml:space="preserve"> solo contienen información durante este rango de tiempo. Esta ventana temporal se eligió porque garantiza una cobertura suficiente para el análisis de causalidad.</w:t>
      </w:r>
    </w:p>
    <w:p w14:paraId="3DF50683" w14:textId="77777777" w:rsidR="00BB2BBF" w:rsidRDefault="00BB2BBF" w:rsidP="0007358B">
      <w:pPr>
        <w:pStyle w:val="Heading2"/>
        <w:spacing w:line="360" w:lineRule="auto"/>
        <w:jc w:val="both"/>
        <w:rPr>
          <w:lang w:val="es-MX"/>
        </w:rPr>
      </w:pPr>
      <w:r w:rsidRPr="00BB2BBF">
        <w:rPr>
          <w:lang w:val="es-MX"/>
        </w:rPr>
        <w:t>Tasas Interbancarias y de Fondeo</w:t>
      </w:r>
    </w:p>
    <w:p w14:paraId="35F01B45" w14:textId="4E08F8C7" w:rsidR="00BB2BBF" w:rsidRDefault="00BB2BBF" w:rsidP="0007358B">
      <w:pPr>
        <w:spacing w:line="360" w:lineRule="auto"/>
        <w:jc w:val="both"/>
        <w:rPr>
          <w:lang w:val="es-MX"/>
        </w:rPr>
      </w:pPr>
      <w:r w:rsidRPr="00BB2BBF">
        <w:rPr>
          <w:lang w:val="es-MX"/>
        </w:rPr>
        <w:t xml:space="preserve">Los indicadores TIIE diaria, a 28, 91 días y anual </w:t>
      </w:r>
      <w:r w:rsidR="00E37B2C">
        <w:rPr>
          <w:lang w:val="es-MX"/>
        </w:rPr>
        <w:t xml:space="preserve">se publican diariamente y </w:t>
      </w:r>
      <w:r w:rsidR="00405828">
        <w:rPr>
          <w:lang w:val="es-MX"/>
        </w:rPr>
        <w:t>empiezan d</w:t>
      </w:r>
      <w:r w:rsidR="005E4880">
        <w:rPr>
          <w:lang w:val="es-MX"/>
        </w:rPr>
        <w:t>esde enero de 2006</w:t>
      </w:r>
      <w:r w:rsidR="00BE086C">
        <w:rPr>
          <w:lang w:val="es-MX"/>
        </w:rPr>
        <w:t xml:space="preserve"> hasta la fecha de recolección de los datos (</w:t>
      </w:r>
      <w:r w:rsidR="00A85F16">
        <w:rPr>
          <w:lang w:val="es-MX"/>
        </w:rPr>
        <w:t>24 de febrero de 2025)</w:t>
      </w:r>
      <w:r w:rsidR="005E4880">
        <w:rPr>
          <w:lang w:val="es-MX"/>
        </w:rPr>
        <w:t>, la TIIP había dejade de publicarse para ese entonces, por lo que solo tiene valores nulos</w:t>
      </w:r>
      <w:r w:rsidR="009E162D">
        <w:rPr>
          <w:lang w:val="es-MX"/>
        </w:rPr>
        <w:t>, y la TIIE a 182 días empezó a publicarse el 7 de abril de 2011.</w:t>
      </w:r>
    </w:p>
    <w:p w14:paraId="60BC743E" w14:textId="16895EFB" w:rsidR="00150934" w:rsidRDefault="00150934" w:rsidP="0007358B">
      <w:pPr>
        <w:pStyle w:val="Heading2"/>
        <w:spacing w:line="360" w:lineRule="auto"/>
        <w:jc w:val="both"/>
        <w:rPr>
          <w:lang w:val="es-MX"/>
        </w:rPr>
      </w:pPr>
      <w:r w:rsidRPr="00E16120">
        <w:rPr>
          <w:lang w:val="es-MX"/>
        </w:rPr>
        <w:t>Número de Tarjetas de Crédito</w:t>
      </w:r>
    </w:p>
    <w:p w14:paraId="3FE9636B" w14:textId="74EF0C0F" w:rsidR="00150934" w:rsidRPr="00BB2BBF" w:rsidRDefault="00BF2946" w:rsidP="0007358B">
      <w:pPr>
        <w:spacing w:line="360" w:lineRule="auto"/>
        <w:jc w:val="both"/>
        <w:rPr>
          <w:lang w:val="es-MX"/>
        </w:rPr>
      </w:pPr>
      <w:r>
        <w:rPr>
          <w:lang w:val="es-MX"/>
        </w:rPr>
        <w:t xml:space="preserve">Separan el </w:t>
      </w:r>
      <w:r w:rsidR="007C5FAE">
        <w:rPr>
          <w:lang w:val="es-MX"/>
        </w:rPr>
        <w:t xml:space="preserve">volumen del </w:t>
      </w:r>
      <w:r>
        <w:rPr>
          <w:lang w:val="es-MX"/>
        </w:rPr>
        <w:t>tipo de tarjeta</w:t>
      </w:r>
      <w:r w:rsidR="00981D59">
        <w:rPr>
          <w:lang w:val="es-MX"/>
        </w:rPr>
        <w:t>s</w:t>
      </w:r>
      <w:r>
        <w:rPr>
          <w:lang w:val="es-MX"/>
        </w:rPr>
        <w:t xml:space="preserve"> </w:t>
      </w:r>
      <w:r w:rsidR="00981D59">
        <w:rPr>
          <w:lang w:val="es-MX"/>
        </w:rPr>
        <w:t>de crédito y débito</w:t>
      </w:r>
      <w:r>
        <w:rPr>
          <w:lang w:val="es-MX"/>
        </w:rPr>
        <w:t xml:space="preserve">, por visa y </w:t>
      </w:r>
      <w:proofErr w:type="spellStart"/>
      <w:r>
        <w:rPr>
          <w:lang w:val="es-MX"/>
        </w:rPr>
        <w:t>mastercard</w:t>
      </w:r>
      <w:proofErr w:type="spellEnd"/>
      <w:r>
        <w:rPr>
          <w:lang w:val="es-MX"/>
        </w:rPr>
        <w:t xml:space="preserve">, </w:t>
      </w:r>
      <w:r w:rsidR="00B37619">
        <w:rPr>
          <w:lang w:val="es-MX"/>
        </w:rPr>
        <w:t>s</w:t>
      </w:r>
      <w:r w:rsidR="00CB71F9">
        <w:rPr>
          <w:lang w:val="es-MX"/>
        </w:rPr>
        <w:t>e publica</w:t>
      </w:r>
      <w:r w:rsidR="00B37619">
        <w:rPr>
          <w:lang w:val="es-MX"/>
        </w:rPr>
        <w:t xml:space="preserve"> </w:t>
      </w:r>
      <w:r w:rsidR="00CB71F9">
        <w:rPr>
          <w:lang w:val="es-MX"/>
        </w:rPr>
        <w:t xml:space="preserve">trimestralmente y empiezan desde enero de 2006 hasta </w:t>
      </w:r>
      <w:r w:rsidR="00B37619">
        <w:rPr>
          <w:lang w:val="es-MX"/>
        </w:rPr>
        <w:t>septiembre de 2024</w:t>
      </w:r>
      <w:r w:rsidR="00981D59">
        <w:rPr>
          <w:lang w:val="es-MX"/>
        </w:rPr>
        <w:t>.</w:t>
      </w:r>
      <w:r w:rsidR="00522DE9">
        <w:rPr>
          <w:lang w:val="es-MX"/>
        </w:rPr>
        <w:t xml:space="preserve"> Hay unos tipos de tarjeta que dejaron de publicarse, como l</w:t>
      </w:r>
      <w:r w:rsidR="00981D59">
        <w:rPr>
          <w:lang w:val="es-MX"/>
        </w:rPr>
        <w:t xml:space="preserve">as tarjetas de </w:t>
      </w:r>
      <w:r w:rsidR="00D857FA">
        <w:rPr>
          <w:lang w:val="es-MX"/>
        </w:rPr>
        <w:t>tipo A dejaron publicarse en abril de 2009</w:t>
      </w:r>
      <w:r w:rsidR="00522DE9">
        <w:rPr>
          <w:lang w:val="es-MX"/>
        </w:rPr>
        <w:t xml:space="preserve">, y otras que empezaron a publicarse </w:t>
      </w:r>
      <w:r w:rsidR="00452B43">
        <w:rPr>
          <w:lang w:val="es-MX"/>
        </w:rPr>
        <w:t xml:space="preserve">después de 2006, como la tarjeta del tipo X, que empezó a publicarse en </w:t>
      </w:r>
      <w:r w:rsidR="00C81958">
        <w:rPr>
          <w:lang w:val="es-MX"/>
        </w:rPr>
        <w:t>abril de 2017</w:t>
      </w:r>
      <w:r w:rsidR="008616C3">
        <w:rPr>
          <w:lang w:val="es-MX"/>
        </w:rPr>
        <w:t>.</w:t>
      </w:r>
    </w:p>
    <w:p w14:paraId="3D833B67" w14:textId="77777777" w:rsidR="00BB2BBF" w:rsidRDefault="00BB2BBF" w:rsidP="0007358B">
      <w:pPr>
        <w:pStyle w:val="Heading2"/>
        <w:spacing w:line="360" w:lineRule="auto"/>
        <w:jc w:val="both"/>
        <w:rPr>
          <w:lang w:val="es-MX"/>
        </w:rPr>
      </w:pPr>
      <w:r w:rsidRPr="00BB2BBF">
        <w:rPr>
          <w:lang w:val="es-MX"/>
        </w:rPr>
        <w:t>Tasas Interbancarias, Fondeo y Pagaré Bancario Bursátil</w:t>
      </w:r>
    </w:p>
    <w:p w14:paraId="5752FFE8" w14:textId="2CC686A0" w:rsidR="00BB2BBF" w:rsidRPr="00BB2BBF" w:rsidRDefault="001C1D76" w:rsidP="0007358B">
      <w:pPr>
        <w:spacing w:line="360" w:lineRule="auto"/>
        <w:jc w:val="both"/>
        <w:rPr>
          <w:lang w:val="es-MX"/>
        </w:rPr>
      </w:pPr>
      <w:r>
        <w:rPr>
          <w:lang w:val="es-MX"/>
        </w:rPr>
        <w:t>Son datos mensuales que e</w:t>
      </w:r>
      <w:r w:rsidR="005A0398">
        <w:rPr>
          <w:lang w:val="es-MX"/>
        </w:rPr>
        <w:t xml:space="preserve">mpiezan desde 1988, cuando se ocupaba el </w:t>
      </w:r>
      <w:r w:rsidR="00590444">
        <w:rPr>
          <w:lang w:val="es-MX"/>
        </w:rPr>
        <w:t>“</w:t>
      </w:r>
      <w:r w:rsidR="00590444" w:rsidRPr="00590444">
        <w:rPr>
          <w:lang w:val="es-MX"/>
        </w:rPr>
        <w:t>Pagaré Bancario Bursátil a 28 días, Tasa de rendimiento en promedio ponderado, en por ciento anual</w:t>
      </w:r>
      <w:r w:rsidR="00590444">
        <w:rPr>
          <w:lang w:val="es-MX"/>
        </w:rPr>
        <w:t>”, que dejo de publicarse en diciembre de 2004</w:t>
      </w:r>
      <w:r w:rsidR="00A759BD">
        <w:rPr>
          <w:lang w:val="es-MX"/>
        </w:rPr>
        <w:t>.</w:t>
      </w:r>
      <w:r w:rsidR="005524B4">
        <w:rPr>
          <w:lang w:val="es-MX"/>
        </w:rPr>
        <w:t xml:space="preserve"> </w:t>
      </w:r>
      <w:r w:rsidR="00A759BD">
        <w:rPr>
          <w:lang w:val="es-MX"/>
        </w:rPr>
        <w:t>L</w:t>
      </w:r>
      <w:r w:rsidR="004007F3">
        <w:rPr>
          <w:lang w:val="es-MX"/>
        </w:rPr>
        <w:t>a TIIP va de 1997 a 2001,</w:t>
      </w:r>
      <w:r w:rsidR="00A759BD" w:rsidRPr="00A759BD">
        <w:rPr>
          <w:lang w:val="es-MX"/>
        </w:rPr>
        <w:t xml:space="preserve"> </w:t>
      </w:r>
      <w:r w:rsidR="00A759BD">
        <w:rPr>
          <w:lang w:val="es-MX"/>
        </w:rPr>
        <w:t>l</w:t>
      </w:r>
      <w:r w:rsidR="00A759BD" w:rsidRPr="00A759BD">
        <w:rPr>
          <w:lang w:val="es-MX"/>
        </w:rPr>
        <w:t>as tasas MEXIBOR van de 2001 a 2007,</w:t>
      </w:r>
      <w:r w:rsidR="00A759BD">
        <w:rPr>
          <w:lang w:val="es-MX"/>
        </w:rPr>
        <w:t xml:space="preserve"> </w:t>
      </w:r>
      <w:r w:rsidR="004007F3">
        <w:rPr>
          <w:lang w:val="es-MX"/>
        </w:rPr>
        <w:t xml:space="preserve"> y la TIIE va de 2007 en adelante.</w:t>
      </w:r>
    </w:p>
    <w:p w14:paraId="57FB651D" w14:textId="77777777" w:rsidR="00BB2BBF" w:rsidRDefault="00BB2BBF" w:rsidP="0007358B">
      <w:pPr>
        <w:pStyle w:val="Heading2"/>
        <w:spacing w:line="360" w:lineRule="auto"/>
        <w:jc w:val="both"/>
        <w:rPr>
          <w:lang w:val="es-MX"/>
        </w:rPr>
      </w:pPr>
      <w:r w:rsidRPr="00BB2BBF">
        <w:rPr>
          <w:lang w:val="es-MX"/>
        </w:rPr>
        <w:t>Tasa Efectiva Ponderada por Saldo de Tarjetas de Crédito</w:t>
      </w:r>
    </w:p>
    <w:p w14:paraId="263038F4" w14:textId="034E1B71" w:rsidR="00BB2BBF" w:rsidRPr="00BB2BBF" w:rsidRDefault="00533DF2" w:rsidP="0007358B">
      <w:pPr>
        <w:spacing w:line="360" w:lineRule="auto"/>
        <w:jc w:val="both"/>
        <w:rPr>
          <w:lang w:val="es-MX"/>
        </w:rPr>
      </w:pPr>
      <w:r>
        <w:rPr>
          <w:lang w:val="es-MX"/>
        </w:rPr>
        <w:t xml:space="preserve">Estos datos son importantes para el análisis y se publican trimestralmente desde </w:t>
      </w:r>
      <w:r w:rsidR="002351CC">
        <w:rPr>
          <w:lang w:val="es-MX"/>
        </w:rPr>
        <w:t>marzo de 2011 hasta mayo de 2024, por lo que el análisis se realizara en esta ventana de tiempo.</w:t>
      </w:r>
    </w:p>
    <w:p w14:paraId="33BBADAD" w14:textId="77777777" w:rsidR="00BB2BBF" w:rsidRDefault="00BB2BBF" w:rsidP="0007358B">
      <w:pPr>
        <w:pStyle w:val="Heading2"/>
        <w:spacing w:line="360" w:lineRule="auto"/>
        <w:jc w:val="both"/>
        <w:rPr>
          <w:lang w:val="es-MX"/>
        </w:rPr>
      </w:pPr>
      <w:r w:rsidRPr="00BB2BBF">
        <w:rPr>
          <w:lang w:val="es-MX"/>
        </w:rPr>
        <w:t>Costos de Captación</w:t>
      </w:r>
    </w:p>
    <w:p w14:paraId="2305C208" w14:textId="3F04A670" w:rsidR="00BB2BBF" w:rsidRPr="00BB2BBF" w:rsidRDefault="00BB2BBF" w:rsidP="0007358B">
      <w:pPr>
        <w:spacing w:line="360" w:lineRule="auto"/>
        <w:jc w:val="both"/>
        <w:rPr>
          <w:lang w:val="es-MX"/>
        </w:rPr>
      </w:pPr>
      <w:r w:rsidRPr="00BB2BBF">
        <w:rPr>
          <w:lang w:val="es-MX"/>
        </w:rPr>
        <w:t xml:space="preserve">Expresados en tasas anuales (en moneda nacional, </w:t>
      </w:r>
      <w:proofErr w:type="spellStart"/>
      <w:r w:rsidRPr="00BB2BBF">
        <w:rPr>
          <w:lang w:val="es-MX"/>
        </w:rPr>
        <w:t>Udis</w:t>
      </w:r>
      <w:proofErr w:type="spellEnd"/>
      <w:r w:rsidRPr="00BB2BBF">
        <w:rPr>
          <w:lang w:val="es-MX"/>
        </w:rPr>
        <w:t xml:space="preserve"> y dólares</w:t>
      </w:r>
      <w:r w:rsidR="00103856">
        <w:rPr>
          <w:lang w:val="es-MX"/>
        </w:rPr>
        <w:t>) se publican mensualmente desde 1975 hasta enero de 2025, dependiendo su fecha de creación.</w:t>
      </w:r>
    </w:p>
    <w:p w14:paraId="5D395481" w14:textId="77777777" w:rsidR="00BB2BBF" w:rsidRDefault="00BB2BBF" w:rsidP="0007358B">
      <w:pPr>
        <w:pStyle w:val="Heading2"/>
        <w:spacing w:line="360" w:lineRule="auto"/>
        <w:jc w:val="both"/>
        <w:rPr>
          <w:lang w:val="es-MX"/>
        </w:rPr>
      </w:pPr>
      <w:r w:rsidRPr="00BB2BBF">
        <w:rPr>
          <w:lang w:val="es-MX"/>
        </w:rPr>
        <w:t>Tasas Semanales de Valores Privados de Corto Plazo</w:t>
      </w:r>
    </w:p>
    <w:p w14:paraId="2EF17B22" w14:textId="61741B70" w:rsidR="00BB2BBF" w:rsidRPr="00BB2BBF" w:rsidRDefault="00BB2BBF" w:rsidP="0007358B">
      <w:pPr>
        <w:spacing w:line="360" w:lineRule="auto"/>
        <w:jc w:val="both"/>
        <w:rPr>
          <w:lang w:val="es-MX"/>
        </w:rPr>
      </w:pPr>
      <w:r w:rsidRPr="00BB2BBF">
        <w:rPr>
          <w:lang w:val="es-MX"/>
        </w:rPr>
        <w:t xml:space="preserve">Los promedios ponderados de instrumentos a corto plazo </w:t>
      </w:r>
      <w:r w:rsidR="00CF2275">
        <w:rPr>
          <w:lang w:val="es-MX"/>
        </w:rPr>
        <w:t>se publican una vez a  la semana desde enero de 2002</w:t>
      </w:r>
      <w:r w:rsidR="00F96E1D">
        <w:rPr>
          <w:lang w:val="es-MX"/>
        </w:rPr>
        <w:t xml:space="preserve">, sin embargo, no se publica nada de papel comercial desde </w:t>
      </w:r>
      <w:r w:rsidR="00194792">
        <w:rPr>
          <w:lang w:val="es-MX"/>
        </w:rPr>
        <w:t>marzo de 2007.</w:t>
      </w:r>
    </w:p>
    <w:p w14:paraId="403F4B08" w14:textId="77777777" w:rsidR="00BB2BBF" w:rsidRDefault="00BB2BBF" w:rsidP="0007358B">
      <w:pPr>
        <w:pStyle w:val="Heading2"/>
        <w:spacing w:line="360" w:lineRule="auto"/>
        <w:jc w:val="both"/>
        <w:rPr>
          <w:lang w:val="es-MX"/>
        </w:rPr>
      </w:pPr>
      <w:r w:rsidRPr="00BB2BBF">
        <w:rPr>
          <w:lang w:val="es-MX"/>
        </w:rPr>
        <w:t>Tasa de Fondeo Gubernamental</w:t>
      </w:r>
    </w:p>
    <w:p w14:paraId="010D931C" w14:textId="118B732D" w:rsidR="00BB2BBF" w:rsidRPr="00BB2BBF" w:rsidRDefault="00455637" w:rsidP="0007358B">
      <w:pPr>
        <w:spacing w:line="360" w:lineRule="auto"/>
        <w:jc w:val="both"/>
        <w:rPr>
          <w:lang w:val="es-MX"/>
        </w:rPr>
      </w:pPr>
      <w:r>
        <w:rPr>
          <w:lang w:val="es-MX"/>
        </w:rPr>
        <w:t xml:space="preserve">Empiezan desde 2019, lo que cierra bastante la ventana del tiempo del análisis, </w:t>
      </w:r>
      <w:r w:rsidR="00EC1006">
        <w:rPr>
          <w:lang w:val="es-MX"/>
        </w:rPr>
        <w:t>y los percentiles empiezan hasta 2020</w:t>
      </w:r>
      <w:r w:rsidR="00ED69E2">
        <w:rPr>
          <w:lang w:val="es-MX"/>
        </w:rPr>
        <w:t xml:space="preserve">, que es cuando se deja de publicar la </w:t>
      </w:r>
      <w:r w:rsidR="00A3360C" w:rsidRPr="00A3360C">
        <w:rPr>
          <w:lang w:val="es-MX"/>
        </w:rPr>
        <w:t>Tasa de fondeo ponderada con BPAS y BREMS.</w:t>
      </w:r>
    </w:p>
    <w:p w14:paraId="34CEAACD" w14:textId="77777777" w:rsidR="00BB2BBF" w:rsidRDefault="00BB2BBF" w:rsidP="0007358B">
      <w:pPr>
        <w:pStyle w:val="Heading2"/>
        <w:spacing w:line="360" w:lineRule="auto"/>
        <w:jc w:val="both"/>
        <w:rPr>
          <w:lang w:val="es-MX"/>
        </w:rPr>
      </w:pPr>
      <w:r w:rsidRPr="00BB2BBF">
        <w:rPr>
          <w:lang w:val="es-MX"/>
        </w:rPr>
        <w:t xml:space="preserve">Vector de Precios de Títulos Gubernamentales </w:t>
      </w:r>
      <w:proofErr w:type="spellStart"/>
      <w:r w:rsidRPr="00BB2BBF">
        <w:rPr>
          <w:lang w:val="es-MX"/>
        </w:rPr>
        <w:t>On</w:t>
      </w:r>
      <w:proofErr w:type="spellEnd"/>
      <w:r w:rsidRPr="00BB2BBF">
        <w:rPr>
          <w:lang w:val="es-MX"/>
        </w:rPr>
        <w:t>-</w:t>
      </w:r>
      <w:proofErr w:type="spellStart"/>
      <w:r w:rsidRPr="00BB2BBF">
        <w:rPr>
          <w:lang w:val="es-MX"/>
        </w:rPr>
        <w:t>the</w:t>
      </w:r>
      <w:proofErr w:type="spellEnd"/>
      <w:r w:rsidRPr="00BB2BBF">
        <w:rPr>
          <w:lang w:val="es-MX"/>
        </w:rPr>
        <w:t>-Run</w:t>
      </w:r>
    </w:p>
    <w:p w14:paraId="1F4848B0" w14:textId="77777777" w:rsidR="00F5517B" w:rsidRPr="00F5517B" w:rsidRDefault="00F5517B" w:rsidP="00F5517B">
      <w:pPr>
        <w:pStyle w:val="Heading2"/>
        <w:spacing w:line="360" w:lineRule="auto"/>
        <w:ind w:firstLine="720"/>
        <w:jc w:val="both"/>
        <w:rPr>
          <w:rFonts w:eastAsiaTheme="minorHAnsi" w:cstheme="minorBidi"/>
          <w:b w:val="0"/>
          <w:szCs w:val="22"/>
          <w:lang w:val="es-MX"/>
        </w:rPr>
      </w:pPr>
      <w:r w:rsidRPr="00F5517B">
        <w:rPr>
          <w:rFonts w:eastAsiaTheme="minorHAnsi" w:cstheme="minorBidi"/>
          <w:b w:val="0"/>
          <w:szCs w:val="22"/>
          <w:lang w:val="es-MX"/>
        </w:rPr>
        <w:t xml:space="preserve">Los datos de Vector de Precios de Títulos Gubernamentales se publican diariamente y abarcan el periodo desde el 16 de mayo de 2003 hasta el 21 de febrero de 2025. Se incluyen distintos instrumentos financieros, tales como CETES, Bondes D, Bondes F, </w:t>
      </w:r>
      <w:proofErr w:type="spellStart"/>
      <w:r w:rsidRPr="00F5517B">
        <w:rPr>
          <w:rFonts w:eastAsiaTheme="minorHAnsi" w:cstheme="minorBidi"/>
          <w:b w:val="0"/>
          <w:szCs w:val="22"/>
          <w:lang w:val="es-MX"/>
        </w:rPr>
        <w:t>Udibonos</w:t>
      </w:r>
      <w:proofErr w:type="spellEnd"/>
      <w:r w:rsidRPr="00F5517B">
        <w:rPr>
          <w:rFonts w:eastAsiaTheme="minorHAnsi" w:cstheme="minorBidi"/>
          <w:b w:val="0"/>
          <w:szCs w:val="22"/>
          <w:lang w:val="es-MX"/>
        </w:rPr>
        <w:t xml:space="preserve"> y Bonos, con información sobre plazo, precio limpio, precio sucio y tasas de rendimiento.</w:t>
      </w:r>
    </w:p>
    <w:p w14:paraId="3F77D0F5" w14:textId="77777777" w:rsidR="00F5517B" w:rsidRDefault="00F5517B" w:rsidP="00F5517B">
      <w:pPr>
        <w:pStyle w:val="Heading2"/>
        <w:spacing w:line="360" w:lineRule="auto"/>
        <w:ind w:firstLine="720"/>
        <w:jc w:val="both"/>
        <w:rPr>
          <w:rFonts w:eastAsiaTheme="minorHAnsi" w:cstheme="minorBidi"/>
          <w:b w:val="0"/>
          <w:szCs w:val="22"/>
          <w:lang w:val="es-MX"/>
        </w:rPr>
      </w:pPr>
      <w:r w:rsidRPr="00F5517B">
        <w:rPr>
          <w:rFonts w:eastAsiaTheme="minorHAnsi" w:cstheme="minorBidi"/>
          <w:b w:val="0"/>
          <w:szCs w:val="22"/>
          <w:lang w:val="es-MX"/>
        </w:rPr>
        <w:t>Algunos títulos han dejado de publicarse, como los Bondes D 2 años, que tuvieron datos desde el 14 de agosto de 2006 hasta el 6 de octubre de 2021. Por otro lado, ciertos instrumentos comenzaron a publicarse después del inicio de la serie, como los BPAG28 a 3 años, que iniciaron su registro el 7 de octubre de 2021.</w:t>
      </w:r>
    </w:p>
    <w:p w14:paraId="5ED10368" w14:textId="77777777" w:rsidR="00BB2BBF" w:rsidRDefault="00BB2BBF" w:rsidP="00F5517B">
      <w:pPr>
        <w:pStyle w:val="Heading2"/>
        <w:spacing w:line="360" w:lineRule="auto"/>
        <w:jc w:val="both"/>
        <w:rPr>
          <w:lang w:val="es-MX"/>
        </w:rPr>
      </w:pPr>
      <w:r w:rsidRPr="00BB2BBF">
        <w:rPr>
          <w:lang w:val="es-MX"/>
        </w:rPr>
        <w:t>Índices Quincenales (INPC y Subíndices)</w:t>
      </w:r>
    </w:p>
    <w:p w14:paraId="766285E6" w14:textId="6FF9D7EF" w:rsidR="00BB2BBF" w:rsidRPr="00BB2BBF" w:rsidRDefault="00BB2BBF" w:rsidP="0007358B">
      <w:pPr>
        <w:spacing w:line="360" w:lineRule="auto"/>
        <w:jc w:val="both"/>
        <w:rPr>
          <w:lang w:val="es-MX"/>
        </w:rPr>
      </w:pPr>
      <w:r w:rsidRPr="00BB2BBF">
        <w:rPr>
          <w:lang w:val="es-MX"/>
        </w:rPr>
        <w:t>Estos índices permiten monitorear la inflación en diversas categorías,</w:t>
      </w:r>
      <w:r w:rsidR="008507A5">
        <w:rPr>
          <w:lang w:val="es-MX"/>
        </w:rPr>
        <w:t xml:space="preserve"> son publicados quincenalmente desde </w:t>
      </w:r>
      <w:r w:rsidR="00637864">
        <w:rPr>
          <w:lang w:val="es-MX"/>
        </w:rPr>
        <w:t>1988 hasta la fecha actual.</w:t>
      </w:r>
      <w:r w:rsidR="001D5B0E">
        <w:rPr>
          <w:lang w:val="es-MX"/>
        </w:rPr>
        <w:tab/>
      </w:r>
    </w:p>
    <w:p w14:paraId="23C34FD2" w14:textId="77777777" w:rsidR="00BB2BBF" w:rsidRPr="00EE41BA" w:rsidRDefault="00BB2BBF" w:rsidP="0007358B">
      <w:pPr>
        <w:pStyle w:val="Heading2"/>
        <w:spacing w:line="360" w:lineRule="auto"/>
        <w:jc w:val="both"/>
        <w:rPr>
          <w:rStyle w:val="Heading2Char"/>
          <w:b/>
          <w:lang w:val="es-MX"/>
        </w:rPr>
      </w:pPr>
      <w:r w:rsidRPr="00EE41BA">
        <w:rPr>
          <w:lang w:val="es-MX"/>
        </w:rPr>
        <w:t>Tasas de Interés Representativas</w:t>
      </w:r>
    </w:p>
    <w:p w14:paraId="3CB7CEF0" w14:textId="043A2856" w:rsidR="00BB2BBF" w:rsidRPr="00BB2BBF" w:rsidRDefault="00BB2BBF" w:rsidP="0007358B">
      <w:pPr>
        <w:spacing w:line="360" w:lineRule="auto"/>
        <w:jc w:val="both"/>
        <w:rPr>
          <w:lang w:val="es-MX"/>
        </w:rPr>
      </w:pPr>
      <w:r w:rsidRPr="00BB2BBF">
        <w:rPr>
          <w:lang w:val="es-MX"/>
        </w:rPr>
        <w:t xml:space="preserve">La integración de TIIE, tasas de fondeo y la tasa objetivo proporciona una visión integral del entorno financiero, </w:t>
      </w:r>
      <w:r w:rsidR="00E02DD4">
        <w:rPr>
          <w:lang w:val="es-MX"/>
        </w:rPr>
        <w:t>empiezan a publicarse diariamente desde 2008,</w:t>
      </w:r>
      <w:r w:rsidR="00843E87">
        <w:rPr>
          <w:lang w:val="es-MX"/>
        </w:rPr>
        <w:t xml:space="preserve"> hasta la fecha actual.</w:t>
      </w:r>
    </w:p>
    <w:p w14:paraId="5A902AD1" w14:textId="77777777" w:rsidR="00BB2BBF" w:rsidRDefault="00BB2BBF" w:rsidP="0007358B">
      <w:pPr>
        <w:pStyle w:val="Heading2"/>
        <w:spacing w:line="360" w:lineRule="auto"/>
        <w:jc w:val="both"/>
        <w:rPr>
          <w:lang w:val="es-MX"/>
        </w:rPr>
      </w:pPr>
      <w:r w:rsidRPr="00BB2BBF">
        <w:rPr>
          <w:lang w:val="es-MX"/>
        </w:rPr>
        <w:t>Inflación Mensual</w:t>
      </w:r>
    </w:p>
    <w:p w14:paraId="41D7B2B1" w14:textId="312055D8" w:rsidR="00BB2BBF" w:rsidRDefault="008104B6" w:rsidP="0007358B">
      <w:pPr>
        <w:spacing w:line="360" w:lineRule="auto"/>
        <w:jc w:val="both"/>
        <w:rPr>
          <w:lang w:val="es-MX"/>
        </w:rPr>
      </w:pPr>
      <w:r>
        <w:rPr>
          <w:lang w:val="es-MX"/>
        </w:rPr>
        <w:t xml:space="preserve">Son publicados mensualmente desde 1969, dependiendo el tipo de inflación empieza a publicarse después, </w:t>
      </w:r>
      <w:r w:rsidR="00A41CF0">
        <w:rPr>
          <w:lang w:val="es-MX"/>
        </w:rPr>
        <w:t>las ultimas empiezan a ser publicadas en 1983.</w:t>
      </w:r>
    </w:p>
    <w:p w14:paraId="24066E17" w14:textId="6C6E7E4B" w:rsidR="00A44ADC" w:rsidRDefault="00A44ADC" w:rsidP="0007358B">
      <w:pPr>
        <w:pStyle w:val="Heading2"/>
        <w:spacing w:line="360" w:lineRule="auto"/>
        <w:jc w:val="both"/>
        <w:rPr>
          <w:lang w:val="es-MX"/>
        </w:rPr>
      </w:pPr>
      <w:r>
        <w:rPr>
          <w:lang w:val="es-MX"/>
        </w:rPr>
        <w:t xml:space="preserve">Encuesta Nacional de </w:t>
      </w:r>
      <w:r w:rsidR="00725F18">
        <w:rPr>
          <w:lang w:val="es-MX"/>
        </w:rPr>
        <w:t>Ocupación y Empleo</w:t>
      </w:r>
      <w:r w:rsidR="003B3688">
        <w:rPr>
          <w:lang w:val="es-MX"/>
        </w:rPr>
        <w:t xml:space="preserve"> </w:t>
      </w:r>
    </w:p>
    <w:p w14:paraId="7778304C" w14:textId="747ECACB" w:rsidR="68D3BE22" w:rsidRDefault="003B3688" w:rsidP="001926F5">
      <w:pPr>
        <w:spacing w:line="360" w:lineRule="auto"/>
        <w:jc w:val="both"/>
        <w:rPr>
          <w:lang w:val="es-MX"/>
        </w:rPr>
      </w:pPr>
      <w:r>
        <w:rPr>
          <w:lang w:val="es-MX"/>
        </w:rPr>
        <w:t>Un desglo</w:t>
      </w:r>
      <w:r w:rsidR="00AD66A4">
        <w:rPr>
          <w:lang w:val="es-MX"/>
        </w:rPr>
        <w:t>s</w:t>
      </w:r>
      <w:r>
        <w:rPr>
          <w:lang w:val="es-MX"/>
        </w:rPr>
        <w:t xml:space="preserve">e </w:t>
      </w:r>
      <w:r w:rsidR="00224C3B">
        <w:rPr>
          <w:lang w:val="es-MX"/>
        </w:rPr>
        <w:t xml:space="preserve">mensual </w:t>
      </w:r>
      <w:r>
        <w:rPr>
          <w:lang w:val="es-MX"/>
        </w:rPr>
        <w:t xml:space="preserve">sobre </w:t>
      </w:r>
      <w:r w:rsidR="00D16954">
        <w:rPr>
          <w:lang w:val="es-MX"/>
        </w:rPr>
        <w:t xml:space="preserve">la población ocupada por </w:t>
      </w:r>
      <w:r w:rsidR="00224C3B">
        <w:rPr>
          <w:lang w:val="es-MX"/>
        </w:rPr>
        <w:t xml:space="preserve">su nivel de ingresos desde enero de 2010, </w:t>
      </w:r>
      <w:r w:rsidR="004864E9">
        <w:rPr>
          <w:lang w:val="es-MX"/>
        </w:rPr>
        <w:t xml:space="preserve">en rangos de un salario mínimo, más de uno y hasta dos, </w:t>
      </w:r>
      <w:r w:rsidR="002175F8">
        <w:rPr>
          <w:lang w:val="es-MX"/>
        </w:rPr>
        <w:t>más de dos y hasta tres, más de tres y hasta cinco, más de cinco, no recibe y no especificado.</w:t>
      </w:r>
    </w:p>
    <w:p w14:paraId="3BB89542" w14:textId="0740B109" w:rsidR="59E5B5C6" w:rsidRDefault="59E5B5C6" w:rsidP="59E5B5C6">
      <w:pPr>
        <w:spacing w:before="240" w:after="240"/>
        <w:jc w:val="both"/>
        <w:rPr>
          <w:rFonts w:eastAsia="Times New Roman" w:cs="Times New Roman"/>
          <w:lang w:val="es-MX"/>
        </w:rPr>
      </w:pPr>
    </w:p>
    <w:p w14:paraId="37EAFDED" w14:textId="09BF8A0C" w:rsidR="68D3BE22" w:rsidRDefault="68D3BE22" w:rsidP="469E3E17">
      <w:pPr>
        <w:spacing w:line="360" w:lineRule="auto"/>
        <w:ind w:firstLine="0"/>
        <w:jc w:val="both"/>
        <w:rPr>
          <w:lang w:val="es-MX"/>
        </w:rPr>
      </w:pPr>
    </w:p>
    <w:sectPr w:rsidR="68D3BE22" w:rsidSect="00D048E4">
      <w:headerReference w:type="default" r:id="rId10"/>
      <w:headerReference w:type="firs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2340E8" w14:textId="77777777" w:rsidR="009875A6" w:rsidRDefault="009875A6" w:rsidP="00166229">
      <w:pPr>
        <w:spacing w:line="240" w:lineRule="auto"/>
      </w:pPr>
      <w:r>
        <w:separator/>
      </w:r>
    </w:p>
  </w:endnote>
  <w:endnote w:type="continuationSeparator" w:id="0">
    <w:p w14:paraId="07289EAD" w14:textId="77777777" w:rsidR="009875A6" w:rsidRDefault="009875A6" w:rsidP="00166229">
      <w:pPr>
        <w:spacing w:line="240" w:lineRule="auto"/>
      </w:pPr>
      <w:r>
        <w:continuationSeparator/>
      </w:r>
    </w:p>
  </w:endnote>
  <w:endnote w:type="continuationNotice" w:id="1">
    <w:p w14:paraId="33AD35D5" w14:textId="77777777" w:rsidR="009875A6" w:rsidRDefault="009875A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141A0D" w14:textId="77777777" w:rsidR="009875A6" w:rsidRDefault="009875A6" w:rsidP="00166229">
      <w:pPr>
        <w:spacing w:line="240" w:lineRule="auto"/>
      </w:pPr>
      <w:r>
        <w:separator/>
      </w:r>
    </w:p>
  </w:footnote>
  <w:footnote w:type="continuationSeparator" w:id="0">
    <w:p w14:paraId="1AAFF36B" w14:textId="77777777" w:rsidR="009875A6" w:rsidRDefault="009875A6" w:rsidP="00166229">
      <w:pPr>
        <w:spacing w:line="240" w:lineRule="auto"/>
      </w:pPr>
      <w:r>
        <w:continuationSeparator/>
      </w:r>
    </w:p>
  </w:footnote>
  <w:footnote w:type="continuationNotice" w:id="1">
    <w:p w14:paraId="60B176FC" w14:textId="77777777" w:rsidR="009875A6" w:rsidRDefault="009875A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74654327"/>
      <w:docPartObj>
        <w:docPartGallery w:val="Page Numbers (Top of Page)"/>
        <w:docPartUnique/>
      </w:docPartObj>
    </w:sdtPr>
    <w:sdtEndPr>
      <w:rPr>
        <w:rFonts w:cs="Times New Roman"/>
        <w:noProof/>
      </w:rPr>
    </w:sdtEndPr>
    <w:sdtContent>
      <w:p w14:paraId="63E3B49D" w14:textId="355CBF83" w:rsidR="00D048E4" w:rsidRPr="00D048E4" w:rsidRDefault="00D048E4">
        <w:pPr>
          <w:pStyle w:val="Header"/>
          <w:jc w:val="right"/>
          <w:rPr>
            <w:rFonts w:cs="Times New Roman"/>
            <w:szCs w:val="24"/>
          </w:rPr>
        </w:pPr>
        <w:r w:rsidRPr="00D048E4">
          <w:rPr>
            <w:rFonts w:cs="Times New Roman"/>
            <w:szCs w:val="24"/>
          </w:rPr>
          <w:fldChar w:fldCharType="begin"/>
        </w:r>
        <w:r w:rsidRPr="00D048E4">
          <w:rPr>
            <w:rFonts w:cs="Times New Roman"/>
            <w:szCs w:val="24"/>
          </w:rPr>
          <w:instrText xml:space="preserve"> PAGE   \* MERGEFORMAT </w:instrText>
        </w:r>
        <w:r w:rsidRPr="00D048E4">
          <w:rPr>
            <w:rFonts w:cs="Times New Roman"/>
            <w:szCs w:val="24"/>
          </w:rPr>
          <w:fldChar w:fldCharType="separate"/>
        </w:r>
        <w:r w:rsidRPr="00D048E4">
          <w:rPr>
            <w:rFonts w:cs="Times New Roman"/>
            <w:noProof/>
            <w:szCs w:val="24"/>
          </w:rPr>
          <w:t>2</w:t>
        </w:r>
        <w:r w:rsidRPr="00D048E4">
          <w:rPr>
            <w:rFonts w:cs="Times New Roman"/>
            <w:noProof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90095344"/>
      <w:docPartObj>
        <w:docPartGallery w:val="Page Numbers (Top of Page)"/>
        <w:docPartUnique/>
      </w:docPartObj>
    </w:sdtPr>
    <w:sdtEndPr>
      <w:rPr>
        <w:rFonts w:cs="Times New Roman"/>
        <w:noProof/>
      </w:rPr>
    </w:sdtEndPr>
    <w:sdtContent>
      <w:p w14:paraId="595687DA" w14:textId="7BBCBD44" w:rsidR="00D048E4" w:rsidRPr="00D048E4" w:rsidRDefault="00D048E4">
        <w:pPr>
          <w:pStyle w:val="Header"/>
          <w:jc w:val="right"/>
          <w:rPr>
            <w:rFonts w:cs="Times New Roman"/>
            <w:szCs w:val="24"/>
          </w:rPr>
        </w:pPr>
        <w:r w:rsidRPr="00D048E4">
          <w:rPr>
            <w:rFonts w:cs="Times New Roman"/>
            <w:szCs w:val="24"/>
          </w:rPr>
          <w:fldChar w:fldCharType="begin"/>
        </w:r>
        <w:r w:rsidRPr="00D048E4">
          <w:rPr>
            <w:rFonts w:cs="Times New Roman"/>
            <w:szCs w:val="24"/>
          </w:rPr>
          <w:instrText xml:space="preserve"> PAGE   \* MERGEFORMAT </w:instrText>
        </w:r>
        <w:r w:rsidRPr="00D048E4">
          <w:rPr>
            <w:rFonts w:cs="Times New Roman"/>
            <w:szCs w:val="24"/>
          </w:rPr>
          <w:fldChar w:fldCharType="separate"/>
        </w:r>
        <w:r w:rsidRPr="00D048E4">
          <w:rPr>
            <w:rFonts w:cs="Times New Roman"/>
            <w:noProof/>
            <w:szCs w:val="24"/>
          </w:rPr>
          <w:t>2</w:t>
        </w:r>
        <w:r w:rsidRPr="00D048E4">
          <w:rPr>
            <w:rFonts w:cs="Times New Roman"/>
            <w:noProof/>
            <w:szCs w:val="24"/>
          </w:rPr>
          <w:fldChar w:fldCharType="end"/>
        </w:r>
      </w:p>
    </w:sdtContent>
  </w:sdt>
  <w:p w14:paraId="5CFDB4DC" w14:textId="2147C4D3" w:rsidR="005470E7" w:rsidRPr="00D518AD" w:rsidRDefault="005470E7" w:rsidP="00006706">
    <w:pPr>
      <w:pStyle w:val="Header"/>
      <w:spacing w:line="480" w:lineRule="auto"/>
      <w:rPr>
        <w:rFonts w:cs="Times New Roman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E5A45"/>
    <w:multiLevelType w:val="multilevel"/>
    <w:tmpl w:val="B8A6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20E9D"/>
    <w:multiLevelType w:val="hybridMultilevel"/>
    <w:tmpl w:val="99AAB4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496A9F"/>
    <w:multiLevelType w:val="multilevel"/>
    <w:tmpl w:val="4ECA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8442A"/>
    <w:multiLevelType w:val="multilevel"/>
    <w:tmpl w:val="64CEA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F80869"/>
    <w:multiLevelType w:val="multilevel"/>
    <w:tmpl w:val="C7EC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CD09D9"/>
    <w:multiLevelType w:val="multilevel"/>
    <w:tmpl w:val="D376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5B3394"/>
    <w:multiLevelType w:val="multilevel"/>
    <w:tmpl w:val="F83E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B45643"/>
    <w:multiLevelType w:val="multilevel"/>
    <w:tmpl w:val="26EE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782EC7"/>
    <w:multiLevelType w:val="multilevel"/>
    <w:tmpl w:val="6FA0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D12606"/>
    <w:multiLevelType w:val="multilevel"/>
    <w:tmpl w:val="D0D8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602F90"/>
    <w:multiLevelType w:val="multilevel"/>
    <w:tmpl w:val="BCDE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C6624F"/>
    <w:multiLevelType w:val="multilevel"/>
    <w:tmpl w:val="9774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471657"/>
    <w:multiLevelType w:val="multilevel"/>
    <w:tmpl w:val="89D4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7127E5"/>
    <w:multiLevelType w:val="multilevel"/>
    <w:tmpl w:val="6BBC8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395202"/>
    <w:multiLevelType w:val="multilevel"/>
    <w:tmpl w:val="9AAE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0A53C7"/>
    <w:multiLevelType w:val="multilevel"/>
    <w:tmpl w:val="68C0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A7600B"/>
    <w:multiLevelType w:val="multilevel"/>
    <w:tmpl w:val="C1BC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629093">
    <w:abstractNumId w:val="1"/>
  </w:num>
  <w:num w:numId="2" w16cid:durableId="548149676">
    <w:abstractNumId w:val="3"/>
  </w:num>
  <w:num w:numId="3" w16cid:durableId="258374675">
    <w:abstractNumId w:val="14"/>
  </w:num>
  <w:num w:numId="4" w16cid:durableId="477502052">
    <w:abstractNumId w:val="7"/>
  </w:num>
  <w:num w:numId="5" w16cid:durableId="289239474">
    <w:abstractNumId w:val="4"/>
  </w:num>
  <w:num w:numId="6" w16cid:durableId="339356693">
    <w:abstractNumId w:val="2"/>
  </w:num>
  <w:num w:numId="7" w16cid:durableId="1077826154">
    <w:abstractNumId w:val="9"/>
  </w:num>
  <w:num w:numId="8" w16cid:durableId="1627271364">
    <w:abstractNumId w:val="16"/>
  </w:num>
  <w:num w:numId="9" w16cid:durableId="969557644">
    <w:abstractNumId w:val="0"/>
  </w:num>
  <w:num w:numId="10" w16cid:durableId="529799341">
    <w:abstractNumId w:val="5"/>
  </w:num>
  <w:num w:numId="11" w16cid:durableId="1236671244">
    <w:abstractNumId w:val="12"/>
  </w:num>
  <w:num w:numId="12" w16cid:durableId="1349484227">
    <w:abstractNumId w:val="10"/>
  </w:num>
  <w:num w:numId="13" w16cid:durableId="1953973099">
    <w:abstractNumId w:val="8"/>
  </w:num>
  <w:num w:numId="14" w16cid:durableId="2069257940">
    <w:abstractNumId w:val="15"/>
  </w:num>
  <w:num w:numId="15" w16cid:durableId="964312187">
    <w:abstractNumId w:val="6"/>
  </w:num>
  <w:num w:numId="16" w16cid:durableId="1067385994">
    <w:abstractNumId w:val="13"/>
  </w:num>
  <w:num w:numId="17" w16cid:durableId="12826154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CAD"/>
    <w:rsid w:val="00003BEC"/>
    <w:rsid w:val="00006706"/>
    <w:rsid w:val="00006CF1"/>
    <w:rsid w:val="00015C3A"/>
    <w:rsid w:val="000305EA"/>
    <w:rsid w:val="00031CDB"/>
    <w:rsid w:val="0004281D"/>
    <w:rsid w:val="000503C3"/>
    <w:rsid w:val="00055D19"/>
    <w:rsid w:val="00055EBA"/>
    <w:rsid w:val="0005795E"/>
    <w:rsid w:val="000717A0"/>
    <w:rsid w:val="00072D95"/>
    <w:rsid w:val="0007358B"/>
    <w:rsid w:val="0007649A"/>
    <w:rsid w:val="00077503"/>
    <w:rsid w:val="000A6221"/>
    <w:rsid w:val="000A65D5"/>
    <w:rsid w:val="000B6228"/>
    <w:rsid w:val="000C201F"/>
    <w:rsid w:val="000C5F5F"/>
    <w:rsid w:val="000C75EF"/>
    <w:rsid w:val="000C7DF1"/>
    <w:rsid w:val="000E2635"/>
    <w:rsid w:val="000F3EB7"/>
    <w:rsid w:val="00103856"/>
    <w:rsid w:val="0011358C"/>
    <w:rsid w:val="00123F54"/>
    <w:rsid w:val="00125C7F"/>
    <w:rsid w:val="00132E36"/>
    <w:rsid w:val="00142CAD"/>
    <w:rsid w:val="00145DEC"/>
    <w:rsid w:val="00150934"/>
    <w:rsid w:val="00154706"/>
    <w:rsid w:val="00155AF3"/>
    <w:rsid w:val="00166229"/>
    <w:rsid w:val="00177E0E"/>
    <w:rsid w:val="00182568"/>
    <w:rsid w:val="001926F5"/>
    <w:rsid w:val="00193E9A"/>
    <w:rsid w:val="00194792"/>
    <w:rsid w:val="001A1CC1"/>
    <w:rsid w:val="001B78E3"/>
    <w:rsid w:val="001C0C91"/>
    <w:rsid w:val="001C1D76"/>
    <w:rsid w:val="001C66EC"/>
    <w:rsid w:val="001D5B0E"/>
    <w:rsid w:val="001F7640"/>
    <w:rsid w:val="0020682E"/>
    <w:rsid w:val="002175F8"/>
    <w:rsid w:val="00224C3B"/>
    <w:rsid w:val="002273F4"/>
    <w:rsid w:val="0023138E"/>
    <w:rsid w:val="002351CC"/>
    <w:rsid w:val="00237295"/>
    <w:rsid w:val="002406D2"/>
    <w:rsid w:val="0025540E"/>
    <w:rsid w:val="0025796F"/>
    <w:rsid w:val="00263157"/>
    <w:rsid w:val="00266271"/>
    <w:rsid w:val="00267DC0"/>
    <w:rsid w:val="0027407D"/>
    <w:rsid w:val="00275060"/>
    <w:rsid w:val="00275325"/>
    <w:rsid w:val="00285848"/>
    <w:rsid w:val="0028786D"/>
    <w:rsid w:val="002942C1"/>
    <w:rsid w:val="002C215D"/>
    <w:rsid w:val="002E1A53"/>
    <w:rsid w:val="002E3E0A"/>
    <w:rsid w:val="002F10E8"/>
    <w:rsid w:val="003033B1"/>
    <w:rsid w:val="003143A2"/>
    <w:rsid w:val="00316B8C"/>
    <w:rsid w:val="00321759"/>
    <w:rsid w:val="00340ECC"/>
    <w:rsid w:val="00343F67"/>
    <w:rsid w:val="00354787"/>
    <w:rsid w:val="00367DB3"/>
    <w:rsid w:val="00375624"/>
    <w:rsid w:val="003A54F1"/>
    <w:rsid w:val="003A57BE"/>
    <w:rsid w:val="003B3688"/>
    <w:rsid w:val="003B6383"/>
    <w:rsid w:val="003C03C1"/>
    <w:rsid w:val="003C03CE"/>
    <w:rsid w:val="003C04CD"/>
    <w:rsid w:val="003C7EE4"/>
    <w:rsid w:val="003D466C"/>
    <w:rsid w:val="003E3C3A"/>
    <w:rsid w:val="003E431E"/>
    <w:rsid w:val="003F6EEB"/>
    <w:rsid w:val="003F72DB"/>
    <w:rsid w:val="004007F3"/>
    <w:rsid w:val="004021FE"/>
    <w:rsid w:val="00405828"/>
    <w:rsid w:val="0040658F"/>
    <w:rsid w:val="004076B4"/>
    <w:rsid w:val="004100D0"/>
    <w:rsid w:val="00415F5B"/>
    <w:rsid w:val="0043103A"/>
    <w:rsid w:val="004325AF"/>
    <w:rsid w:val="004338A5"/>
    <w:rsid w:val="00436642"/>
    <w:rsid w:val="00437F67"/>
    <w:rsid w:val="0044529A"/>
    <w:rsid w:val="00452B43"/>
    <w:rsid w:val="00455637"/>
    <w:rsid w:val="0046673C"/>
    <w:rsid w:val="0048426F"/>
    <w:rsid w:val="004864E9"/>
    <w:rsid w:val="004871A5"/>
    <w:rsid w:val="00490ED9"/>
    <w:rsid w:val="004A0022"/>
    <w:rsid w:val="004A3993"/>
    <w:rsid w:val="004B1B0D"/>
    <w:rsid w:val="004B4868"/>
    <w:rsid w:val="004C24C0"/>
    <w:rsid w:val="004E2296"/>
    <w:rsid w:val="004E502E"/>
    <w:rsid w:val="004F2003"/>
    <w:rsid w:val="00502542"/>
    <w:rsid w:val="0051326C"/>
    <w:rsid w:val="00516F59"/>
    <w:rsid w:val="00520949"/>
    <w:rsid w:val="00522478"/>
    <w:rsid w:val="00522DE9"/>
    <w:rsid w:val="005230FF"/>
    <w:rsid w:val="005239CC"/>
    <w:rsid w:val="00533DF2"/>
    <w:rsid w:val="005361CD"/>
    <w:rsid w:val="00542824"/>
    <w:rsid w:val="005470E7"/>
    <w:rsid w:val="005524B4"/>
    <w:rsid w:val="00562694"/>
    <w:rsid w:val="00565CB0"/>
    <w:rsid w:val="00573CA6"/>
    <w:rsid w:val="0057787F"/>
    <w:rsid w:val="00585E6C"/>
    <w:rsid w:val="005863EA"/>
    <w:rsid w:val="00590444"/>
    <w:rsid w:val="005A0398"/>
    <w:rsid w:val="005B4172"/>
    <w:rsid w:val="005B5811"/>
    <w:rsid w:val="005C08E2"/>
    <w:rsid w:val="005C4BD4"/>
    <w:rsid w:val="005C6339"/>
    <w:rsid w:val="005D305F"/>
    <w:rsid w:val="005D7003"/>
    <w:rsid w:val="005E4880"/>
    <w:rsid w:val="005E7916"/>
    <w:rsid w:val="005F7D76"/>
    <w:rsid w:val="00604705"/>
    <w:rsid w:val="00613335"/>
    <w:rsid w:val="00620A62"/>
    <w:rsid w:val="0062368A"/>
    <w:rsid w:val="00624038"/>
    <w:rsid w:val="00636641"/>
    <w:rsid w:val="00637864"/>
    <w:rsid w:val="00661971"/>
    <w:rsid w:val="00664321"/>
    <w:rsid w:val="00666D86"/>
    <w:rsid w:val="00675F4A"/>
    <w:rsid w:val="006858F4"/>
    <w:rsid w:val="00697F21"/>
    <w:rsid w:val="006A5677"/>
    <w:rsid w:val="006B281B"/>
    <w:rsid w:val="006B3416"/>
    <w:rsid w:val="006B6B45"/>
    <w:rsid w:val="006B7F6A"/>
    <w:rsid w:val="006C6987"/>
    <w:rsid w:val="006D5983"/>
    <w:rsid w:val="006D790E"/>
    <w:rsid w:val="006F33B3"/>
    <w:rsid w:val="0070317D"/>
    <w:rsid w:val="00711291"/>
    <w:rsid w:val="00725F18"/>
    <w:rsid w:val="00730CAE"/>
    <w:rsid w:val="00736335"/>
    <w:rsid w:val="00736BC3"/>
    <w:rsid w:val="00747A80"/>
    <w:rsid w:val="00750028"/>
    <w:rsid w:val="00767DC0"/>
    <w:rsid w:val="00774339"/>
    <w:rsid w:val="007821DA"/>
    <w:rsid w:val="007824F7"/>
    <w:rsid w:val="00786E08"/>
    <w:rsid w:val="00787CD8"/>
    <w:rsid w:val="00796CA0"/>
    <w:rsid w:val="007973A3"/>
    <w:rsid w:val="007A15A6"/>
    <w:rsid w:val="007A6EB0"/>
    <w:rsid w:val="007C0776"/>
    <w:rsid w:val="007C37AB"/>
    <w:rsid w:val="007C5FAE"/>
    <w:rsid w:val="007D1F13"/>
    <w:rsid w:val="007D3D68"/>
    <w:rsid w:val="007D4FF8"/>
    <w:rsid w:val="007F6B7E"/>
    <w:rsid w:val="007F78A3"/>
    <w:rsid w:val="00801F7A"/>
    <w:rsid w:val="00805A34"/>
    <w:rsid w:val="008104B6"/>
    <w:rsid w:val="0081075D"/>
    <w:rsid w:val="00810BDB"/>
    <w:rsid w:val="0081290D"/>
    <w:rsid w:val="00825B87"/>
    <w:rsid w:val="0082763C"/>
    <w:rsid w:val="008277D3"/>
    <w:rsid w:val="00842498"/>
    <w:rsid w:val="00843E87"/>
    <w:rsid w:val="00846B50"/>
    <w:rsid w:val="008507A5"/>
    <w:rsid w:val="008616C3"/>
    <w:rsid w:val="00866727"/>
    <w:rsid w:val="00871128"/>
    <w:rsid w:val="0088178C"/>
    <w:rsid w:val="008833D8"/>
    <w:rsid w:val="00887524"/>
    <w:rsid w:val="0089444F"/>
    <w:rsid w:val="008A5F4F"/>
    <w:rsid w:val="008B79C8"/>
    <w:rsid w:val="008D415D"/>
    <w:rsid w:val="008F02F8"/>
    <w:rsid w:val="008F1C12"/>
    <w:rsid w:val="008F44BF"/>
    <w:rsid w:val="00912D04"/>
    <w:rsid w:val="009144F1"/>
    <w:rsid w:val="00914536"/>
    <w:rsid w:val="009149CA"/>
    <w:rsid w:val="009160B5"/>
    <w:rsid w:val="009178E8"/>
    <w:rsid w:val="009235E7"/>
    <w:rsid w:val="00926FA1"/>
    <w:rsid w:val="009411FA"/>
    <w:rsid w:val="00947057"/>
    <w:rsid w:val="00952321"/>
    <w:rsid w:val="009622FF"/>
    <w:rsid w:val="00966352"/>
    <w:rsid w:val="0098083B"/>
    <w:rsid w:val="00981D59"/>
    <w:rsid w:val="00982CAC"/>
    <w:rsid w:val="00987274"/>
    <w:rsid w:val="009875A6"/>
    <w:rsid w:val="009A0D02"/>
    <w:rsid w:val="009B55DC"/>
    <w:rsid w:val="009C3C66"/>
    <w:rsid w:val="009E162D"/>
    <w:rsid w:val="009E3E40"/>
    <w:rsid w:val="009F3BED"/>
    <w:rsid w:val="009F76C7"/>
    <w:rsid w:val="00A07547"/>
    <w:rsid w:val="00A12FFA"/>
    <w:rsid w:val="00A17684"/>
    <w:rsid w:val="00A17CEB"/>
    <w:rsid w:val="00A21D1D"/>
    <w:rsid w:val="00A3360C"/>
    <w:rsid w:val="00A41CF0"/>
    <w:rsid w:val="00A44ADC"/>
    <w:rsid w:val="00A46CC1"/>
    <w:rsid w:val="00A527C0"/>
    <w:rsid w:val="00A52DD1"/>
    <w:rsid w:val="00A67328"/>
    <w:rsid w:val="00A7447B"/>
    <w:rsid w:val="00A759BD"/>
    <w:rsid w:val="00A7672E"/>
    <w:rsid w:val="00A85F16"/>
    <w:rsid w:val="00AA6E4E"/>
    <w:rsid w:val="00AB67BC"/>
    <w:rsid w:val="00AD0E1B"/>
    <w:rsid w:val="00AD5092"/>
    <w:rsid w:val="00AD66A4"/>
    <w:rsid w:val="00AE1BA9"/>
    <w:rsid w:val="00AF35D9"/>
    <w:rsid w:val="00AF67B2"/>
    <w:rsid w:val="00B04D6E"/>
    <w:rsid w:val="00B0636A"/>
    <w:rsid w:val="00B20E3F"/>
    <w:rsid w:val="00B23329"/>
    <w:rsid w:val="00B25F83"/>
    <w:rsid w:val="00B26599"/>
    <w:rsid w:val="00B2696F"/>
    <w:rsid w:val="00B37619"/>
    <w:rsid w:val="00B47681"/>
    <w:rsid w:val="00B52ECA"/>
    <w:rsid w:val="00B640A0"/>
    <w:rsid w:val="00B679FB"/>
    <w:rsid w:val="00B72BFA"/>
    <w:rsid w:val="00B93614"/>
    <w:rsid w:val="00B97441"/>
    <w:rsid w:val="00BA5D0E"/>
    <w:rsid w:val="00BA7D02"/>
    <w:rsid w:val="00BB2BBF"/>
    <w:rsid w:val="00BC7489"/>
    <w:rsid w:val="00BD0C94"/>
    <w:rsid w:val="00BD24D0"/>
    <w:rsid w:val="00BD26B6"/>
    <w:rsid w:val="00BD6F27"/>
    <w:rsid w:val="00BE086C"/>
    <w:rsid w:val="00BF2946"/>
    <w:rsid w:val="00BF2B9E"/>
    <w:rsid w:val="00BF36CC"/>
    <w:rsid w:val="00BF5E2B"/>
    <w:rsid w:val="00BF6638"/>
    <w:rsid w:val="00C00382"/>
    <w:rsid w:val="00C03E42"/>
    <w:rsid w:val="00C06F7B"/>
    <w:rsid w:val="00C123F2"/>
    <w:rsid w:val="00C17AA8"/>
    <w:rsid w:val="00C22180"/>
    <w:rsid w:val="00C519EC"/>
    <w:rsid w:val="00C51CBB"/>
    <w:rsid w:val="00C63C14"/>
    <w:rsid w:val="00C74294"/>
    <w:rsid w:val="00C76150"/>
    <w:rsid w:val="00C81958"/>
    <w:rsid w:val="00CB2A00"/>
    <w:rsid w:val="00CB6ACF"/>
    <w:rsid w:val="00CB71F9"/>
    <w:rsid w:val="00CD1EC2"/>
    <w:rsid w:val="00CE54BA"/>
    <w:rsid w:val="00CE6FB4"/>
    <w:rsid w:val="00CE75DC"/>
    <w:rsid w:val="00CF2275"/>
    <w:rsid w:val="00D01CF2"/>
    <w:rsid w:val="00D04389"/>
    <w:rsid w:val="00D048E4"/>
    <w:rsid w:val="00D11AF7"/>
    <w:rsid w:val="00D13872"/>
    <w:rsid w:val="00D16954"/>
    <w:rsid w:val="00D20448"/>
    <w:rsid w:val="00D23C43"/>
    <w:rsid w:val="00D27443"/>
    <w:rsid w:val="00D3406F"/>
    <w:rsid w:val="00D477CD"/>
    <w:rsid w:val="00D518AD"/>
    <w:rsid w:val="00D54EA1"/>
    <w:rsid w:val="00D55868"/>
    <w:rsid w:val="00D6622F"/>
    <w:rsid w:val="00D67C2C"/>
    <w:rsid w:val="00D770B3"/>
    <w:rsid w:val="00D857FA"/>
    <w:rsid w:val="00D86F37"/>
    <w:rsid w:val="00DA31C1"/>
    <w:rsid w:val="00DA35BA"/>
    <w:rsid w:val="00DB1A0C"/>
    <w:rsid w:val="00DC0582"/>
    <w:rsid w:val="00DC5A2F"/>
    <w:rsid w:val="00DD7BAC"/>
    <w:rsid w:val="00DE0B67"/>
    <w:rsid w:val="00DF2952"/>
    <w:rsid w:val="00E02DD4"/>
    <w:rsid w:val="00E16120"/>
    <w:rsid w:val="00E17B09"/>
    <w:rsid w:val="00E241C1"/>
    <w:rsid w:val="00E32D67"/>
    <w:rsid w:val="00E37B2C"/>
    <w:rsid w:val="00E4348E"/>
    <w:rsid w:val="00E4643A"/>
    <w:rsid w:val="00E467C7"/>
    <w:rsid w:val="00E63A5C"/>
    <w:rsid w:val="00E65EAE"/>
    <w:rsid w:val="00E65FDB"/>
    <w:rsid w:val="00E672FD"/>
    <w:rsid w:val="00E74366"/>
    <w:rsid w:val="00E7657E"/>
    <w:rsid w:val="00E8177C"/>
    <w:rsid w:val="00E846E8"/>
    <w:rsid w:val="00E94969"/>
    <w:rsid w:val="00E94A6F"/>
    <w:rsid w:val="00E94DAF"/>
    <w:rsid w:val="00E96C39"/>
    <w:rsid w:val="00EA5445"/>
    <w:rsid w:val="00EB1BA1"/>
    <w:rsid w:val="00EB55F5"/>
    <w:rsid w:val="00EC1006"/>
    <w:rsid w:val="00EC21DE"/>
    <w:rsid w:val="00ED69E2"/>
    <w:rsid w:val="00ED6CE0"/>
    <w:rsid w:val="00EE41BA"/>
    <w:rsid w:val="00EE5136"/>
    <w:rsid w:val="00EF2FDB"/>
    <w:rsid w:val="00EF77CB"/>
    <w:rsid w:val="00F049DE"/>
    <w:rsid w:val="00F144F2"/>
    <w:rsid w:val="00F23E92"/>
    <w:rsid w:val="00F247AE"/>
    <w:rsid w:val="00F268D4"/>
    <w:rsid w:val="00F30DE9"/>
    <w:rsid w:val="00F37DB2"/>
    <w:rsid w:val="00F5517B"/>
    <w:rsid w:val="00F60623"/>
    <w:rsid w:val="00F625D4"/>
    <w:rsid w:val="00F650BA"/>
    <w:rsid w:val="00F75321"/>
    <w:rsid w:val="00F75DDC"/>
    <w:rsid w:val="00F7649D"/>
    <w:rsid w:val="00F8453D"/>
    <w:rsid w:val="00F84C76"/>
    <w:rsid w:val="00F850A3"/>
    <w:rsid w:val="00F86457"/>
    <w:rsid w:val="00F86F53"/>
    <w:rsid w:val="00F87137"/>
    <w:rsid w:val="00F909A6"/>
    <w:rsid w:val="00F96607"/>
    <w:rsid w:val="00F96E1D"/>
    <w:rsid w:val="00FC002B"/>
    <w:rsid w:val="00FC044B"/>
    <w:rsid w:val="00FC1414"/>
    <w:rsid w:val="00FD0811"/>
    <w:rsid w:val="00FE6C49"/>
    <w:rsid w:val="00FF07F7"/>
    <w:rsid w:val="00FF2692"/>
    <w:rsid w:val="00FF2900"/>
    <w:rsid w:val="17C6FE3D"/>
    <w:rsid w:val="1D59D32A"/>
    <w:rsid w:val="1D5F3BF5"/>
    <w:rsid w:val="2374796E"/>
    <w:rsid w:val="2D87B16E"/>
    <w:rsid w:val="469E3E17"/>
    <w:rsid w:val="4AAE074E"/>
    <w:rsid w:val="52A56129"/>
    <w:rsid w:val="59E5B5C6"/>
    <w:rsid w:val="5C76A1DF"/>
    <w:rsid w:val="5DB256D6"/>
    <w:rsid w:val="68D3BE22"/>
    <w:rsid w:val="6931989E"/>
    <w:rsid w:val="6E4A5D4C"/>
    <w:rsid w:val="7C39B473"/>
    <w:rsid w:val="7EBB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C5423"/>
  <w15:chartTrackingRefBased/>
  <w15:docId w15:val="{FE5C87EB-3468-4C6F-BF3D-54E8DF74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706"/>
    <w:pPr>
      <w:spacing w:after="0" w:line="480" w:lineRule="auto"/>
      <w:ind w:firstLine="720"/>
      <w:contextualSpacing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48E4"/>
    <w:pPr>
      <w:jc w:val="center"/>
      <w:outlineLvl w:val="0"/>
    </w:pPr>
    <w:rPr>
      <w:rFonts w:cs="Times New Roman"/>
      <w:b/>
      <w:bCs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706"/>
    <w:pPr>
      <w:keepNext/>
      <w:keepLines/>
      <w:ind w:firstLine="0"/>
      <w:contextualSpacing w:val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CEB"/>
    <w:pPr>
      <w:keepNext/>
      <w:keepLines/>
      <w:ind w:firstLine="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22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229"/>
  </w:style>
  <w:style w:type="paragraph" w:styleId="Footer">
    <w:name w:val="footer"/>
    <w:basedOn w:val="Normal"/>
    <w:link w:val="FooterChar"/>
    <w:uiPriority w:val="99"/>
    <w:unhideWhenUsed/>
    <w:rsid w:val="0016622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229"/>
  </w:style>
  <w:style w:type="paragraph" w:styleId="ListParagraph">
    <w:name w:val="List Paragraph"/>
    <w:basedOn w:val="Normal"/>
    <w:uiPriority w:val="34"/>
    <w:qFormat/>
    <w:rsid w:val="00F60623"/>
    <w:pPr>
      <w:ind w:left="720"/>
    </w:pPr>
  </w:style>
  <w:style w:type="character" w:styleId="Hyperlink">
    <w:name w:val="Hyperlink"/>
    <w:basedOn w:val="DefaultParagraphFont"/>
    <w:uiPriority w:val="99"/>
    <w:unhideWhenUsed/>
    <w:rsid w:val="00F6062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48E4"/>
    <w:rPr>
      <w:rFonts w:ascii="Times New Roman" w:hAnsi="Times New Roman" w:cs="Times New Roman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B486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E54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E54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E54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54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54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4B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4B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625D4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0B6228"/>
    <w:pPr>
      <w:spacing w:after="0" w:line="240" w:lineRule="auto"/>
    </w:pPr>
  </w:style>
  <w:style w:type="paragraph" w:styleId="NoSpacing">
    <w:name w:val="No Spacing"/>
    <w:link w:val="NoSpacingChar"/>
    <w:uiPriority w:val="1"/>
    <w:rsid w:val="00786E08"/>
    <w:pPr>
      <w:spacing w:after="0" w:line="240" w:lineRule="auto"/>
      <w:ind w:firstLine="720"/>
      <w:contextualSpacing/>
    </w:pPr>
    <w:rPr>
      <w:rFonts w:ascii="Times New Roman" w:hAnsi="Times New Roman"/>
      <w:sz w:val="24"/>
    </w:rPr>
  </w:style>
  <w:style w:type="paragraph" w:customStyle="1" w:styleId="Cover">
    <w:name w:val="Cover"/>
    <w:basedOn w:val="Normal"/>
    <w:link w:val="CoverChar"/>
    <w:qFormat/>
    <w:rsid w:val="00786E08"/>
    <w:pPr>
      <w:ind w:firstLine="0"/>
      <w:jc w:val="center"/>
    </w:pPr>
  </w:style>
  <w:style w:type="character" w:customStyle="1" w:styleId="NoSpacingChar">
    <w:name w:val="No Spacing Char"/>
    <w:basedOn w:val="DefaultParagraphFont"/>
    <w:link w:val="NoSpacing"/>
    <w:uiPriority w:val="1"/>
    <w:rsid w:val="00786E08"/>
    <w:rPr>
      <w:rFonts w:ascii="Times New Roman" w:hAnsi="Times New Roman"/>
      <w:sz w:val="24"/>
    </w:rPr>
  </w:style>
  <w:style w:type="character" w:customStyle="1" w:styleId="CoverChar">
    <w:name w:val="Cover Char"/>
    <w:basedOn w:val="NoSpacingChar"/>
    <w:link w:val="Cover"/>
    <w:rsid w:val="00786E08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54706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7CEB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F02F8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21AF64BD63B045AA9A0B697611A7E7" ma:contentTypeVersion="13" ma:contentTypeDescription="Create a new document." ma:contentTypeScope="" ma:versionID="577ae9de38a1d59c55daa3d70aed3812">
  <xsd:schema xmlns:xsd="http://www.w3.org/2001/XMLSchema" xmlns:xs="http://www.w3.org/2001/XMLSchema" xmlns:p="http://schemas.microsoft.com/office/2006/metadata/properties" xmlns:ns3="ba88afe1-d897-4f80-aa04-046d4eb4df8e" xmlns:ns4="e73950f9-89bf-4d2d-90c7-1a0e5b17f7f2" targetNamespace="http://schemas.microsoft.com/office/2006/metadata/properties" ma:root="true" ma:fieldsID="69f23878f092fa9ff37c29167fede9d2" ns3:_="" ns4:_="">
    <xsd:import namespace="ba88afe1-d897-4f80-aa04-046d4eb4df8e"/>
    <xsd:import namespace="e73950f9-89bf-4d2d-90c7-1a0e5b17f7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88afe1-d897-4f80-aa04-046d4eb4df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950f9-89bf-4d2d-90c7-1a0e5b17f7f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9DAA50-A790-4606-BAD1-67A0E8B58C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88afe1-d897-4f80-aa04-046d4eb4df8e"/>
    <ds:schemaRef ds:uri="e73950f9-89bf-4d2d-90c7-1a0e5b17f7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85F15E-187C-46C0-BE17-BA681BDC6B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3AD4AC-FEE3-443B-8307-F0444B5FD7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636</Words>
  <Characters>3503</Characters>
  <Application>Microsoft Office Word</Application>
  <DocSecurity>4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Heriberto Espino Montelongo</cp:lastModifiedBy>
  <cp:revision>113</cp:revision>
  <dcterms:created xsi:type="dcterms:W3CDTF">2024-05-22T18:02:00Z</dcterms:created>
  <dcterms:modified xsi:type="dcterms:W3CDTF">2025-03-04T05:57:00Z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0x010100B421AF64BD63B045AA9A0B697611A7E7</vt:lpwstr>
  </property>
</Properties>
</file>