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43C9" w14:textId="00091575" w:rsidR="00D048E4" w:rsidRDefault="007A6EB0" w:rsidP="0007358B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1EBECD69" w14:textId="77777777" w:rsidR="00D048E4" w:rsidRDefault="00D048E4" w:rsidP="0007358B">
      <w:pPr>
        <w:spacing w:line="360" w:lineRule="auto"/>
        <w:jc w:val="center"/>
        <w:rPr>
          <w:rFonts w:cs="Times New Roman"/>
          <w:szCs w:val="24"/>
        </w:rPr>
      </w:pPr>
    </w:p>
    <w:p w14:paraId="20D5F08A" w14:textId="77777777" w:rsidR="00D048E4" w:rsidRDefault="00D048E4" w:rsidP="0007358B">
      <w:pPr>
        <w:jc w:val="center"/>
        <w:rPr>
          <w:rFonts w:cs="Times New Roman"/>
          <w:szCs w:val="24"/>
        </w:rPr>
      </w:pPr>
    </w:p>
    <w:p w14:paraId="51AF7339" w14:textId="53245FDF" w:rsidR="004338A5" w:rsidRPr="00CD1EC2" w:rsidRDefault="00CD1EC2" w:rsidP="0007358B">
      <w:pPr>
        <w:pStyle w:val="Cover"/>
        <w:rPr>
          <w:b/>
          <w:bCs/>
          <w:lang w:val="es-MX"/>
        </w:rPr>
      </w:pPr>
      <w:bookmarkStart w:id="0" w:name="_Hlk85727200"/>
      <w:r>
        <w:rPr>
          <w:b/>
          <w:bCs/>
          <w:lang w:val="es-MX"/>
        </w:rPr>
        <w:t>Descripción de los Datos</w:t>
      </w:r>
    </w:p>
    <w:bookmarkEnd w:id="0"/>
    <w:p w14:paraId="381579D7" w14:textId="77777777" w:rsidR="00D048E4" w:rsidRPr="00CD1EC2" w:rsidRDefault="00D048E4" w:rsidP="0007358B">
      <w:pPr>
        <w:jc w:val="center"/>
        <w:rPr>
          <w:rFonts w:cs="Times New Roman"/>
          <w:b/>
          <w:bCs/>
          <w:szCs w:val="24"/>
          <w:lang w:val="es-MX"/>
        </w:rPr>
      </w:pPr>
    </w:p>
    <w:p w14:paraId="16611F88" w14:textId="77777777" w:rsidR="008A5F4F" w:rsidRPr="00713098" w:rsidRDefault="008A5F4F" w:rsidP="0007358B">
      <w:pPr>
        <w:pStyle w:val="Cover"/>
        <w:rPr>
          <w:lang w:val="es-MX"/>
        </w:rPr>
      </w:pPr>
      <w:r w:rsidRPr="00713098">
        <w:rPr>
          <w:lang w:val="es-MX"/>
        </w:rPr>
        <w:t>Nuria Arroyo Bustamante y Heriberto Espino Montelongo</w:t>
      </w:r>
    </w:p>
    <w:p w14:paraId="27036F1D" w14:textId="77777777" w:rsidR="008A5F4F" w:rsidRPr="00713098" w:rsidRDefault="008A5F4F" w:rsidP="0007358B">
      <w:pPr>
        <w:pStyle w:val="Cover"/>
        <w:rPr>
          <w:lang w:val="es-MX"/>
        </w:rPr>
      </w:pPr>
      <w:r w:rsidRPr="00713098">
        <w:rPr>
          <w:lang w:val="es-MX"/>
        </w:rPr>
        <w:t>Universidad de las Américas Puebla</w:t>
      </w:r>
    </w:p>
    <w:p w14:paraId="49CA62AF" w14:textId="77777777" w:rsidR="008A5F4F" w:rsidRPr="00713098" w:rsidRDefault="008A5F4F" w:rsidP="0007358B">
      <w:pPr>
        <w:pStyle w:val="Cover"/>
        <w:rPr>
          <w:lang w:val="es-MX"/>
        </w:rPr>
      </w:pPr>
      <w:r w:rsidRPr="00713098">
        <w:rPr>
          <w:lang w:val="es-MX"/>
        </w:rPr>
        <w:t>P25 LDS1021 1: Minería de Datos</w:t>
      </w:r>
    </w:p>
    <w:p w14:paraId="7438A16C" w14:textId="77777777" w:rsidR="008A5F4F" w:rsidRPr="00713098" w:rsidRDefault="008A5F4F" w:rsidP="0007358B">
      <w:pPr>
        <w:pStyle w:val="Cover"/>
        <w:rPr>
          <w:lang w:val="es-MX"/>
        </w:rPr>
      </w:pPr>
      <w:r w:rsidRPr="00713098">
        <w:rPr>
          <w:lang w:val="es-MX"/>
        </w:rPr>
        <w:t>Dr. Hector Saib Maravillo Gomez</w:t>
      </w:r>
    </w:p>
    <w:p w14:paraId="3B95A1DF" w14:textId="5BA5B524" w:rsidR="008A5F4F" w:rsidRPr="00713098" w:rsidRDefault="00BF2B9E" w:rsidP="0007358B">
      <w:pPr>
        <w:pStyle w:val="Cover"/>
        <w:rPr>
          <w:lang w:val="es-MX"/>
        </w:rPr>
      </w:pPr>
      <w:r>
        <w:rPr>
          <w:lang w:val="es-MX"/>
        </w:rPr>
        <w:t xml:space="preserve">3 de marzo </w:t>
      </w:r>
      <w:r w:rsidR="008A5F4F" w:rsidRPr="00713098">
        <w:rPr>
          <w:lang w:val="es-MX"/>
        </w:rPr>
        <w:t>de 2025</w:t>
      </w:r>
    </w:p>
    <w:p w14:paraId="149196A1" w14:textId="304C6BAA" w:rsidR="004338A5" w:rsidRPr="008A5F4F" w:rsidRDefault="004338A5" w:rsidP="0007358B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7ECB360A" w14:textId="54E5234E" w:rsidR="004338A5" w:rsidRPr="008A5F4F" w:rsidRDefault="004338A5" w:rsidP="0007358B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758842F8" w14:textId="077E29EB" w:rsidR="004338A5" w:rsidRPr="008A5F4F" w:rsidRDefault="004338A5" w:rsidP="0007358B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0E1ADFBC" w14:textId="3805EE16" w:rsidR="004338A5" w:rsidRPr="008A5F4F" w:rsidRDefault="004338A5" w:rsidP="0007358B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568BA413" w14:textId="46223DD3" w:rsidR="004338A5" w:rsidRPr="008A5F4F" w:rsidRDefault="004338A5" w:rsidP="0007358B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2AAAA816" w14:textId="6FFF2510" w:rsidR="004338A5" w:rsidRPr="008A5F4F" w:rsidRDefault="004338A5" w:rsidP="0007358B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2A3DC52F" w14:textId="1EC264FB" w:rsidR="004338A5" w:rsidRPr="008A5F4F" w:rsidRDefault="004338A5" w:rsidP="0007358B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1A978B59" w14:textId="77777777" w:rsidR="004338A5" w:rsidRPr="008A5F4F" w:rsidRDefault="004338A5" w:rsidP="0007358B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7F0A98D5" w14:textId="77777777" w:rsidR="00D048E4" w:rsidRPr="008A5F4F" w:rsidRDefault="00D048E4" w:rsidP="0007358B">
      <w:pPr>
        <w:spacing w:line="360" w:lineRule="auto"/>
        <w:rPr>
          <w:rFonts w:cs="Times New Roman"/>
          <w:szCs w:val="24"/>
          <w:lang w:val="es-MX"/>
        </w:rPr>
      </w:pPr>
      <w:r w:rsidRPr="008A5F4F">
        <w:rPr>
          <w:rFonts w:cs="Times New Roman"/>
          <w:szCs w:val="24"/>
          <w:lang w:val="es-MX"/>
        </w:rPr>
        <w:br w:type="page"/>
      </w:r>
    </w:p>
    <w:p w14:paraId="5E30AC43" w14:textId="46B15EA2" w:rsidR="000A6221" w:rsidRDefault="00B0636A" w:rsidP="0007358B">
      <w:pPr>
        <w:pStyle w:val="Heading1"/>
        <w:spacing w:line="360" w:lineRule="auto"/>
        <w:rPr>
          <w:lang w:val="es-MX"/>
        </w:rPr>
      </w:pPr>
      <w:r w:rsidRPr="68D3BE22">
        <w:rPr>
          <w:lang w:val="es-MX"/>
        </w:rPr>
        <w:lastRenderedPageBreak/>
        <w:t>Descripción de los Datos</w:t>
      </w:r>
    </w:p>
    <w:p w14:paraId="3DF50683" w14:textId="77777777" w:rsidR="00BB2BBF" w:rsidRDefault="00BB2BBF" w:rsidP="0007358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t>Tasas Interbancarias y de Fondeo</w:t>
      </w:r>
    </w:p>
    <w:p w14:paraId="35F01B45" w14:textId="5CAB980D" w:rsidR="00BB2BBF" w:rsidRDefault="00BB2BBF" w:rsidP="0007358B">
      <w:pPr>
        <w:spacing w:line="360" w:lineRule="auto"/>
        <w:jc w:val="both"/>
        <w:rPr>
          <w:lang w:val="es-MX"/>
        </w:rPr>
      </w:pPr>
      <w:r w:rsidRPr="00BB2BBF">
        <w:rPr>
          <w:lang w:val="es-MX"/>
        </w:rPr>
        <w:t>Los indicadores TIIE (diaria, a 28, 91 días y anual) y las tasas de fondeo (bancario y gubernamental) establecen la base del costo financiero, condicionando el precio de los préstamos en sectores como el hipotecario, automotriz y de consumo.</w:t>
      </w:r>
    </w:p>
    <w:p w14:paraId="60BC743E" w14:textId="16895EFB" w:rsidR="00150934" w:rsidRDefault="00150934" w:rsidP="0007358B">
      <w:pPr>
        <w:pStyle w:val="Heading2"/>
        <w:spacing w:line="360" w:lineRule="auto"/>
        <w:jc w:val="both"/>
        <w:rPr>
          <w:lang w:val="es-MX"/>
        </w:rPr>
      </w:pPr>
      <w:r w:rsidRPr="00E16120">
        <w:rPr>
          <w:lang w:val="es-MX"/>
        </w:rPr>
        <w:t>Número de Tarjetas de Crédito</w:t>
      </w:r>
    </w:p>
    <w:p w14:paraId="1DFCA94D" w14:textId="77777777" w:rsidR="00EE41BA" w:rsidRDefault="00150934" w:rsidP="0007358B">
      <w:pPr>
        <w:spacing w:line="360" w:lineRule="auto"/>
        <w:jc w:val="both"/>
        <w:rPr>
          <w:lang w:val="es-MX"/>
        </w:rPr>
      </w:pPr>
      <w:r w:rsidRPr="00E16120">
        <w:rPr>
          <w:lang w:val="es-MX"/>
        </w:rPr>
        <w:t>Segmenta cuentas clasificadas alfabéticamente de A a Z</w:t>
      </w:r>
      <w:r w:rsidR="00747A80">
        <w:rPr>
          <w:lang w:val="es-MX"/>
        </w:rPr>
        <w:t xml:space="preserve">, que </w:t>
      </w:r>
      <w:r w:rsidR="00747A80" w:rsidRPr="00E16120">
        <w:rPr>
          <w:lang w:val="es-MX"/>
        </w:rPr>
        <w:t>permite discriminar perfiles o niveles de us</w:t>
      </w:r>
      <w:r w:rsidR="00747A80">
        <w:rPr>
          <w:lang w:val="es-MX"/>
        </w:rPr>
        <w:t>o,</w:t>
      </w:r>
      <w:r w:rsidRPr="00E16120">
        <w:rPr>
          <w:lang w:val="es-MX"/>
        </w:rPr>
        <w:t xml:space="preserve"> por marca (Visa, Mastercard) </w:t>
      </w:r>
      <w:r w:rsidR="00747A80">
        <w:rPr>
          <w:lang w:val="es-MX"/>
        </w:rPr>
        <w:t xml:space="preserve">durante su </w:t>
      </w:r>
      <w:r w:rsidRPr="00E16120">
        <w:rPr>
          <w:lang w:val="es-MX"/>
        </w:rPr>
        <w:t xml:space="preserve">actividad trimestral. </w:t>
      </w:r>
    </w:p>
    <w:p w14:paraId="7169C05F" w14:textId="05BFD84D" w:rsidR="00EE41BA" w:rsidRPr="00EE41BA" w:rsidRDefault="00EE41BA" w:rsidP="0007358B">
      <w:pPr>
        <w:spacing w:line="360" w:lineRule="auto"/>
        <w:jc w:val="both"/>
        <w:rPr>
          <w:lang w:val="es-MX"/>
        </w:rPr>
      </w:pPr>
      <w:r w:rsidRPr="00EE41BA">
        <w:rPr>
          <w:lang w:val="es-MX"/>
        </w:rPr>
        <w:t xml:space="preserve">A </w:t>
      </w:r>
      <w:r>
        <w:rPr>
          <w:lang w:val="es-MX"/>
        </w:rPr>
        <w:t>–</w:t>
      </w:r>
      <w:r w:rsidRPr="00EE41BA">
        <w:rPr>
          <w:lang w:val="es-MX"/>
        </w:rPr>
        <w:t xml:space="preserve"> E</w:t>
      </w:r>
      <w:r>
        <w:rPr>
          <w:lang w:val="es-MX"/>
        </w:rPr>
        <w:t>:</w:t>
      </w:r>
      <w:r w:rsidRPr="00EE41BA">
        <w:rPr>
          <w:lang w:val="es-MX"/>
        </w:rPr>
        <w:t xml:space="preserve"> </w:t>
      </w:r>
      <w:r>
        <w:rPr>
          <w:lang w:val="es-MX"/>
        </w:rPr>
        <w:tab/>
      </w:r>
      <w:r w:rsidRPr="00EE41BA">
        <w:rPr>
          <w:lang w:val="es-MX"/>
        </w:rPr>
        <w:t>Tarjetas convencionales, de baja a alta gama</w:t>
      </w:r>
    </w:p>
    <w:p w14:paraId="0105FF57" w14:textId="66592A7D" w:rsidR="00EE41BA" w:rsidRPr="00EE41BA" w:rsidRDefault="00EE41BA" w:rsidP="0007358B">
      <w:pPr>
        <w:spacing w:line="360" w:lineRule="auto"/>
        <w:jc w:val="both"/>
        <w:rPr>
          <w:lang w:val="es-MX"/>
        </w:rPr>
      </w:pPr>
      <w:r w:rsidRPr="00EE41BA">
        <w:rPr>
          <w:lang w:val="es-MX"/>
        </w:rPr>
        <w:t xml:space="preserve">F </w:t>
      </w:r>
      <w:r>
        <w:rPr>
          <w:lang w:val="es-MX"/>
        </w:rPr>
        <w:t>–</w:t>
      </w:r>
      <w:r w:rsidRPr="00EE41BA">
        <w:rPr>
          <w:lang w:val="es-MX"/>
        </w:rPr>
        <w:t xml:space="preserve"> J</w:t>
      </w:r>
      <w:r>
        <w:rPr>
          <w:lang w:val="es-MX"/>
        </w:rPr>
        <w:t>:</w:t>
      </w:r>
      <w:r w:rsidRPr="00EE41BA">
        <w:rPr>
          <w:lang w:val="es-MX"/>
        </w:rPr>
        <w:t xml:space="preserve"> </w:t>
      </w:r>
      <w:r>
        <w:rPr>
          <w:lang w:val="es-MX"/>
        </w:rPr>
        <w:tab/>
      </w:r>
      <w:r w:rsidRPr="00EE41BA">
        <w:rPr>
          <w:lang w:val="es-MX"/>
        </w:rPr>
        <w:t>Tarjetas con características especiales, como corporativas</w:t>
      </w:r>
      <w:r>
        <w:rPr>
          <w:lang w:val="es-MX"/>
        </w:rPr>
        <w:t xml:space="preserve"> o</w:t>
      </w:r>
      <w:r w:rsidRPr="00EE41BA">
        <w:rPr>
          <w:lang w:val="es-MX"/>
        </w:rPr>
        <w:t xml:space="preserve"> departamentales</w:t>
      </w:r>
    </w:p>
    <w:p w14:paraId="5E2165C6" w14:textId="06D68AB0" w:rsidR="00EE41BA" w:rsidRPr="00EE41BA" w:rsidRDefault="00EE41BA" w:rsidP="0007358B">
      <w:pPr>
        <w:spacing w:line="360" w:lineRule="auto"/>
        <w:jc w:val="both"/>
        <w:rPr>
          <w:lang w:val="es-MX"/>
        </w:rPr>
      </w:pPr>
      <w:r w:rsidRPr="00EE41BA">
        <w:rPr>
          <w:lang w:val="es-MX"/>
        </w:rPr>
        <w:t xml:space="preserve">K </w:t>
      </w:r>
      <w:r>
        <w:rPr>
          <w:lang w:val="es-MX"/>
        </w:rPr>
        <w:t>–</w:t>
      </w:r>
      <w:r w:rsidRPr="00EE41BA">
        <w:rPr>
          <w:lang w:val="es-MX"/>
        </w:rPr>
        <w:t xml:space="preserve"> O</w:t>
      </w:r>
      <w:r>
        <w:rPr>
          <w:lang w:val="es-MX"/>
        </w:rPr>
        <w:t>:</w:t>
      </w:r>
      <w:r w:rsidRPr="00EE41BA">
        <w:rPr>
          <w:lang w:val="es-MX"/>
        </w:rPr>
        <w:t xml:space="preserve"> Tarjetas de crédito con beneficios específicos o de nicho</w:t>
      </w:r>
    </w:p>
    <w:p w14:paraId="424A4D79" w14:textId="37E4FA0A" w:rsidR="00EE41BA" w:rsidRPr="00EE41BA" w:rsidRDefault="00EE41BA" w:rsidP="0007358B">
      <w:pPr>
        <w:spacing w:line="360" w:lineRule="auto"/>
        <w:jc w:val="both"/>
        <w:rPr>
          <w:lang w:val="es-MX"/>
        </w:rPr>
      </w:pPr>
      <w:r w:rsidRPr="00EE41BA">
        <w:rPr>
          <w:lang w:val="es-MX"/>
        </w:rPr>
        <w:t xml:space="preserve">P </w:t>
      </w:r>
      <w:r>
        <w:rPr>
          <w:lang w:val="es-MX"/>
        </w:rPr>
        <w:t>–</w:t>
      </w:r>
      <w:r w:rsidRPr="00EE41BA">
        <w:rPr>
          <w:lang w:val="es-MX"/>
        </w:rPr>
        <w:t xml:space="preserve"> T</w:t>
      </w:r>
      <w:r>
        <w:rPr>
          <w:lang w:val="es-MX"/>
        </w:rPr>
        <w:t xml:space="preserve">: </w:t>
      </w:r>
      <w:r>
        <w:rPr>
          <w:lang w:val="es-MX"/>
        </w:rPr>
        <w:tab/>
      </w:r>
      <w:r w:rsidRPr="00EE41BA">
        <w:rPr>
          <w:lang w:val="es-MX"/>
        </w:rPr>
        <w:t>Tarjetas con riesgo alto o destinadas a usuarios con historial irregular.</w:t>
      </w:r>
    </w:p>
    <w:p w14:paraId="3FE9636B" w14:textId="08E442D7" w:rsidR="00150934" w:rsidRPr="00BB2BBF" w:rsidRDefault="00EE41BA" w:rsidP="0007358B">
      <w:pPr>
        <w:spacing w:line="360" w:lineRule="auto"/>
        <w:jc w:val="both"/>
        <w:rPr>
          <w:lang w:val="es-MX"/>
        </w:rPr>
      </w:pPr>
      <w:r w:rsidRPr="00EE41BA">
        <w:rPr>
          <w:lang w:val="es-MX"/>
        </w:rPr>
        <w:t xml:space="preserve">U </w:t>
      </w:r>
      <w:r>
        <w:rPr>
          <w:lang w:val="es-MX"/>
        </w:rPr>
        <w:t>–</w:t>
      </w:r>
      <w:r w:rsidRPr="00EE41BA">
        <w:rPr>
          <w:lang w:val="es-MX"/>
        </w:rPr>
        <w:t xml:space="preserve"> Z</w:t>
      </w:r>
      <w:r>
        <w:rPr>
          <w:lang w:val="es-MX"/>
        </w:rPr>
        <w:t>:</w:t>
      </w:r>
      <w:r>
        <w:rPr>
          <w:lang w:val="es-MX"/>
        </w:rPr>
        <w:tab/>
        <w:t>E</w:t>
      </w:r>
      <w:r w:rsidRPr="00EE41BA">
        <w:rPr>
          <w:lang w:val="es-MX"/>
        </w:rPr>
        <w:t>xperimentales, desuso o de bancos que han dejado de operar ciertos productos.</w:t>
      </w:r>
    </w:p>
    <w:p w14:paraId="3D833B67" w14:textId="77777777" w:rsidR="00BB2BBF" w:rsidRDefault="00BB2BBF" w:rsidP="0007358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t>Tasas Interbancarias, Fondeo y Pagaré Bancario Bursátil</w:t>
      </w:r>
    </w:p>
    <w:p w14:paraId="5752FFE8" w14:textId="064C7077" w:rsidR="00BB2BBF" w:rsidRPr="00BB2BBF" w:rsidRDefault="00BB2BBF" w:rsidP="0007358B">
      <w:pPr>
        <w:spacing w:line="360" w:lineRule="auto"/>
        <w:jc w:val="both"/>
        <w:rPr>
          <w:lang w:val="es-MX"/>
        </w:rPr>
      </w:pPr>
      <w:r w:rsidRPr="00BB2BBF">
        <w:rPr>
          <w:lang w:val="es-MX"/>
        </w:rPr>
        <w:t>Los promedios mensuales de TIIE, TIIP y fondeo ponderado permiten modelar la evolución de las tasas de origen crediticio y evaluar la sensibilidad del mercado ante variaciones en las condiciones de financiamiento.</w:t>
      </w:r>
    </w:p>
    <w:p w14:paraId="57FB651D" w14:textId="77777777" w:rsidR="00BB2BBF" w:rsidRDefault="00BB2BBF" w:rsidP="0007358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t>Tasa Efectiva Ponderada por Saldo de Tarjetas de Crédito</w:t>
      </w:r>
    </w:p>
    <w:p w14:paraId="263038F4" w14:textId="69A04D78" w:rsidR="00BB2BBF" w:rsidRPr="00BB2BBF" w:rsidRDefault="00BB2BBF" w:rsidP="0007358B">
      <w:pPr>
        <w:spacing w:line="360" w:lineRule="auto"/>
        <w:jc w:val="both"/>
        <w:rPr>
          <w:lang w:val="es-MX"/>
        </w:rPr>
      </w:pPr>
      <w:r w:rsidRPr="00BB2BBF">
        <w:rPr>
          <w:lang w:val="es-MX"/>
        </w:rPr>
        <w:t>Esta métrica</w:t>
      </w:r>
      <w:r w:rsidR="0088178C">
        <w:rPr>
          <w:lang w:val="es-MX"/>
        </w:rPr>
        <w:t xml:space="preserve"> </w:t>
      </w:r>
      <w:r w:rsidRPr="00BB2BBF">
        <w:rPr>
          <w:lang w:val="es-MX"/>
        </w:rPr>
        <w:t>ajusta la tasa efectiva según el saldo y diferencia entre clientes con o sin promociones, es crucial para analizar el impacto del costo del crédito en el comportamiento de pago y la morosidad.</w:t>
      </w:r>
    </w:p>
    <w:p w14:paraId="33BBADAD" w14:textId="77777777" w:rsidR="00BB2BBF" w:rsidRDefault="00BB2BBF" w:rsidP="0007358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t>Costos de Captación</w:t>
      </w:r>
    </w:p>
    <w:p w14:paraId="2305C208" w14:textId="7070D581" w:rsidR="00BB2BBF" w:rsidRPr="00BB2BBF" w:rsidRDefault="00BB2BBF" w:rsidP="0007358B">
      <w:pPr>
        <w:spacing w:line="360" w:lineRule="auto"/>
        <w:jc w:val="both"/>
        <w:rPr>
          <w:lang w:val="es-MX"/>
        </w:rPr>
      </w:pPr>
      <w:r w:rsidRPr="00BB2BBF">
        <w:rPr>
          <w:lang w:val="es-MX"/>
        </w:rPr>
        <w:t>Expresados en tasas anuales (en moneda nacional, Udis y dólares), estos indicadores reflejan el costo de financiar la cartera crediticia, determinando los márgenes de intermediación y la capacidad de trasladar dichos costos a productos financieros.</w:t>
      </w:r>
    </w:p>
    <w:p w14:paraId="5D395481" w14:textId="77777777" w:rsidR="00BB2BBF" w:rsidRDefault="00BB2BBF" w:rsidP="0007358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t>Tasas Semanales de Valores Privados de Corto Plazo</w:t>
      </w:r>
    </w:p>
    <w:p w14:paraId="2EF17B22" w14:textId="24B5603A" w:rsidR="00BB2BBF" w:rsidRPr="00BB2BBF" w:rsidRDefault="00BB2BBF" w:rsidP="0007358B">
      <w:pPr>
        <w:spacing w:line="360" w:lineRule="auto"/>
        <w:jc w:val="both"/>
        <w:rPr>
          <w:lang w:val="es-MX"/>
        </w:rPr>
      </w:pPr>
      <w:r w:rsidRPr="00BB2BBF">
        <w:rPr>
          <w:lang w:val="es-MX"/>
        </w:rPr>
        <w:t>Los promedios ponderados de instrumentos a corto plazo (papel comercial y certificados bursátiles) evidencian la liquidez y el costo del dinero en el sector privado, incidiendo en la disponibilidad y precio del crédito.</w:t>
      </w:r>
    </w:p>
    <w:p w14:paraId="403F4B08" w14:textId="77777777" w:rsidR="00BB2BBF" w:rsidRDefault="00BB2BBF" w:rsidP="0007358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lastRenderedPageBreak/>
        <w:t>Tasa de Fondeo Gubernamental</w:t>
      </w:r>
    </w:p>
    <w:p w14:paraId="010D931C" w14:textId="516F91F5" w:rsidR="00BB2BBF" w:rsidRPr="00BB2BBF" w:rsidRDefault="00BB2BBF" w:rsidP="0007358B">
      <w:pPr>
        <w:spacing w:line="360" w:lineRule="auto"/>
        <w:jc w:val="both"/>
        <w:rPr>
          <w:lang w:val="es-MX"/>
        </w:rPr>
      </w:pPr>
      <w:r w:rsidRPr="00BB2BBF">
        <w:rPr>
          <w:lang w:val="es-MX"/>
        </w:rPr>
        <w:t>Aplicando metodologías como la mediana ponderada, BPAS y BREMS, se determina el costo de financiamiento del sector público, cuyas variaciones inciden en la política monetaria y, por ende, en la estructura de tasas de interés.</w:t>
      </w:r>
    </w:p>
    <w:p w14:paraId="34CEAACD" w14:textId="77777777" w:rsidR="00BB2BBF" w:rsidRDefault="00BB2BBF" w:rsidP="0007358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t>Vector de Precios de Títulos Gubernamentales On-the-Run</w:t>
      </w:r>
    </w:p>
    <w:p w14:paraId="00D13ECA" w14:textId="2DEE94C9" w:rsidR="00BB2BBF" w:rsidRPr="00BB2BBF" w:rsidRDefault="00BB2BBF" w:rsidP="0007358B">
      <w:pPr>
        <w:spacing w:line="360" w:lineRule="auto"/>
        <w:jc w:val="both"/>
        <w:rPr>
          <w:lang w:val="es-MX"/>
        </w:rPr>
      </w:pPr>
      <w:r w:rsidRPr="00BB2BBF">
        <w:rPr>
          <w:lang w:val="es-MX"/>
        </w:rPr>
        <w:t>El seguimiento de precios, rendimientos y cupones de Cetes, Bonos y Udibonos permite evaluar la dinámica de la deuda pública, sirviendo de referencia para la determinación de tasas de descuento y el costo de oportunidad.</w:t>
      </w:r>
    </w:p>
    <w:p w14:paraId="5ED10368" w14:textId="77777777" w:rsidR="00BB2BBF" w:rsidRDefault="00BB2BBF" w:rsidP="0007358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t>Índices Quincenales (INPC y Subíndices)</w:t>
      </w:r>
    </w:p>
    <w:p w14:paraId="766285E6" w14:textId="44BE97C4" w:rsidR="00BB2BBF" w:rsidRPr="00BB2BBF" w:rsidRDefault="00BB2BBF" w:rsidP="0007358B">
      <w:pPr>
        <w:spacing w:line="360" w:lineRule="auto"/>
        <w:jc w:val="both"/>
        <w:rPr>
          <w:lang w:val="es-MX"/>
        </w:rPr>
      </w:pPr>
      <w:r w:rsidRPr="00BB2BBF">
        <w:rPr>
          <w:lang w:val="es-MX"/>
        </w:rPr>
        <w:t>Estos índices permiten monitorear la inflación en diversas categorías, afectando las expectativas de tasas reales y el poder adquisitivo, lo que repercute en la demanda y calidad crediticia.</w:t>
      </w:r>
    </w:p>
    <w:p w14:paraId="23C34FD2" w14:textId="77777777" w:rsidR="00BB2BBF" w:rsidRPr="00EE41BA" w:rsidRDefault="00BB2BBF" w:rsidP="0007358B">
      <w:pPr>
        <w:pStyle w:val="Heading2"/>
        <w:spacing w:line="360" w:lineRule="auto"/>
        <w:jc w:val="both"/>
        <w:rPr>
          <w:rStyle w:val="Heading2Char"/>
          <w:b/>
          <w:lang w:val="es-MX"/>
        </w:rPr>
      </w:pPr>
      <w:r w:rsidRPr="00EE41BA">
        <w:rPr>
          <w:lang w:val="es-MX"/>
        </w:rPr>
        <w:t>Tasas de Interés Representativas</w:t>
      </w:r>
    </w:p>
    <w:p w14:paraId="3CB7CEF0" w14:textId="76D6A6A0" w:rsidR="00BB2BBF" w:rsidRPr="00BB2BBF" w:rsidRDefault="00BB2BBF" w:rsidP="0007358B">
      <w:pPr>
        <w:spacing w:line="360" w:lineRule="auto"/>
        <w:jc w:val="both"/>
        <w:rPr>
          <w:lang w:val="es-MX"/>
        </w:rPr>
      </w:pPr>
      <w:r w:rsidRPr="00BB2BBF">
        <w:rPr>
          <w:lang w:val="es-MX"/>
        </w:rPr>
        <w:t>La integración de TIIE, tasas de fondeo y la tasa objetivo proporciona una visión integral del entorno financiero, base para la formulación de políticas crediticias y la evaluación de competitividad y riesgo.</w:t>
      </w:r>
    </w:p>
    <w:p w14:paraId="5A902AD1" w14:textId="77777777" w:rsidR="00BB2BBF" w:rsidRDefault="00BB2BBF" w:rsidP="0007358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t>Inflación Mensual</w:t>
      </w:r>
    </w:p>
    <w:p w14:paraId="41D7B2B1" w14:textId="32363667" w:rsidR="00BB2BBF" w:rsidRDefault="00BB2BBF" w:rsidP="0007358B">
      <w:pPr>
        <w:spacing w:line="360" w:lineRule="auto"/>
        <w:jc w:val="both"/>
        <w:rPr>
          <w:lang w:val="es-MX"/>
        </w:rPr>
      </w:pPr>
      <w:r w:rsidRPr="00BB2BBF">
        <w:rPr>
          <w:lang w:val="es-MX"/>
        </w:rPr>
        <w:t>Las variaciones del INPC (mensual, acumulada y anual), junto con las medidas subyacentes y no subyacentes, configuran el marco para evaluar las presiones inflacionarias, impactando las tasas reales y el costo efectivo del crédito</w:t>
      </w:r>
    </w:p>
    <w:p w14:paraId="24066E17" w14:textId="6C6E7E4B" w:rsidR="00A44ADC" w:rsidRDefault="00A44ADC" w:rsidP="0007358B">
      <w:pPr>
        <w:pStyle w:val="Heading2"/>
        <w:spacing w:line="360" w:lineRule="auto"/>
        <w:jc w:val="both"/>
        <w:rPr>
          <w:lang w:val="es-MX"/>
        </w:rPr>
      </w:pPr>
      <w:r>
        <w:rPr>
          <w:lang w:val="es-MX"/>
        </w:rPr>
        <w:t xml:space="preserve">Encuesta Nacional de </w:t>
      </w:r>
      <w:r w:rsidR="00725F18">
        <w:rPr>
          <w:lang w:val="es-MX"/>
        </w:rPr>
        <w:t>Ocupación y Empleo</w:t>
      </w:r>
      <w:r w:rsidR="003B3688">
        <w:rPr>
          <w:lang w:val="es-MX"/>
        </w:rPr>
        <w:t xml:space="preserve"> </w:t>
      </w:r>
    </w:p>
    <w:p w14:paraId="7778304C" w14:textId="747ECACB" w:rsidR="68D3BE22" w:rsidRDefault="003B3688" w:rsidP="001926F5">
      <w:pPr>
        <w:spacing w:line="360" w:lineRule="auto"/>
        <w:jc w:val="both"/>
        <w:rPr>
          <w:lang w:val="es-MX"/>
        </w:rPr>
      </w:pPr>
      <w:r>
        <w:rPr>
          <w:lang w:val="es-MX"/>
        </w:rPr>
        <w:t>Un desglo</w:t>
      </w:r>
      <w:r w:rsidR="00AD66A4">
        <w:rPr>
          <w:lang w:val="es-MX"/>
        </w:rPr>
        <w:t>s</w:t>
      </w:r>
      <w:r>
        <w:rPr>
          <w:lang w:val="es-MX"/>
        </w:rPr>
        <w:t xml:space="preserve">e </w:t>
      </w:r>
      <w:r w:rsidR="00224C3B">
        <w:rPr>
          <w:lang w:val="es-MX"/>
        </w:rPr>
        <w:t xml:space="preserve">mensual </w:t>
      </w:r>
      <w:r>
        <w:rPr>
          <w:lang w:val="es-MX"/>
        </w:rPr>
        <w:t xml:space="preserve">sobre </w:t>
      </w:r>
      <w:r w:rsidR="00D16954">
        <w:rPr>
          <w:lang w:val="es-MX"/>
        </w:rPr>
        <w:t xml:space="preserve">la población ocupada por </w:t>
      </w:r>
      <w:r w:rsidR="00224C3B">
        <w:rPr>
          <w:lang w:val="es-MX"/>
        </w:rPr>
        <w:t xml:space="preserve">su nivel de ingresos desde enero de 2010, </w:t>
      </w:r>
      <w:r w:rsidR="004864E9">
        <w:rPr>
          <w:lang w:val="es-MX"/>
        </w:rPr>
        <w:t xml:space="preserve">en rangos de un salario mínimo, más de uno y hasta dos, </w:t>
      </w:r>
      <w:r w:rsidR="002175F8">
        <w:rPr>
          <w:lang w:val="es-MX"/>
        </w:rPr>
        <w:t>más de dos y hasta tres, más de tres y hasta cinco, más de cinco, no recibe y no especificado.</w:t>
      </w:r>
    </w:p>
    <w:sectPr w:rsidR="68D3BE22" w:rsidSect="00D048E4"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85CD7" w14:textId="77777777" w:rsidR="005E7916" w:rsidRDefault="005E7916" w:rsidP="00166229">
      <w:pPr>
        <w:spacing w:line="240" w:lineRule="auto"/>
      </w:pPr>
      <w:r>
        <w:separator/>
      </w:r>
    </w:p>
  </w:endnote>
  <w:endnote w:type="continuationSeparator" w:id="0">
    <w:p w14:paraId="163B49B6" w14:textId="77777777" w:rsidR="005E7916" w:rsidRDefault="005E7916" w:rsidP="00166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E3D18" w14:textId="77777777" w:rsidR="005E7916" w:rsidRDefault="005E7916" w:rsidP="00166229">
      <w:pPr>
        <w:spacing w:line="240" w:lineRule="auto"/>
      </w:pPr>
      <w:r>
        <w:separator/>
      </w:r>
    </w:p>
  </w:footnote>
  <w:footnote w:type="continuationSeparator" w:id="0">
    <w:p w14:paraId="2CC0209D" w14:textId="77777777" w:rsidR="005E7916" w:rsidRDefault="005E7916" w:rsidP="001662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4654327"/>
      <w:docPartObj>
        <w:docPartGallery w:val="Page Numbers (Top of Page)"/>
        <w:docPartUnique/>
      </w:docPartObj>
    </w:sdtPr>
    <w:sdtEndPr>
      <w:rPr>
        <w:rFonts w:cs="Times New Roman"/>
        <w:noProof/>
      </w:rPr>
    </w:sdtEndPr>
    <w:sdtContent>
      <w:p w14:paraId="63E3B49D" w14:textId="355CBF83" w:rsidR="00D048E4" w:rsidRPr="00D048E4" w:rsidRDefault="00D048E4">
        <w:pPr>
          <w:pStyle w:val="Header"/>
          <w:jc w:val="right"/>
          <w:rPr>
            <w:rFonts w:cs="Times New Roman"/>
            <w:szCs w:val="24"/>
          </w:rPr>
        </w:pPr>
        <w:r w:rsidRPr="00D048E4">
          <w:rPr>
            <w:rFonts w:cs="Times New Roman"/>
            <w:szCs w:val="24"/>
          </w:rPr>
          <w:fldChar w:fldCharType="begin"/>
        </w:r>
        <w:r w:rsidRPr="00D048E4">
          <w:rPr>
            <w:rFonts w:cs="Times New Roman"/>
            <w:szCs w:val="24"/>
          </w:rPr>
          <w:instrText xml:space="preserve"> PAGE   \* MERGEFORMAT </w:instrText>
        </w:r>
        <w:r w:rsidRPr="00D048E4">
          <w:rPr>
            <w:rFonts w:cs="Times New Roman"/>
            <w:szCs w:val="24"/>
          </w:rPr>
          <w:fldChar w:fldCharType="separate"/>
        </w:r>
        <w:r w:rsidRPr="00D048E4">
          <w:rPr>
            <w:rFonts w:cs="Times New Roman"/>
            <w:noProof/>
            <w:szCs w:val="24"/>
          </w:rPr>
          <w:t>2</w:t>
        </w:r>
        <w:r w:rsidRPr="00D048E4">
          <w:rPr>
            <w:rFonts w:cs="Times New Roman"/>
            <w:noProof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90095344"/>
      <w:docPartObj>
        <w:docPartGallery w:val="Page Numbers (Top of Page)"/>
        <w:docPartUnique/>
      </w:docPartObj>
    </w:sdtPr>
    <w:sdtEndPr>
      <w:rPr>
        <w:rFonts w:cs="Times New Roman"/>
        <w:noProof/>
      </w:rPr>
    </w:sdtEndPr>
    <w:sdtContent>
      <w:p w14:paraId="595687DA" w14:textId="7BBCBD44" w:rsidR="00D048E4" w:rsidRPr="00D048E4" w:rsidRDefault="00D048E4">
        <w:pPr>
          <w:pStyle w:val="Header"/>
          <w:jc w:val="right"/>
          <w:rPr>
            <w:rFonts w:cs="Times New Roman"/>
            <w:szCs w:val="24"/>
          </w:rPr>
        </w:pPr>
        <w:r w:rsidRPr="00D048E4">
          <w:rPr>
            <w:rFonts w:cs="Times New Roman"/>
            <w:szCs w:val="24"/>
          </w:rPr>
          <w:fldChar w:fldCharType="begin"/>
        </w:r>
        <w:r w:rsidRPr="00D048E4">
          <w:rPr>
            <w:rFonts w:cs="Times New Roman"/>
            <w:szCs w:val="24"/>
          </w:rPr>
          <w:instrText xml:space="preserve"> PAGE   \* MERGEFORMAT </w:instrText>
        </w:r>
        <w:r w:rsidRPr="00D048E4">
          <w:rPr>
            <w:rFonts w:cs="Times New Roman"/>
            <w:szCs w:val="24"/>
          </w:rPr>
          <w:fldChar w:fldCharType="separate"/>
        </w:r>
        <w:r w:rsidRPr="00D048E4">
          <w:rPr>
            <w:rFonts w:cs="Times New Roman"/>
            <w:noProof/>
            <w:szCs w:val="24"/>
          </w:rPr>
          <w:t>2</w:t>
        </w:r>
        <w:r w:rsidRPr="00D048E4">
          <w:rPr>
            <w:rFonts w:cs="Times New Roman"/>
            <w:noProof/>
            <w:szCs w:val="24"/>
          </w:rPr>
          <w:fldChar w:fldCharType="end"/>
        </w:r>
      </w:p>
    </w:sdtContent>
  </w:sdt>
  <w:p w14:paraId="5CFDB4DC" w14:textId="2147C4D3" w:rsidR="005470E7" w:rsidRPr="00D518AD" w:rsidRDefault="005470E7" w:rsidP="00006706">
    <w:pPr>
      <w:pStyle w:val="Header"/>
      <w:spacing w:line="480" w:lineRule="auto"/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E5A45"/>
    <w:multiLevelType w:val="multilevel"/>
    <w:tmpl w:val="B8A6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20E9D"/>
    <w:multiLevelType w:val="hybridMultilevel"/>
    <w:tmpl w:val="99AAB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96A9F"/>
    <w:multiLevelType w:val="multilevel"/>
    <w:tmpl w:val="4ECA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8442A"/>
    <w:multiLevelType w:val="multilevel"/>
    <w:tmpl w:val="64CE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80869"/>
    <w:multiLevelType w:val="multilevel"/>
    <w:tmpl w:val="C7EC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D09D9"/>
    <w:multiLevelType w:val="multilevel"/>
    <w:tmpl w:val="D37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B3394"/>
    <w:multiLevelType w:val="multilevel"/>
    <w:tmpl w:val="F83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45643"/>
    <w:multiLevelType w:val="multilevel"/>
    <w:tmpl w:val="26EE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82EC7"/>
    <w:multiLevelType w:val="multilevel"/>
    <w:tmpl w:val="6FA0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12606"/>
    <w:multiLevelType w:val="multilevel"/>
    <w:tmpl w:val="D0D8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02F90"/>
    <w:multiLevelType w:val="multilevel"/>
    <w:tmpl w:val="BCDE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6624F"/>
    <w:multiLevelType w:val="multilevel"/>
    <w:tmpl w:val="977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471657"/>
    <w:multiLevelType w:val="multilevel"/>
    <w:tmpl w:val="89D4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127E5"/>
    <w:multiLevelType w:val="multilevel"/>
    <w:tmpl w:val="6BBC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395202"/>
    <w:multiLevelType w:val="multilevel"/>
    <w:tmpl w:val="9AAE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A53C7"/>
    <w:multiLevelType w:val="multilevel"/>
    <w:tmpl w:val="68C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7600B"/>
    <w:multiLevelType w:val="multilevel"/>
    <w:tmpl w:val="C1BC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629093">
    <w:abstractNumId w:val="1"/>
  </w:num>
  <w:num w:numId="2" w16cid:durableId="548149676">
    <w:abstractNumId w:val="3"/>
  </w:num>
  <w:num w:numId="3" w16cid:durableId="258374675">
    <w:abstractNumId w:val="14"/>
  </w:num>
  <w:num w:numId="4" w16cid:durableId="477502052">
    <w:abstractNumId w:val="7"/>
  </w:num>
  <w:num w:numId="5" w16cid:durableId="289239474">
    <w:abstractNumId w:val="4"/>
  </w:num>
  <w:num w:numId="6" w16cid:durableId="339356693">
    <w:abstractNumId w:val="2"/>
  </w:num>
  <w:num w:numId="7" w16cid:durableId="1077826154">
    <w:abstractNumId w:val="9"/>
  </w:num>
  <w:num w:numId="8" w16cid:durableId="1627271364">
    <w:abstractNumId w:val="16"/>
  </w:num>
  <w:num w:numId="9" w16cid:durableId="969557644">
    <w:abstractNumId w:val="0"/>
  </w:num>
  <w:num w:numId="10" w16cid:durableId="529799341">
    <w:abstractNumId w:val="5"/>
  </w:num>
  <w:num w:numId="11" w16cid:durableId="1236671244">
    <w:abstractNumId w:val="12"/>
  </w:num>
  <w:num w:numId="12" w16cid:durableId="1349484227">
    <w:abstractNumId w:val="10"/>
  </w:num>
  <w:num w:numId="13" w16cid:durableId="1953973099">
    <w:abstractNumId w:val="8"/>
  </w:num>
  <w:num w:numId="14" w16cid:durableId="2069257940">
    <w:abstractNumId w:val="15"/>
  </w:num>
  <w:num w:numId="15" w16cid:durableId="964312187">
    <w:abstractNumId w:val="6"/>
  </w:num>
  <w:num w:numId="16" w16cid:durableId="1067385994">
    <w:abstractNumId w:val="13"/>
  </w:num>
  <w:num w:numId="17" w16cid:durableId="1282615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CAD"/>
    <w:rsid w:val="00006706"/>
    <w:rsid w:val="00015C3A"/>
    <w:rsid w:val="00031CDB"/>
    <w:rsid w:val="0004281D"/>
    <w:rsid w:val="000503C3"/>
    <w:rsid w:val="00055D19"/>
    <w:rsid w:val="00055EBA"/>
    <w:rsid w:val="000717A0"/>
    <w:rsid w:val="0007358B"/>
    <w:rsid w:val="0007649A"/>
    <w:rsid w:val="00077503"/>
    <w:rsid w:val="000A6221"/>
    <w:rsid w:val="000A65D5"/>
    <w:rsid w:val="000B6228"/>
    <w:rsid w:val="000C201F"/>
    <w:rsid w:val="000C5F5F"/>
    <w:rsid w:val="000C75EF"/>
    <w:rsid w:val="000C7DF1"/>
    <w:rsid w:val="000E2635"/>
    <w:rsid w:val="000F3EB7"/>
    <w:rsid w:val="0011358C"/>
    <w:rsid w:val="00123F54"/>
    <w:rsid w:val="00125C7F"/>
    <w:rsid w:val="00142CAD"/>
    <w:rsid w:val="00145DEC"/>
    <w:rsid w:val="00150934"/>
    <w:rsid w:val="00154706"/>
    <w:rsid w:val="00155AF3"/>
    <w:rsid w:val="00166229"/>
    <w:rsid w:val="00177E0E"/>
    <w:rsid w:val="00182568"/>
    <w:rsid w:val="001926F5"/>
    <w:rsid w:val="00193E9A"/>
    <w:rsid w:val="001A1CC1"/>
    <w:rsid w:val="001B78E3"/>
    <w:rsid w:val="001C0C91"/>
    <w:rsid w:val="001C66EC"/>
    <w:rsid w:val="001F7640"/>
    <w:rsid w:val="002175F8"/>
    <w:rsid w:val="00224C3B"/>
    <w:rsid w:val="002273F4"/>
    <w:rsid w:val="0023138E"/>
    <w:rsid w:val="00237295"/>
    <w:rsid w:val="002406D2"/>
    <w:rsid w:val="0025540E"/>
    <w:rsid w:val="0025796F"/>
    <w:rsid w:val="00263157"/>
    <w:rsid w:val="00266271"/>
    <w:rsid w:val="00267DC0"/>
    <w:rsid w:val="0027407D"/>
    <w:rsid w:val="00275060"/>
    <w:rsid w:val="00275325"/>
    <w:rsid w:val="0028786D"/>
    <w:rsid w:val="002942C1"/>
    <w:rsid w:val="002C215D"/>
    <w:rsid w:val="002E1A53"/>
    <w:rsid w:val="002E3E0A"/>
    <w:rsid w:val="003033B1"/>
    <w:rsid w:val="003143A2"/>
    <w:rsid w:val="00316B8C"/>
    <w:rsid w:val="00321759"/>
    <w:rsid w:val="00340ECC"/>
    <w:rsid w:val="00354787"/>
    <w:rsid w:val="00367DB3"/>
    <w:rsid w:val="00375624"/>
    <w:rsid w:val="003A54F1"/>
    <w:rsid w:val="003A57BE"/>
    <w:rsid w:val="003B3688"/>
    <w:rsid w:val="003B6383"/>
    <w:rsid w:val="003C03C1"/>
    <w:rsid w:val="003C03CE"/>
    <w:rsid w:val="003C04CD"/>
    <w:rsid w:val="003C7EE4"/>
    <w:rsid w:val="003D466C"/>
    <w:rsid w:val="003E3C3A"/>
    <w:rsid w:val="003F6EEB"/>
    <w:rsid w:val="003F72DB"/>
    <w:rsid w:val="004021FE"/>
    <w:rsid w:val="0040658F"/>
    <w:rsid w:val="004100D0"/>
    <w:rsid w:val="00415F5B"/>
    <w:rsid w:val="0043103A"/>
    <w:rsid w:val="004325AF"/>
    <w:rsid w:val="004338A5"/>
    <w:rsid w:val="00436642"/>
    <w:rsid w:val="00437F67"/>
    <w:rsid w:val="0044529A"/>
    <w:rsid w:val="0046673C"/>
    <w:rsid w:val="0048426F"/>
    <w:rsid w:val="004864E9"/>
    <w:rsid w:val="004871A5"/>
    <w:rsid w:val="004A0022"/>
    <w:rsid w:val="004B4868"/>
    <w:rsid w:val="004C24C0"/>
    <w:rsid w:val="004E2296"/>
    <w:rsid w:val="004E502E"/>
    <w:rsid w:val="004F2003"/>
    <w:rsid w:val="00502542"/>
    <w:rsid w:val="0051326C"/>
    <w:rsid w:val="00516F59"/>
    <w:rsid w:val="00520949"/>
    <w:rsid w:val="00522478"/>
    <w:rsid w:val="005230FF"/>
    <w:rsid w:val="005239CC"/>
    <w:rsid w:val="005361CD"/>
    <w:rsid w:val="00542824"/>
    <w:rsid w:val="005470E7"/>
    <w:rsid w:val="00562694"/>
    <w:rsid w:val="00565CB0"/>
    <w:rsid w:val="00573CA6"/>
    <w:rsid w:val="0057787F"/>
    <w:rsid w:val="00585E6C"/>
    <w:rsid w:val="005863EA"/>
    <w:rsid w:val="005B5811"/>
    <w:rsid w:val="005C08E2"/>
    <w:rsid w:val="005D305F"/>
    <w:rsid w:val="005E7916"/>
    <w:rsid w:val="005F7D76"/>
    <w:rsid w:val="00604705"/>
    <w:rsid w:val="00613335"/>
    <w:rsid w:val="0062368A"/>
    <w:rsid w:val="00624038"/>
    <w:rsid w:val="00636641"/>
    <w:rsid w:val="00664321"/>
    <w:rsid w:val="00666D86"/>
    <w:rsid w:val="00675F4A"/>
    <w:rsid w:val="006858F4"/>
    <w:rsid w:val="00697F21"/>
    <w:rsid w:val="006A5677"/>
    <w:rsid w:val="006B281B"/>
    <w:rsid w:val="006B3416"/>
    <w:rsid w:val="006B6B45"/>
    <w:rsid w:val="006B7F6A"/>
    <w:rsid w:val="006D5983"/>
    <w:rsid w:val="006D790E"/>
    <w:rsid w:val="006F33B3"/>
    <w:rsid w:val="0070317D"/>
    <w:rsid w:val="00711291"/>
    <w:rsid w:val="00725F18"/>
    <w:rsid w:val="00730CAE"/>
    <w:rsid w:val="00736335"/>
    <w:rsid w:val="00736BC3"/>
    <w:rsid w:val="00747A80"/>
    <w:rsid w:val="00767DC0"/>
    <w:rsid w:val="007821DA"/>
    <w:rsid w:val="00786E08"/>
    <w:rsid w:val="00787CD8"/>
    <w:rsid w:val="00796CA0"/>
    <w:rsid w:val="007973A3"/>
    <w:rsid w:val="007A15A6"/>
    <w:rsid w:val="007A6EB0"/>
    <w:rsid w:val="007C0776"/>
    <w:rsid w:val="007C37AB"/>
    <w:rsid w:val="007D1F13"/>
    <w:rsid w:val="007D3D68"/>
    <w:rsid w:val="007D4FF8"/>
    <w:rsid w:val="007F6B7E"/>
    <w:rsid w:val="007F78A3"/>
    <w:rsid w:val="00801F7A"/>
    <w:rsid w:val="00805A34"/>
    <w:rsid w:val="0081075D"/>
    <w:rsid w:val="00810BDB"/>
    <w:rsid w:val="0081290D"/>
    <w:rsid w:val="00825B87"/>
    <w:rsid w:val="0082763C"/>
    <w:rsid w:val="008277D3"/>
    <w:rsid w:val="00842498"/>
    <w:rsid w:val="00846B50"/>
    <w:rsid w:val="00866727"/>
    <w:rsid w:val="00871128"/>
    <w:rsid w:val="0088178C"/>
    <w:rsid w:val="008833D8"/>
    <w:rsid w:val="00887524"/>
    <w:rsid w:val="008A5F4F"/>
    <w:rsid w:val="008B79C8"/>
    <w:rsid w:val="008D415D"/>
    <w:rsid w:val="008F02F8"/>
    <w:rsid w:val="008F1C12"/>
    <w:rsid w:val="008F44BF"/>
    <w:rsid w:val="00912D04"/>
    <w:rsid w:val="009144F1"/>
    <w:rsid w:val="00914536"/>
    <w:rsid w:val="009160B5"/>
    <w:rsid w:val="009178E8"/>
    <w:rsid w:val="009235E7"/>
    <w:rsid w:val="00926FA1"/>
    <w:rsid w:val="009411FA"/>
    <w:rsid w:val="00947057"/>
    <w:rsid w:val="009622FF"/>
    <w:rsid w:val="00966352"/>
    <w:rsid w:val="0098083B"/>
    <w:rsid w:val="00982CAC"/>
    <w:rsid w:val="00987274"/>
    <w:rsid w:val="009B55DC"/>
    <w:rsid w:val="009C3C66"/>
    <w:rsid w:val="009E3E40"/>
    <w:rsid w:val="009F3BED"/>
    <w:rsid w:val="00A07547"/>
    <w:rsid w:val="00A12FFA"/>
    <w:rsid w:val="00A17684"/>
    <w:rsid w:val="00A17CEB"/>
    <w:rsid w:val="00A21D1D"/>
    <w:rsid w:val="00A44ADC"/>
    <w:rsid w:val="00A46CC1"/>
    <w:rsid w:val="00A527C0"/>
    <w:rsid w:val="00A52DD1"/>
    <w:rsid w:val="00A67328"/>
    <w:rsid w:val="00A73A28"/>
    <w:rsid w:val="00A7447B"/>
    <w:rsid w:val="00AA6E4E"/>
    <w:rsid w:val="00AB67BC"/>
    <w:rsid w:val="00AD0E1B"/>
    <w:rsid w:val="00AD5092"/>
    <w:rsid w:val="00AD66A4"/>
    <w:rsid w:val="00AE1BA9"/>
    <w:rsid w:val="00AF35D9"/>
    <w:rsid w:val="00AF67B2"/>
    <w:rsid w:val="00B04D6E"/>
    <w:rsid w:val="00B0636A"/>
    <w:rsid w:val="00B20E3F"/>
    <w:rsid w:val="00B23329"/>
    <w:rsid w:val="00B25F83"/>
    <w:rsid w:val="00B26599"/>
    <w:rsid w:val="00B2696F"/>
    <w:rsid w:val="00B640A0"/>
    <w:rsid w:val="00B72BFA"/>
    <w:rsid w:val="00B97441"/>
    <w:rsid w:val="00BA5D0E"/>
    <w:rsid w:val="00BA725B"/>
    <w:rsid w:val="00BA7D02"/>
    <w:rsid w:val="00BB2BBF"/>
    <w:rsid w:val="00BC7489"/>
    <w:rsid w:val="00BD0C94"/>
    <w:rsid w:val="00BD24D0"/>
    <w:rsid w:val="00BD26B6"/>
    <w:rsid w:val="00BD6F27"/>
    <w:rsid w:val="00BF2B9E"/>
    <w:rsid w:val="00BF36CC"/>
    <w:rsid w:val="00BF5E2B"/>
    <w:rsid w:val="00BF6638"/>
    <w:rsid w:val="00C00382"/>
    <w:rsid w:val="00C06F7B"/>
    <w:rsid w:val="00C123F2"/>
    <w:rsid w:val="00C17AA8"/>
    <w:rsid w:val="00C22180"/>
    <w:rsid w:val="00C63C14"/>
    <w:rsid w:val="00C74294"/>
    <w:rsid w:val="00C76150"/>
    <w:rsid w:val="00CB2A00"/>
    <w:rsid w:val="00CB6ACF"/>
    <w:rsid w:val="00CD1EC2"/>
    <w:rsid w:val="00CE54BA"/>
    <w:rsid w:val="00CE6FB4"/>
    <w:rsid w:val="00CE75DC"/>
    <w:rsid w:val="00D01CF2"/>
    <w:rsid w:val="00D04389"/>
    <w:rsid w:val="00D048E4"/>
    <w:rsid w:val="00D11AF7"/>
    <w:rsid w:val="00D16954"/>
    <w:rsid w:val="00D20448"/>
    <w:rsid w:val="00D23C43"/>
    <w:rsid w:val="00D27443"/>
    <w:rsid w:val="00D477CD"/>
    <w:rsid w:val="00D518AD"/>
    <w:rsid w:val="00D54EA1"/>
    <w:rsid w:val="00D55868"/>
    <w:rsid w:val="00D6622F"/>
    <w:rsid w:val="00D770B3"/>
    <w:rsid w:val="00D86F37"/>
    <w:rsid w:val="00DA31C1"/>
    <w:rsid w:val="00DA35BA"/>
    <w:rsid w:val="00DB1A0C"/>
    <w:rsid w:val="00DC0582"/>
    <w:rsid w:val="00DC5A2F"/>
    <w:rsid w:val="00DD7BAC"/>
    <w:rsid w:val="00DF2952"/>
    <w:rsid w:val="00E16120"/>
    <w:rsid w:val="00E241C1"/>
    <w:rsid w:val="00E4348E"/>
    <w:rsid w:val="00E4643A"/>
    <w:rsid w:val="00E467C7"/>
    <w:rsid w:val="00E63A5C"/>
    <w:rsid w:val="00E65EAE"/>
    <w:rsid w:val="00E65FDB"/>
    <w:rsid w:val="00E672FD"/>
    <w:rsid w:val="00E74366"/>
    <w:rsid w:val="00E7657E"/>
    <w:rsid w:val="00E8177C"/>
    <w:rsid w:val="00E846E8"/>
    <w:rsid w:val="00E94969"/>
    <w:rsid w:val="00E94A6F"/>
    <w:rsid w:val="00E94DAF"/>
    <w:rsid w:val="00E96C39"/>
    <w:rsid w:val="00EA5445"/>
    <w:rsid w:val="00EB1BA1"/>
    <w:rsid w:val="00EC21DE"/>
    <w:rsid w:val="00ED6CE0"/>
    <w:rsid w:val="00EE41BA"/>
    <w:rsid w:val="00EE5136"/>
    <w:rsid w:val="00EF2FDB"/>
    <w:rsid w:val="00EF77CB"/>
    <w:rsid w:val="00F23E92"/>
    <w:rsid w:val="00F247AE"/>
    <w:rsid w:val="00F268D4"/>
    <w:rsid w:val="00F30DE9"/>
    <w:rsid w:val="00F60623"/>
    <w:rsid w:val="00F625D4"/>
    <w:rsid w:val="00F650BA"/>
    <w:rsid w:val="00F75321"/>
    <w:rsid w:val="00F75DDC"/>
    <w:rsid w:val="00F7649D"/>
    <w:rsid w:val="00F8453D"/>
    <w:rsid w:val="00F84C76"/>
    <w:rsid w:val="00F850A3"/>
    <w:rsid w:val="00F86457"/>
    <w:rsid w:val="00F86F53"/>
    <w:rsid w:val="00F87137"/>
    <w:rsid w:val="00F909A6"/>
    <w:rsid w:val="00F96607"/>
    <w:rsid w:val="00FC044B"/>
    <w:rsid w:val="00FD0811"/>
    <w:rsid w:val="00FE6C49"/>
    <w:rsid w:val="00FF07F7"/>
    <w:rsid w:val="00FF2692"/>
    <w:rsid w:val="1D59D32A"/>
    <w:rsid w:val="1D5F3BF5"/>
    <w:rsid w:val="2374796E"/>
    <w:rsid w:val="5C76A1DF"/>
    <w:rsid w:val="68D3BE22"/>
    <w:rsid w:val="7EB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C5423"/>
  <w15:chartTrackingRefBased/>
  <w15:docId w15:val="{65CD8F89-14A2-462B-AE8E-F44DA9B2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706"/>
    <w:pPr>
      <w:spacing w:after="0" w:line="480" w:lineRule="auto"/>
      <w:ind w:firstLine="72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8E4"/>
    <w:pPr>
      <w:jc w:val="center"/>
      <w:outlineLvl w:val="0"/>
    </w:pPr>
    <w:rPr>
      <w:rFonts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706"/>
    <w:pPr>
      <w:keepNext/>
      <w:keepLines/>
      <w:ind w:firstLine="0"/>
      <w:contextualSpacing w:val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CEB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2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29"/>
  </w:style>
  <w:style w:type="paragraph" w:styleId="Footer">
    <w:name w:val="footer"/>
    <w:basedOn w:val="Normal"/>
    <w:link w:val="FooterChar"/>
    <w:uiPriority w:val="99"/>
    <w:unhideWhenUsed/>
    <w:rsid w:val="001662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29"/>
  </w:style>
  <w:style w:type="paragraph" w:styleId="ListParagraph">
    <w:name w:val="List Paragraph"/>
    <w:basedOn w:val="Normal"/>
    <w:uiPriority w:val="34"/>
    <w:qFormat/>
    <w:rsid w:val="00F60623"/>
    <w:pPr>
      <w:ind w:left="720"/>
    </w:pPr>
  </w:style>
  <w:style w:type="character" w:styleId="Hyperlink">
    <w:name w:val="Hyperlink"/>
    <w:basedOn w:val="DefaultParagraphFont"/>
    <w:uiPriority w:val="99"/>
    <w:unhideWhenUsed/>
    <w:rsid w:val="00F606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48E4"/>
    <w:rPr>
      <w:rFonts w:ascii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48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5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5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5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4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B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625D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B6228"/>
    <w:pPr>
      <w:spacing w:after="0" w:line="240" w:lineRule="auto"/>
    </w:pPr>
  </w:style>
  <w:style w:type="paragraph" w:styleId="NoSpacing">
    <w:name w:val="No Spacing"/>
    <w:link w:val="NoSpacingChar"/>
    <w:uiPriority w:val="1"/>
    <w:rsid w:val="00786E08"/>
    <w:pPr>
      <w:spacing w:after="0" w:line="240" w:lineRule="auto"/>
      <w:ind w:firstLine="720"/>
      <w:contextualSpacing/>
    </w:pPr>
    <w:rPr>
      <w:rFonts w:ascii="Times New Roman" w:hAnsi="Times New Roman"/>
      <w:sz w:val="24"/>
    </w:rPr>
  </w:style>
  <w:style w:type="paragraph" w:customStyle="1" w:styleId="Cover">
    <w:name w:val="Cover"/>
    <w:basedOn w:val="Normal"/>
    <w:link w:val="CoverChar"/>
    <w:qFormat/>
    <w:rsid w:val="00786E08"/>
    <w:pPr>
      <w:ind w:firstLine="0"/>
      <w:jc w:val="center"/>
    </w:pPr>
  </w:style>
  <w:style w:type="character" w:customStyle="1" w:styleId="NoSpacingChar">
    <w:name w:val="No Spacing Char"/>
    <w:basedOn w:val="DefaultParagraphFont"/>
    <w:link w:val="NoSpacing"/>
    <w:uiPriority w:val="1"/>
    <w:rsid w:val="00786E08"/>
    <w:rPr>
      <w:rFonts w:ascii="Times New Roman" w:hAnsi="Times New Roman"/>
      <w:sz w:val="24"/>
    </w:rPr>
  </w:style>
  <w:style w:type="character" w:customStyle="1" w:styleId="CoverChar">
    <w:name w:val="Cover Char"/>
    <w:basedOn w:val="NoSpacingChar"/>
    <w:link w:val="Cover"/>
    <w:rsid w:val="00786E08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470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CEB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02F8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1AF64BD63B045AA9A0B697611A7E7" ma:contentTypeVersion="13" ma:contentTypeDescription="Create a new document." ma:contentTypeScope="" ma:versionID="577ae9de38a1d59c55daa3d70aed3812">
  <xsd:schema xmlns:xsd="http://www.w3.org/2001/XMLSchema" xmlns:xs="http://www.w3.org/2001/XMLSchema" xmlns:p="http://schemas.microsoft.com/office/2006/metadata/properties" xmlns:ns3="ba88afe1-d897-4f80-aa04-046d4eb4df8e" xmlns:ns4="e73950f9-89bf-4d2d-90c7-1a0e5b17f7f2" targetNamespace="http://schemas.microsoft.com/office/2006/metadata/properties" ma:root="true" ma:fieldsID="69f23878f092fa9ff37c29167fede9d2" ns3:_="" ns4:_="">
    <xsd:import namespace="ba88afe1-d897-4f80-aa04-046d4eb4df8e"/>
    <xsd:import namespace="e73950f9-89bf-4d2d-90c7-1a0e5b17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afe1-d897-4f80-aa04-046d4eb4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950f9-89bf-4d2d-90c7-1a0e5b17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9DAA50-A790-4606-BAD1-67A0E8B58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8afe1-d897-4f80-aa04-046d4eb4df8e"/>
    <ds:schemaRef ds:uri="e73950f9-89bf-4d2d-90c7-1a0e5b17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AD4AC-FEE3-443B-8307-F0444B5FD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5F15E-187C-46C0-BE17-BA681BDC6B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Heriberto Espino Montelongo</cp:lastModifiedBy>
  <cp:revision>64</cp:revision>
  <dcterms:created xsi:type="dcterms:W3CDTF">2024-05-22T18:02:00Z</dcterms:created>
  <dcterms:modified xsi:type="dcterms:W3CDTF">2025-03-04T05:25:00Z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0x010100B421AF64BD63B045AA9A0B697611A7E7</vt:lpwstr>
  </property>
</Properties>
</file>