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6E8F2310" w:rsidR="00002FAF" w:rsidRPr="00B729BA" w:rsidRDefault="00CA675E" w:rsidP="00002FAF">
      <w:pPr>
        <w:pStyle w:val="Ttulo"/>
        <w:framePr w:w="0" w:hSpace="0" w:vSpace="0" w:wrap="auto" w:vAnchor="margin" w:hAnchor="text" w:xAlign="left" w:yAlign="inline"/>
        <w:rPr>
          <w:lang w:val="es-MX"/>
        </w:rPr>
      </w:pPr>
      <w:r w:rsidRPr="00B729BA">
        <w:rPr>
          <w:lang w:val="es-MX"/>
        </w:rPr>
        <w:t>Reporte de Visualización</w:t>
      </w:r>
    </w:p>
    <w:p w14:paraId="47CA69F1" w14:textId="12055E41" w:rsidR="00732E46" w:rsidRPr="00B729BA" w:rsidRDefault="00732E46">
      <w:pPr>
        <w:widowControl w:val="0"/>
        <w:pBdr>
          <w:top w:val="nil"/>
          <w:left w:val="nil"/>
          <w:bottom w:val="nil"/>
          <w:right w:val="nil"/>
          <w:between w:val="nil"/>
        </w:pBdr>
        <w:spacing w:line="252" w:lineRule="auto"/>
        <w:jc w:val="both"/>
        <w:rPr>
          <w:iCs/>
          <w:color w:val="000000"/>
          <w:sz w:val="18"/>
          <w:szCs w:val="18"/>
          <w:lang w:val="es-MX"/>
        </w:rPr>
      </w:pPr>
    </w:p>
    <w:p w14:paraId="6531D7CD" w14:textId="5E643F53" w:rsidR="00732E46" w:rsidRPr="00B729BA" w:rsidRDefault="00CA675E" w:rsidP="00D050EC">
      <w:pPr>
        <w:pBdr>
          <w:top w:val="nil"/>
          <w:left w:val="nil"/>
          <w:bottom w:val="nil"/>
          <w:right w:val="nil"/>
          <w:between w:val="nil"/>
        </w:pBdr>
        <w:jc w:val="center"/>
        <w:rPr>
          <w:color w:val="000000"/>
          <w:sz w:val="22"/>
          <w:szCs w:val="22"/>
          <w:lang w:val="es-MX"/>
        </w:rPr>
      </w:pPr>
      <w:bookmarkStart w:id="0" w:name="_heading=h.gjdgxs" w:colFirst="0" w:colLast="0"/>
      <w:bookmarkEnd w:id="0"/>
      <w:r w:rsidRPr="00B729BA">
        <w:rPr>
          <w:iCs/>
          <w:color w:val="000000"/>
          <w:sz w:val="22"/>
          <w:szCs w:val="22"/>
          <w:lang w:val="es-MX"/>
        </w:rPr>
        <w:t>Heriberto Espino Montelongo,</w:t>
      </w:r>
      <w:r w:rsidRPr="00B729BA">
        <w:rPr>
          <w:i/>
          <w:color w:val="000000"/>
          <w:sz w:val="22"/>
          <w:szCs w:val="22"/>
          <w:lang w:val="es-MX"/>
        </w:rPr>
        <w:t xml:space="preserve"> 175199</w:t>
      </w:r>
    </w:p>
    <w:p w14:paraId="66416825" w14:textId="77777777" w:rsidR="00002FAF" w:rsidRPr="00B729BA" w:rsidRDefault="00002FAF" w:rsidP="00D050EC">
      <w:pPr>
        <w:pBdr>
          <w:top w:val="nil"/>
          <w:left w:val="nil"/>
          <w:bottom w:val="nil"/>
          <w:right w:val="nil"/>
          <w:between w:val="nil"/>
        </w:pBdr>
        <w:spacing w:after="320"/>
        <w:ind w:firstLine="202"/>
        <w:jc w:val="both"/>
        <w:rPr>
          <w:b/>
          <w:i/>
          <w:color w:val="000000"/>
          <w:sz w:val="18"/>
          <w:szCs w:val="18"/>
          <w:lang w:val="es-MX"/>
        </w:rPr>
      </w:pPr>
    </w:p>
    <w:p w14:paraId="06590BF3" w14:textId="77777777" w:rsidR="007E713A" w:rsidRPr="00B729BA" w:rsidRDefault="007E713A" w:rsidP="00D050EC">
      <w:pPr>
        <w:pBdr>
          <w:top w:val="nil"/>
          <w:left w:val="nil"/>
          <w:bottom w:val="nil"/>
          <w:right w:val="nil"/>
          <w:between w:val="nil"/>
        </w:pBdr>
        <w:spacing w:before="20" w:after="320"/>
        <w:ind w:firstLine="202"/>
        <w:jc w:val="both"/>
        <w:rPr>
          <w:b/>
          <w:i/>
          <w:color w:val="000000"/>
          <w:sz w:val="18"/>
          <w:szCs w:val="18"/>
          <w:lang w:val="es-MX"/>
        </w:rPr>
        <w:sectPr w:rsidR="007E713A" w:rsidRPr="00B729BA" w:rsidSect="00002FAF">
          <w:headerReference w:type="default" r:id="rId12"/>
          <w:type w:val="continuous"/>
          <w:pgSz w:w="12240" w:h="15840"/>
          <w:pgMar w:top="1008" w:right="936" w:bottom="1008" w:left="936" w:header="432" w:footer="432" w:gutter="0"/>
          <w:pgNumType w:start="1"/>
          <w:cols w:space="288"/>
        </w:sectPr>
      </w:pPr>
    </w:p>
    <w:p w14:paraId="3F302522" w14:textId="0D9AAF30" w:rsidR="00BE4774" w:rsidRPr="006E071F" w:rsidRDefault="00BE4774" w:rsidP="00BE4774">
      <w:pPr>
        <w:pStyle w:val="Text"/>
        <w:ind w:firstLine="0"/>
        <w:rPr>
          <w:rFonts w:ascii="Times" w:hAnsi="Times"/>
          <w:sz w:val="18"/>
          <w:szCs w:val="18"/>
        </w:rPr>
      </w:pPr>
    </w:p>
    <w:p w14:paraId="5D351EFE" w14:textId="0B50AD79" w:rsidR="00732E46" w:rsidRDefault="000F2C11" w:rsidP="00CA675E">
      <w:pPr>
        <w:pBdr>
          <w:top w:val="nil"/>
          <w:left w:val="nil"/>
          <w:bottom w:val="nil"/>
          <w:right w:val="nil"/>
          <w:between w:val="nil"/>
        </w:pBdr>
        <w:spacing w:before="20"/>
        <w:ind w:firstLine="202"/>
        <w:jc w:val="both"/>
        <w:rPr>
          <w:b/>
          <w:sz w:val="18"/>
          <w:szCs w:val="18"/>
          <w:lang w:val="es-MX"/>
        </w:rPr>
      </w:pPr>
      <w:r w:rsidRPr="00CA675E">
        <w:rPr>
          <w:b/>
          <w:i/>
          <w:color w:val="000000"/>
          <w:sz w:val="18"/>
          <w:szCs w:val="18"/>
          <w:lang w:val="es-MX"/>
        </w:rPr>
        <w:t>Abstract</w:t>
      </w:r>
      <w:r w:rsidRPr="00CA675E">
        <w:rPr>
          <w:b/>
          <w:color w:val="000000"/>
          <w:sz w:val="18"/>
          <w:szCs w:val="18"/>
          <w:lang w:val="es-MX"/>
        </w:rPr>
        <w:t>—</w:t>
      </w:r>
      <w:r w:rsidR="00CA675E" w:rsidRPr="00CA675E">
        <w:rPr>
          <w:b/>
          <w:sz w:val="18"/>
          <w:szCs w:val="18"/>
          <w:lang w:val="es-MX"/>
        </w:rPr>
        <w:t xml:space="preserve">Este reporte presenta los hallazgos obtenidos a partir de la visualización de datos de un portafolio de criptomonedas compuesto por una estrategia de compra directa y una basada en contratos por diferencia (CFDs). A través de diversas representaciones gráficas, se identifican patrones y tendencias en la evolución de los precios, la volatilidad y la correlación entre activos. Se exploran las implicaciones de la selección óptima de criptomonedas mediante la frontera eficiente de Markowitz y el comportamiento proyectado de los activos bajo el modelo de Movimiento Browniano Geométrico (GBM). A partir de las visualizaciones, se extraen hipótesis sobre la estabilidad del portafolio, su rendimiento potencial y los factores que influyen en su comportamiento. </w:t>
      </w:r>
    </w:p>
    <w:p w14:paraId="67D693F8" w14:textId="77777777" w:rsidR="00CA675E" w:rsidRPr="00B729BA" w:rsidRDefault="00CA675E" w:rsidP="00CA675E">
      <w:pPr>
        <w:pBdr>
          <w:top w:val="nil"/>
          <w:left w:val="nil"/>
          <w:bottom w:val="nil"/>
          <w:right w:val="nil"/>
          <w:between w:val="nil"/>
        </w:pBdr>
        <w:spacing w:before="20"/>
        <w:ind w:firstLine="202"/>
        <w:jc w:val="both"/>
        <w:rPr>
          <w:b/>
          <w:sz w:val="18"/>
          <w:szCs w:val="18"/>
          <w:lang w:val="es-MX"/>
        </w:rPr>
      </w:pPr>
    </w:p>
    <w:p w14:paraId="59F2D0B6" w14:textId="104B7FBE" w:rsidR="00732E46" w:rsidRPr="00B729BA" w:rsidRDefault="00732E46" w:rsidP="00827FB8">
      <w:pPr>
        <w:pStyle w:val="Ttulo1"/>
        <w:rPr>
          <w:lang w:val="es-MX"/>
        </w:rPr>
      </w:pPr>
    </w:p>
    <w:p w14:paraId="384D18D9" w14:textId="77777777" w:rsidR="00B729BA" w:rsidRPr="00B729BA" w:rsidRDefault="00B729BA" w:rsidP="00B729BA">
      <w:pPr>
        <w:rPr>
          <w:lang w:val="es-MX"/>
        </w:rPr>
      </w:pPr>
    </w:p>
    <w:p w14:paraId="43794709" w14:textId="0C154E40" w:rsidR="004063A4" w:rsidRPr="00812B1A" w:rsidRDefault="000474EE" w:rsidP="004063A4">
      <w:pPr>
        <w:keepNext/>
        <w:framePr w:dropCap="drop" w:lines="3" w:wrap="around" w:vAnchor="text" w:hAnchor="text"/>
        <w:pBdr>
          <w:top w:val="nil"/>
          <w:left w:val="nil"/>
        </w:pBdr>
        <w:spacing w:line="724" w:lineRule="exact"/>
        <w:jc w:val="both"/>
        <w:textAlignment w:val="baseline"/>
        <w:rPr>
          <w:smallCaps/>
          <w:color w:val="000000"/>
          <w:position w:val="-9"/>
          <w:sz w:val="97"/>
          <w:lang w:val="es-MX"/>
        </w:rPr>
      </w:pPr>
      <w:r w:rsidRPr="00812B1A">
        <w:rPr>
          <w:smallCaps/>
          <w:color w:val="000000"/>
          <w:position w:val="-9"/>
          <w:sz w:val="97"/>
          <w:lang w:val="es-MX"/>
        </w:rPr>
        <w:t>E</w:t>
      </w:r>
    </w:p>
    <w:p w14:paraId="57AD497C" w14:textId="504AC236" w:rsidR="00812B1A" w:rsidRPr="00B729BA" w:rsidRDefault="000474EE" w:rsidP="00812B1A">
      <w:pPr>
        <w:widowControl w:val="0"/>
        <w:pBdr>
          <w:top w:val="nil"/>
          <w:left w:val="nil"/>
          <w:bottom w:val="nil"/>
          <w:right w:val="nil"/>
          <w:between w:val="nil"/>
        </w:pBdr>
        <w:spacing w:line="252" w:lineRule="auto"/>
        <w:jc w:val="both"/>
        <w:rPr>
          <w:color w:val="000000"/>
          <w:lang w:val="es-MX"/>
        </w:rPr>
      </w:pPr>
      <w:r w:rsidRPr="00812B1A">
        <w:rPr>
          <w:smallCaps/>
          <w:color w:val="000000"/>
          <w:lang w:val="es-MX"/>
        </w:rPr>
        <w:t>L</w:t>
      </w:r>
      <w:r w:rsidR="00812B1A">
        <w:rPr>
          <w:smallCaps/>
          <w:color w:val="000000"/>
          <w:lang w:val="es-MX"/>
        </w:rPr>
        <w:t xml:space="preserve"> </w:t>
      </w:r>
      <w:r w:rsidR="00812B1A" w:rsidRPr="00812B1A">
        <w:rPr>
          <w:color w:val="000000"/>
          <w:lang w:val="es-MX"/>
        </w:rPr>
        <w:t xml:space="preserve">análisis de las visualizaciones </w:t>
      </w:r>
      <w:r w:rsidR="00812B1A">
        <w:rPr>
          <w:color w:val="000000"/>
          <w:lang w:val="es-MX"/>
        </w:rPr>
        <w:t xml:space="preserve">nos permito concluir </w:t>
      </w:r>
      <w:r w:rsidR="00812B1A" w:rsidRPr="00812B1A">
        <w:rPr>
          <w:color w:val="000000"/>
          <w:lang w:val="es-MX"/>
        </w:rPr>
        <w:t xml:space="preserve">sobre el comportamiento de los dos portafolios, así como sobre la relación entre las criptomonedas analizadas. Se observa una clara diferencia entre los portafolios </w:t>
      </w:r>
      <w:r w:rsidR="004906A9">
        <w:rPr>
          <w:color w:val="000000"/>
          <w:lang w:val="es-MX"/>
        </w:rPr>
        <w:t>compra</w:t>
      </w:r>
      <w:r w:rsidR="00812B1A" w:rsidRPr="00812B1A">
        <w:rPr>
          <w:color w:val="000000"/>
          <w:lang w:val="es-MX"/>
        </w:rPr>
        <w:t xml:space="preserve"> y de </w:t>
      </w:r>
      <w:proofErr w:type="spellStart"/>
      <w:r w:rsidR="00812B1A" w:rsidRPr="00812B1A">
        <w:rPr>
          <w:color w:val="000000"/>
          <w:lang w:val="es-MX"/>
        </w:rPr>
        <w:t>CFDs</w:t>
      </w:r>
      <w:proofErr w:type="spellEnd"/>
      <w:r w:rsidR="00812B1A" w:rsidRPr="00812B1A">
        <w:rPr>
          <w:color w:val="000000"/>
          <w:lang w:val="es-MX"/>
        </w:rPr>
        <w:t xml:space="preserve">, donde uno ofrece un mayor retorno pero con una volatilidad significativamente más alta. Este comportamiento es evidente tanto en las simulaciones como en el </w:t>
      </w:r>
      <w:proofErr w:type="spellStart"/>
      <w:r w:rsidR="00812B1A" w:rsidRPr="00812B1A">
        <w:rPr>
          <w:color w:val="000000"/>
          <w:lang w:val="es-MX"/>
        </w:rPr>
        <w:t>scatterplot</w:t>
      </w:r>
      <w:proofErr w:type="spellEnd"/>
      <w:r w:rsidR="00812B1A" w:rsidRPr="00812B1A">
        <w:rPr>
          <w:color w:val="000000"/>
          <w:lang w:val="es-MX"/>
        </w:rPr>
        <w:t xml:space="preserve"> de las fronteras eficientes.</w:t>
      </w:r>
    </w:p>
    <w:p w14:paraId="2DE8F131" w14:textId="77777777" w:rsidR="00812B1A" w:rsidRPr="00812B1A" w:rsidRDefault="00812B1A" w:rsidP="00812B1A">
      <w:pPr>
        <w:widowControl w:val="0"/>
        <w:pBdr>
          <w:top w:val="nil"/>
          <w:left w:val="nil"/>
          <w:bottom w:val="nil"/>
          <w:right w:val="nil"/>
          <w:between w:val="nil"/>
        </w:pBdr>
        <w:spacing w:line="252" w:lineRule="auto"/>
        <w:jc w:val="both"/>
        <w:rPr>
          <w:color w:val="000000"/>
          <w:lang w:val="es-MX"/>
        </w:rPr>
      </w:pPr>
    </w:p>
    <w:p w14:paraId="5C79A1CA" w14:textId="3661B2EF" w:rsidR="00812B1A" w:rsidRPr="00812B1A" w:rsidRDefault="00812B1A" w:rsidP="00812B1A">
      <w:pPr>
        <w:widowControl w:val="0"/>
        <w:pBdr>
          <w:top w:val="nil"/>
          <w:left w:val="nil"/>
          <w:bottom w:val="nil"/>
          <w:right w:val="nil"/>
          <w:between w:val="nil"/>
        </w:pBdr>
        <w:spacing w:line="252" w:lineRule="auto"/>
        <w:jc w:val="both"/>
        <w:rPr>
          <w:color w:val="000000"/>
          <w:lang w:val="es-MX"/>
        </w:rPr>
      </w:pPr>
      <w:r w:rsidRPr="00812B1A">
        <w:rPr>
          <w:color w:val="000000"/>
          <w:lang w:val="es-MX"/>
        </w:rPr>
        <w:t xml:space="preserve">Un patrón interesante es cómo el portafolio de </w:t>
      </w:r>
      <w:proofErr w:type="spellStart"/>
      <w:r w:rsidRPr="00812B1A">
        <w:rPr>
          <w:color w:val="000000"/>
          <w:lang w:val="es-MX"/>
        </w:rPr>
        <w:t>CFDs</w:t>
      </w:r>
      <w:proofErr w:type="spellEnd"/>
      <w:r w:rsidRPr="00812B1A">
        <w:rPr>
          <w:color w:val="000000"/>
          <w:lang w:val="es-MX"/>
        </w:rPr>
        <w:t xml:space="preserve"> experimentó momentos en los que su valor se acercó a cero, pero luego alcanzó un máximo de seis veces su inversión inicial. En contraste, el portafolio spot se mantuvo más estable, fluctuando entre valores superiores a uno y alcanzando un máximo de tres veces la inversión inicial. Esta diferencia está directamente relacionada con las simulaciones, donde se observa que las trayectorias proyectadas para el portafolio de </w:t>
      </w:r>
      <w:proofErr w:type="spellStart"/>
      <w:r w:rsidRPr="00812B1A">
        <w:rPr>
          <w:color w:val="000000"/>
          <w:lang w:val="es-MX"/>
        </w:rPr>
        <w:t>CFDs</w:t>
      </w:r>
      <w:proofErr w:type="spellEnd"/>
      <w:r w:rsidRPr="00812B1A">
        <w:rPr>
          <w:color w:val="000000"/>
          <w:lang w:val="es-MX"/>
        </w:rPr>
        <w:t xml:space="preserve"> presentan un rango mucho más amplio, oscilando entre </w:t>
      </w:r>
      <w:r w:rsidR="004906A9">
        <w:rPr>
          <w:color w:val="000000"/>
          <w:lang w:val="es-MX"/>
        </w:rPr>
        <w:t xml:space="preserve">0 </w:t>
      </w:r>
      <w:r w:rsidRPr="00812B1A">
        <w:rPr>
          <w:color w:val="000000"/>
          <w:lang w:val="es-MX"/>
        </w:rPr>
        <w:t xml:space="preserve">y </w:t>
      </w:r>
      <w:r w:rsidR="004906A9">
        <w:rPr>
          <w:color w:val="000000"/>
          <w:lang w:val="es-MX"/>
        </w:rPr>
        <w:t xml:space="preserve">2 </w:t>
      </w:r>
      <w:r w:rsidRPr="00812B1A">
        <w:rPr>
          <w:color w:val="000000"/>
          <w:lang w:val="es-MX"/>
        </w:rPr>
        <w:t xml:space="preserve">en los próximos 30 días, mientras que el portafolio spot varía entre -0.5 y 1.5, aunque con una media similar.  </w:t>
      </w:r>
    </w:p>
    <w:p w14:paraId="4140BD0A" w14:textId="77777777" w:rsidR="00812B1A" w:rsidRPr="00812B1A" w:rsidRDefault="00812B1A" w:rsidP="00812B1A">
      <w:pPr>
        <w:widowControl w:val="0"/>
        <w:pBdr>
          <w:top w:val="nil"/>
          <w:left w:val="nil"/>
          <w:bottom w:val="nil"/>
          <w:right w:val="nil"/>
          <w:between w:val="nil"/>
        </w:pBdr>
        <w:spacing w:line="252" w:lineRule="auto"/>
        <w:jc w:val="both"/>
        <w:rPr>
          <w:color w:val="000000"/>
          <w:lang w:val="es-MX"/>
        </w:rPr>
      </w:pPr>
    </w:p>
    <w:p w14:paraId="6BA10FBB" w14:textId="77777777" w:rsidR="00812B1A" w:rsidRPr="00812B1A" w:rsidRDefault="00812B1A" w:rsidP="00812B1A">
      <w:pPr>
        <w:widowControl w:val="0"/>
        <w:pBdr>
          <w:top w:val="nil"/>
          <w:left w:val="nil"/>
          <w:bottom w:val="nil"/>
          <w:right w:val="nil"/>
          <w:between w:val="nil"/>
        </w:pBdr>
        <w:spacing w:line="252" w:lineRule="auto"/>
        <w:jc w:val="both"/>
        <w:rPr>
          <w:color w:val="000000"/>
          <w:lang w:val="es-MX"/>
        </w:rPr>
      </w:pPr>
      <w:r w:rsidRPr="00812B1A">
        <w:rPr>
          <w:color w:val="000000"/>
          <w:lang w:val="es-MX"/>
        </w:rPr>
        <w:t xml:space="preserve">El análisis de correlaciones revela que casi todas las criptomonedas tienen una relación positiva entre sí, con la notable excepción de TON, que no muestra una correlación lineal significativa con el resto. Este comportamiento atípico también se refleja en su desempeño reciente, ya que durante el último mes TON fue la única criptomoneda con retornos claramente positivos, mientras que el resto se mantuvo cerca de valores nulos o negativos. Además, TON resultó ser la más volátil en este periodo y, aunque en los últimos tres años también se ha destacado por su alta volatilidad, su rendimiento acumulado no presenta una ventaja considerable frente a otras criptomonedas.  </w:t>
      </w:r>
    </w:p>
    <w:p w14:paraId="1CE576BE" w14:textId="77777777" w:rsidR="00812B1A" w:rsidRPr="00812B1A" w:rsidRDefault="00812B1A" w:rsidP="00812B1A">
      <w:pPr>
        <w:widowControl w:val="0"/>
        <w:pBdr>
          <w:top w:val="nil"/>
          <w:left w:val="nil"/>
          <w:bottom w:val="nil"/>
          <w:right w:val="nil"/>
          <w:between w:val="nil"/>
        </w:pBdr>
        <w:spacing w:line="252" w:lineRule="auto"/>
        <w:jc w:val="both"/>
        <w:rPr>
          <w:color w:val="000000"/>
          <w:lang w:val="es-MX"/>
        </w:rPr>
      </w:pPr>
    </w:p>
    <w:p w14:paraId="6EC3C4B4" w14:textId="7E4C310E" w:rsidR="00431C2D" w:rsidRPr="00FC0699" w:rsidRDefault="00F05953" w:rsidP="00DB0936">
      <w:pPr>
        <w:widowControl w:val="0"/>
        <w:pBdr>
          <w:top w:val="nil"/>
          <w:left w:val="nil"/>
          <w:bottom w:val="nil"/>
          <w:right w:val="nil"/>
          <w:between w:val="nil"/>
        </w:pBdr>
        <w:spacing w:line="252" w:lineRule="auto"/>
        <w:jc w:val="both"/>
        <w:rPr>
          <w:color w:val="000000"/>
          <w:u w:val="single"/>
          <w:lang w:val="es-MX"/>
        </w:rPr>
      </w:pPr>
      <w:r>
        <w:rPr>
          <w:color w:val="000000"/>
          <w:lang w:val="es-MX"/>
        </w:rPr>
        <w:t>L</w:t>
      </w:r>
      <w:r w:rsidR="00812B1A" w:rsidRPr="00812B1A">
        <w:rPr>
          <w:color w:val="000000"/>
          <w:lang w:val="es-MX"/>
        </w:rPr>
        <w:t xml:space="preserve">os resultados de la simulación del Movimiento Browniano Geométrico indican que, a pesar de que ambos portafolios tienen una media similar en sus predicciones, el portafolio basado en </w:t>
      </w:r>
      <w:proofErr w:type="spellStart"/>
      <w:r w:rsidR="00812B1A" w:rsidRPr="00812B1A">
        <w:rPr>
          <w:color w:val="000000"/>
          <w:lang w:val="es-MX"/>
        </w:rPr>
        <w:t>CFDs</w:t>
      </w:r>
      <w:proofErr w:type="spellEnd"/>
      <w:r w:rsidR="00812B1A" w:rsidRPr="00812B1A">
        <w:rPr>
          <w:color w:val="000000"/>
          <w:lang w:val="es-MX"/>
        </w:rPr>
        <w:t xml:space="preserve"> representa una opción mucho más riesgosa, en la que los inversionistas pueden llegar a perder toda su inversión o duplicarla en el mejor de los casos</w:t>
      </w:r>
      <w:r>
        <w:rPr>
          <w:color w:val="000000"/>
          <w:lang w:val="es-MX"/>
        </w:rPr>
        <w:t xml:space="preserve"> para los siguientes 30 días</w:t>
      </w:r>
      <w:r w:rsidR="00812B1A" w:rsidRPr="00812B1A">
        <w:rPr>
          <w:color w:val="000000"/>
          <w:lang w:val="es-MX"/>
        </w:rPr>
        <w:t xml:space="preserve">. Por otro lado, el portafolio </w:t>
      </w:r>
      <w:r>
        <w:rPr>
          <w:color w:val="000000"/>
          <w:lang w:val="es-MX"/>
        </w:rPr>
        <w:t>de compra</w:t>
      </w:r>
      <w:r w:rsidR="00812B1A" w:rsidRPr="00812B1A">
        <w:rPr>
          <w:color w:val="000000"/>
          <w:lang w:val="es-MX"/>
        </w:rPr>
        <w:t>, aunque más conservador, ofrece una mayor estabilidad con retornos proyectados que pueden alcanzar 1.5 veces la inversión en un mes, lo que lo hace más adecuado para quienes buscan minimizar su exposición al riesgo</w:t>
      </w:r>
      <w:r w:rsidR="00DB0936">
        <w:rPr>
          <w:color w:val="000000"/>
          <w:lang w:val="es-MX"/>
        </w:rPr>
        <w:t>.</w:t>
      </w:r>
    </w:p>
    <w:p w14:paraId="41C918F2" w14:textId="598081B9" w:rsidR="00732E46" w:rsidRPr="00651B65" w:rsidRDefault="00732E46">
      <w:pPr>
        <w:jc w:val="both"/>
        <w:rPr>
          <w:rFonts w:ascii="Times" w:eastAsia="Times" w:hAnsi="Times" w:cs="Times"/>
          <w:lang w:val="es-MX"/>
        </w:rPr>
      </w:pPr>
    </w:p>
    <w:sectPr w:rsidR="00732E46" w:rsidRPr="00651B65"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1CCB" w14:textId="77777777" w:rsidR="00CC7D15" w:rsidRDefault="00CC7D15">
      <w:r>
        <w:separator/>
      </w:r>
    </w:p>
  </w:endnote>
  <w:endnote w:type="continuationSeparator" w:id="0">
    <w:p w14:paraId="0914A0AB" w14:textId="77777777" w:rsidR="00CC7D15" w:rsidRDefault="00CC7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5D3B" w14:textId="77777777" w:rsidR="00CC7D15" w:rsidRPr="009A0AA6" w:rsidRDefault="00CC7D15" w:rsidP="009A0AA6">
      <w:pPr>
        <w:pStyle w:val="Piedepgina"/>
      </w:pPr>
    </w:p>
  </w:footnote>
  <w:footnote w:type="continuationSeparator" w:id="0">
    <w:p w14:paraId="34BA43E0" w14:textId="77777777" w:rsidR="00CC7D15" w:rsidRDefault="00CC7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0F41B4D8" w:rsidR="00732E46" w:rsidRDefault="00732E46">
    <w:pPr>
      <w:ind w:right="360"/>
    </w:pP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474EE"/>
    <w:rsid w:val="00050683"/>
    <w:rsid w:val="00053B2E"/>
    <w:rsid w:val="000650E5"/>
    <w:rsid w:val="00067023"/>
    <w:rsid w:val="00081747"/>
    <w:rsid w:val="00085D7A"/>
    <w:rsid w:val="000968E1"/>
    <w:rsid w:val="000C012D"/>
    <w:rsid w:val="000C21BE"/>
    <w:rsid w:val="000D4F4C"/>
    <w:rsid w:val="000F2C11"/>
    <w:rsid w:val="000F400B"/>
    <w:rsid w:val="000F6D3E"/>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137D2"/>
    <w:rsid w:val="00233A4C"/>
    <w:rsid w:val="00234ABB"/>
    <w:rsid w:val="002577ED"/>
    <w:rsid w:val="00262D2F"/>
    <w:rsid w:val="002775B6"/>
    <w:rsid w:val="00282E76"/>
    <w:rsid w:val="00285CC1"/>
    <w:rsid w:val="00285E41"/>
    <w:rsid w:val="002947C5"/>
    <w:rsid w:val="002C2616"/>
    <w:rsid w:val="002E2421"/>
    <w:rsid w:val="002F221E"/>
    <w:rsid w:val="002F5161"/>
    <w:rsid w:val="00305C29"/>
    <w:rsid w:val="0031286C"/>
    <w:rsid w:val="00313303"/>
    <w:rsid w:val="00357347"/>
    <w:rsid w:val="0036091A"/>
    <w:rsid w:val="003913E5"/>
    <w:rsid w:val="003F021E"/>
    <w:rsid w:val="00402320"/>
    <w:rsid w:val="004063A4"/>
    <w:rsid w:val="00431C2D"/>
    <w:rsid w:val="00474558"/>
    <w:rsid w:val="00474613"/>
    <w:rsid w:val="00476F0D"/>
    <w:rsid w:val="0048247F"/>
    <w:rsid w:val="004906A9"/>
    <w:rsid w:val="004A4B26"/>
    <w:rsid w:val="004B29E3"/>
    <w:rsid w:val="004B30DB"/>
    <w:rsid w:val="004C0A1B"/>
    <w:rsid w:val="004C0A56"/>
    <w:rsid w:val="004C1E98"/>
    <w:rsid w:val="004C2573"/>
    <w:rsid w:val="0052760F"/>
    <w:rsid w:val="00533E1B"/>
    <w:rsid w:val="00550D56"/>
    <w:rsid w:val="0056364D"/>
    <w:rsid w:val="0059348A"/>
    <w:rsid w:val="005A170E"/>
    <w:rsid w:val="005A2567"/>
    <w:rsid w:val="005B43C2"/>
    <w:rsid w:val="005C18AE"/>
    <w:rsid w:val="005C68BC"/>
    <w:rsid w:val="005E2D10"/>
    <w:rsid w:val="005E6620"/>
    <w:rsid w:val="005E69DC"/>
    <w:rsid w:val="005F0DEA"/>
    <w:rsid w:val="005F12E8"/>
    <w:rsid w:val="005F3F76"/>
    <w:rsid w:val="005F4497"/>
    <w:rsid w:val="005F5E3C"/>
    <w:rsid w:val="006068E5"/>
    <w:rsid w:val="00613800"/>
    <w:rsid w:val="006209FC"/>
    <w:rsid w:val="00621141"/>
    <w:rsid w:val="00636D0A"/>
    <w:rsid w:val="00645190"/>
    <w:rsid w:val="006514FE"/>
    <w:rsid w:val="0065173B"/>
    <w:rsid w:val="00651B65"/>
    <w:rsid w:val="00660F88"/>
    <w:rsid w:val="006774B8"/>
    <w:rsid w:val="00686E51"/>
    <w:rsid w:val="00694E0B"/>
    <w:rsid w:val="006B68F3"/>
    <w:rsid w:val="006C32BD"/>
    <w:rsid w:val="006C60F0"/>
    <w:rsid w:val="006E07C2"/>
    <w:rsid w:val="006E42E3"/>
    <w:rsid w:val="006F18B8"/>
    <w:rsid w:val="006F3491"/>
    <w:rsid w:val="006F6F5A"/>
    <w:rsid w:val="007054D1"/>
    <w:rsid w:val="00732E46"/>
    <w:rsid w:val="007503C1"/>
    <w:rsid w:val="00756915"/>
    <w:rsid w:val="00771AA2"/>
    <w:rsid w:val="007737AE"/>
    <w:rsid w:val="007938DE"/>
    <w:rsid w:val="007A2DEB"/>
    <w:rsid w:val="007B07C3"/>
    <w:rsid w:val="007B38DE"/>
    <w:rsid w:val="007B62A7"/>
    <w:rsid w:val="007C410D"/>
    <w:rsid w:val="007C4517"/>
    <w:rsid w:val="007C5FE2"/>
    <w:rsid w:val="007E5119"/>
    <w:rsid w:val="007E713A"/>
    <w:rsid w:val="007F4FB6"/>
    <w:rsid w:val="0080720F"/>
    <w:rsid w:val="00810E2F"/>
    <w:rsid w:val="00812B1A"/>
    <w:rsid w:val="00813371"/>
    <w:rsid w:val="00824045"/>
    <w:rsid w:val="00827FB8"/>
    <w:rsid w:val="008313C6"/>
    <w:rsid w:val="00851B4D"/>
    <w:rsid w:val="00874977"/>
    <w:rsid w:val="008856C3"/>
    <w:rsid w:val="0089298D"/>
    <w:rsid w:val="00897A51"/>
    <w:rsid w:val="008E1FF8"/>
    <w:rsid w:val="008E4F03"/>
    <w:rsid w:val="00932FBA"/>
    <w:rsid w:val="00941D9F"/>
    <w:rsid w:val="009454A2"/>
    <w:rsid w:val="00954BD6"/>
    <w:rsid w:val="0096199E"/>
    <w:rsid w:val="00983EC3"/>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65D81"/>
    <w:rsid w:val="00B729BA"/>
    <w:rsid w:val="00B83635"/>
    <w:rsid w:val="00BC0495"/>
    <w:rsid w:val="00BD79D9"/>
    <w:rsid w:val="00BE4774"/>
    <w:rsid w:val="00C04F49"/>
    <w:rsid w:val="00C16047"/>
    <w:rsid w:val="00C25825"/>
    <w:rsid w:val="00C52F3D"/>
    <w:rsid w:val="00C54B70"/>
    <w:rsid w:val="00C64D24"/>
    <w:rsid w:val="00C7025F"/>
    <w:rsid w:val="00C72820"/>
    <w:rsid w:val="00C7592D"/>
    <w:rsid w:val="00C821C0"/>
    <w:rsid w:val="00C9162C"/>
    <w:rsid w:val="00CA675E"/>
    <w:rsid w:val="00CB5CB4"/>
    <w:rsid w:val="00CC21A8"/>
    <w:rsid w:val="00CC7D15"/>
    <w:rsid w:val="00CD54DC"/>
    <w:rsid w:val="00CF48E2"/>
    <w:rsid w:val="00D050EC"/>
    <w:rsid w:val="00D05F12"/>
    <w:rsid w:val="00D10AC8"/>
    <w:rsid w:val="00D20E00"/>
    <w:rsid w:val="00D56F41"/>
    <w:rsid w:val="00D66528"/>
    <w:rsid w:val="00D83AF6"/>
    <w:rsid w:val="00D868B8"/>
    <w:rsid w:val="00D87F8B"/>
    <w:rsid w:val="00DA16B4"/>
    <w:rsid w:val="00DA34C3"/>
    <w:rsid w:val="00DA5A9A"/>
    <w:rsid w:val="00DB0936"/>
    <w:rsid w:val="00DB3364"/>
    <w:rsid w:val="00DB4355"/>
    <w:rsid w:val="00DC758F"/>
    <w:rsid w:val="00DD7F24"/>
    <w:rsid w:val="00DF6629"/>
    <w:rsid w:val="00E05735"/>
    <w:rsid w:val="00E2077B"/>
    <w:rsid w:val="00E247D3"/>
    <w:rsid w:val="00E30D60"/>
    <w:rsid w:val="00E45781"/>
    <w:rsid w:val="00E57D3D"/>
    <w:rsid w:val="00E625A7"/>
    <w:rsid w:val="00E633D3"/>
    <w:rsid w:val="00E653B5"/>
    <w:rsid w:val="00E65DF7"/>
    <w:rsid w:val="00E90136"/>
    <w:rsid w:val="00EA352F"/>
    <w:rsid w:val="00EC35CE"/>
    <w:rsid w:val="00EE01E7"/>
    <w:rsid w:val="00EE02E8"/>
    <w:rsid w:val="00EF6430"/>
    <w:rsid w:val="00F05953"/>
    <w:rsid w:val="00F22A05"/>
    <w:rsid w:val="00F33F99"/>
    <w:rsid w:val="00F63565"/>
    <w:rsid w:val="00F67007"/>
    <w:rsid w:val="00F83145"/>
    <w:rsid w:val="00FA6C74"/>
    <w:rsid w:val="00FB41DF"/>
    <w:rsid w:val="00FC0699"/>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4F4B30D0-B853-454E-A7A3-56B9C284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9BA"/>
    <w:pPr>
      <w:ind w:firstLine="144"/>
    </w:pPr>
  </w:style>
  <w:style w:type="paragraph" w:styleId="Ttulo1">
    <w:name w:val="heading 1"/>
    <w:basedOn w:val="Normal"/>
    <w:next w:val="Normal"/>
    <w:link w:val="Ttulo1C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Textoindependiente">
    <w:name w:val="Body Text"/>
    <w:basedOn w:val="Normal"/>
    <w:link w:val="TextoindependienteCar"/>
    <w:uiPriority w:val="99"/>
    <w:semiHidden/>
    <w:unhideWhenUsed/>
    <w:rsid w:val="00B729BA"/>
    <w:pPr>
      <w:spacing w:after="120"/>
    </w:pPr>
  </w:style>
  <w:style w:type="character" w:customStyle="1" w:styleId="TextoindependienteCar">
    <w:name w:val="Texto independiente Car"/>
    <w:basedOn w:val="Fuentedeprrafopredeter"/>
    <w:link w:val="Textoindependiente"/>
    <w:uiPriority w:val="99"/>
    <w:semiHidden/>
    <w:rsid w:val="00B729BA"/>
  </w:style>
  <w:style w:type="paragraph" w:styleId="Textoindependienteprimerasangra">
    <w:name w:val="Body Text First Indent"/>
    <w:basedOn w:val="Textoindependiente"/>
    <w:link w:val="TextoindependienteprimerasangraCar"/>
    <w:uiPriority w:val="99"/>
    <w:unhideWhenUsed/>
    <w:rsid w:val="00B729BA"/>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B72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14773">
      <w:bodyDiv w:val="1"/>
      <w:marLeft w:val="0"/>
      <w:marRight w:val="0"/>
      <w:marTop w:val="0"/>
      <w:marBottom w:val="0"/>
      <w:divBdr>
        <w:top w:val="none" w:sz="0" w:space="0" w:color="auto"/>
        <w:left w:val="none" w:sz="0" w:space="0" w:color="auto"/>
        <w:bottom w:val="none" w:sz="0" w:space="0" w:color="auto"/>
        <w:right w:val="none" w:sz="0" w:space="0" w:color="auto"/>
      </w:divBdr>
      <w:divsChild>
        <w:div w:id="905798140">
          <w:marLeft w:val="0"/>
          <w:marRight w:val="0"/>
          <w:marTop w:val="0"/>
          <w:marBottom w:val="0"/>
          <w:divBdr>
            <w:top w:val="none" w:sz="0" w:space="0" w:color="auto"/>
            <w:left w:val="none" w:sz="0" w:space="0" w:color="auto"/>
            <w:bottom w:val="none" w:sz="0" w:space="0" w:color="auto"/>
            <w:right w:val="none" w:sz="0" w:space="0" w:color="auto"/>
          </w:divBdr>
          <w:divsChild>
            <w:div w:id="6094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91782">
      <w:bodyDiv w:val="1"/>
      <w:marLeft w:val="0"/>
      <w:marRight w:val="0"/>
      <w:marTop w:val="0"/>
      <w:marBottom w:val="0"/>
      <w:divBdr>
        <w:top w:val="none" w:sz="0" w:space="0" w:color="auto"/>
        <w:left w:val="none" w:sz="0" w:space="0" w:color="auto"/>
        <w:bottom w:val="none" w:sz="0" w:space="0" w:color="auto"/>
        <w:right w:val="none" w:sz="0" w:space="0" w:color="auto"/>
      </w:divBdr>
      <w:divsChild>
        <w:div w:id="961569160">
          <w:marLeft w:val="0"/>
          <w:marRight w:val="0"/>
          <w:marTop w:val="0"/>
          <w:marBottom w:val="0"/>
          <w:divBdr>
            <w:top w:val="none" w:sz="0" w:space="0" w:color="auto"/>
            <w:left w:val="none" w:sz="0" w:space="0" w:color="auto"/>
            <w:bottom w:val="none" w:sz="0" w:space="0" w:color="auto"/>
            <w:right w:val="none" w:sz="0" w:space="0" w:color="auto"/>
          </w:divBdr>
          <w:divsChild>
            <w:div w:id="486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5cac1acd-d7f2-4810-a560-7e2f664c921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2C49362348337458243C8AA479693F0" ma:contentTypeVersion="18" ma:contentTypeDescription="Create a new document." ma:contentTypeScope="" ma:versionID="861342d32d40ced43221302470b0102e">
  <xsd:schema xmlns:xsd="http://www.w3.org/2001/XMLSchema" xmlns:xs="http://www.w3.org/2001/XMLSchema" xmlns:p="http://schemas.microsoft.com/office/2006/metadata/properties" xmlns:ns3="5cac1acd-d7f2-4810-a560-7e2f664c9218" xmlns:ns4="7eb9858e-99d3-4aa9-8ed7-62e121bee240" targetNamespace="http://schemas.microsoft.com/office/2006/metadata/properties" ma:root="true" ma:fieldsID="e3b3af5cf495acf61be1063a545ddabf" ns3:_="" ns4:_="">
    <xsd:import namespace="5cac1acd-d7f2-4810-a560-7e2f664c9218"/>
    <xsd:import namespace="7eb9858e-99d3-4aa9-8ed7-62e121bee24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LengthInSecond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acd-d7f2-4810-a560-7e2f664c92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9858e-99d3-4aa9-8ed7-62e121bee2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1AD570E-F634-4675-B9E5-610651A6A835}">
  <ds:schemaRefs>
    <ds:schemaRef ds:uri="http://schemas.microsoft.com/office/2006/metadata/properties"/>
    <ds:schemaRef ds:uri="http://schemas.microsoft.com/office/infopath/2007/PartnerControls"/>
    <ds:schemaRef ds:uri="5cac1acd-d7f2-4810-a560-7e2f664c9218"/>
  </ds:schemaRefs>
</ds:datastoreItem>
</file>

<file path=customXml/itemProps4.xml><?xml version="1.0" encoding="utf-8"?>
<ds:datastoreItem xmlns:ds="http://schemas.openxmlformats.org/officeDocument/2006/customXml" ds:itemID="{9A138C85-ACC4-483A-A576-A0217D707446}">
  <ds:schemaRefs>
    <ds:schemaRef ds:uri="http://schemas.microsoft.com/sharepoint/v3/contenttype/forms"/>
  </ds:schemaRefs>
</ds:datastoreItem>
</file>

<file path=customXml/itemProps5.xml><?xml version="1.0" encoding="utf-8"?>
<ds:datastoreItem xmlns:ds="http://schemas.openxmlformats.org/officeDocument/2006/customXml" ds:itemID="{A2202600-9BF3-4328-A8E8-DC430A3A5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acd-d7f2-4810-a560-7e2f664c9218"/>
    <ds:schemaRef ds:uri="7eb9858e-99d3-4aa9-8ed7-62e121bee2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497</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Heriberto Espino</dc:creator>
  <cp:keywords/>
  <dc:description/>
  <cp:lastModifiedBy>Heriberto Espino Montelongo</cp:lastModifiedBy>
  <cp:revision>3</cp:revision>
  <cp:lastPrinted>2025-03-27T05:54:00Z</cp:lastPrinted>
  <dcterms:created xsi:type="dcterms:W3CDTF">2025-04-06T09:51:00Z</dcterms:created>
  <dcterms:modified xsi:type="dcterms:W3CDTF">2025-04-06T09:52:00Z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0x01010032C49362348337458243C8AA479693F0</vt:lpwstr>
  </property>
</Properties>
</file>