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BFA1" w14:textId="77777777" w:rsidR="00293A24" w:rsidRPr="0057692E" w:rsidRDefault="00293A24" w:rsidP="00293A24">
      <w:pPr>
        <w:pStyle w:val="Ttulo"/>
        <w:framePr w:w="0" w:hSpace="0" w:vSpace="0" w:wrap="auto" w:vAnchor="margin" w:hAnchor="text" w:xAlign="left" w:yAlign="inline"/>
        <w:rPr>
          <w:lang w:val="es-MX"/>
        </w:rPr>
      </w:pPr>
      <w:r>
        <w:rPr>
          <w:lang w:val="es-MX"/>
        </w:rPr>
        <w:t>Visualización de Red</w:t>
      </w:r>
      <w:r w:rsidRPr="0057692E">
        <w:rPr>
          <w:lang w:val="es-MX"/>
        </w:rPr>
        <w:t xml:space="preserve"> de Correlación Entre C</w:t>
      </w:r>
      <w:r>
        <w:rPr>
          <w:lang w:val="es-MX"/>
        </w:rPr>
        <w:t>riptomonedas</w:t>
      </w:r>
    </w:p>
    <w:p w14:paraId="21E45756" w14:textId="77777777" w:rsidR="00293A24" w:rsidRPr="0057692E" w:rsidRDefault="00293A24" w:rsidP="00293A24">
      <w:pPr>
        <w:widowControl w:val="0"/>
        <w:pBdr>
          <w:top w:val="nil"/>
          <w:left w:val="nil"/>
          <w:bottom w:val="nil"/>
          <w:right w:val="nil"/>
          <w:between w:val="nil"/>
        </w:pBdr>
        <w:spacing w:line="252" w:lineRule="auto"/>
        <w:rPr>
          <w:color w:val="000000"/>
          <w:sz w:val="18"/>
          <w:szCs w:val="18"/>
          <w:lang w:val="es-MX"/>
        </w:rPr>
      </w:pPr>
    </w:p>
    <w:p w14:paraId="4FF73B88" w14:textId="77777777" w:rsidR="00293A24" w:rsidRDefault="00293A24" w:rsidP="00293A24">
      <w:pPr>
        <w:pBdr>
          <w:top w:val="nil"/>
          <w:left w:val="nil"/>
          <w:bottom w:val="nil"/>
          <w:right w:val="nil"/>
          <w:between w:val="nil"/>
        </w:pBdr>
        <w:jc w:val="center"/>
        <w:rPr>
          <w:color w:val="000000"/>
          <w:sz w:val="22"/>
          <w:szCs w:val="22"/>
          <w:lang w:val="es-ES"/>
        </w:rPr>
      </w:pPr>
      <w:r w:rsidRPr="74A986DC">
        <w:rPr>
          <w:color w:val="000000" w:themeColor="text1"/>
          <w:sz w:val="22"/>
          <w:szCs w:val="22"/>
          <w:lang w:val="es-ES"/>
        </w:rPr>
        <w:t>Carlos Javier Galán Zavala</w:t>
      </w:r>
      <w:r>
        <w:rPr>
          <w:color w:val="000000" w:themeColor="text1"/>
          <w:sz w:val="22"/>
          <w:szCs w:val="22"/>
          <w:lang w:val="es-ES"/>
        </w:rPr>
        <w:t>,</w:t>
      </w:r>
      <w:r w:rsidRPr="74A986DC">
        <w:rPr>
          <w:color w:val="000000" w:themeColor="text1"/>
          <w:sz w:val="22"/>
          <w:szCs w:val="22"/>
          <w:lang w:val="es-ES"/>
        </w:rPr>
        <w:t xml:space="preserve"> </w:t>
      </w:r>
      <w:r w:rsidRPr="00C10519">
        <w:rPr>
          <w:i/>
          <w:iCs/>
          <w:color w:val="000000" w:themeColor="text1"/>
          <w:sz w:val="22"/>
          <w:szCs w:val="22"/>
          <w:lang w:val="es-ES"/>
        </w:rPr>
        <w:t>175888</w:t>
      </w:r>
      <w:r w:rsidRPr="74A986DC">
        <w:rPr>
          <w:color w:val="000000" w:themeColor="text1"/>
          <w:sz w:val="22"/>
          <w:szCs w:val="22"/>
          <w:lang w:val="es-ES"/>
        </w:rPr>
        <w:t>, Nuria Arroyo Bustamante</w:t>
      </w:r>
      <w:r>
        <w:rPr>
          <w:color w:val="000000" w:themeColor="text1"/>
          <w:sz w:val="22"/>
          <w:szCs w:val="22"/>
          <w:lang w:val="es-ES"/>
        </w:rPr>
        <w:t>,</w:t>
      </w:r>
      <w:r w:rsidRPr="74A986DC">
        <w:rPr>
          <w:color w:val="000000" w:themeColor="text1"/>
          <w:sz w:val="22"/>
          <w:szCs w:val="22"/>
          <w:lang w:val="es-ES"/>
        </w:rPr>
        <w:t xml:space="preserve"> </w:t>
      </w:r>
      <w:r w:rsidRPr="00C10519">
        <w:rPr>
          <w:i/>
          <w:iCs/>
          <w:color w:val="000000" w:themeColor="text1"/>
          <w:sz w:val="22"/>
          <w:szCs w:val="22"/>
          <w:lang w:val="es-ES"/>
        </w:rPr>
        <w:t>173605</w:t>
      </w:r>
      <w:r w:rsidRPr="74A986DC">
        <w:rPr>
          <w:color w:val="000000" w:themeColor="text1"/>
          <w:sz w:val="22"/>
          <w:szCs w:val="22"/>
          <w:lang w:val="es-ES"/>
        </w:rPr>
        <w:t xml:space="preserve"> y Heriberto Espino, </w:t>
      </w:r>
      <w:r w:rsidRPr="00C10519">
        <w:rPr>
          <w:i/>
          <w:iCs/>
          <w:color w:val="000000" w:themeColor="text1"/>
          <w:sz w:val="22"/>
          <w:szCs w:val="22"/>
          <w:lang w:val="es-ES"/>
        </w:rPr>
        <w:t>175199</w:t>
      </w:r>
      <w:r w:rsidRPr="74A986DC">
        <w:rPr>
          <w:i/>
          <w:iCs/>
          <w:color w:val="000000" w:themeColor="text1"/>
          <w:sz w:val="22"/>
          <w:szCs w:val="22"/>
          <w:lang w:val="es-ES"/>
        </w:rPr>
        <w:t>.</w:t>
      </w:r>
    </w:p>
    <w:p w14:paraId="66416825" w14:textId="77777777" w:rsidR="00002FAF" w:rsidRPr="00293A24" w:rsidRDefault="00002FAF" w:rsidP="00D050EC">
      <w:pPr>
        <w:pBdr>
          <w:top w:val="nil"/>
          <w:left w:val="nil"/>
          <w:bottom w:val="nil"/>
          <w:right w:val="nil"/>
          <w:between w:val="nil"/>
        </w:pBdr>
        <w:spacing w:after="320"/>
        <w:ind w:firstLine="202"/>
        <w:rPr>
          <w:b/>
          <w:i/>
          <w:color w:val="000000"/>
          <w:sz w:val="18"/>
          <w:szCs w:val="18"/>
          <w:lang w:val="es-ES"/>
        </w:rPr>
      </w:pPr>
    </w:p>
    <w:p w14:paraId="06590BF3" w14:textId="77777777" w:rsidR="007E713A" w:rsidRPr="00293A24" w:rsidRDefault="007E713A" w:rsidP="00D050EC">
      <w:pPr>
        <w:pBdr>
          <w:top w:val="nil"/>
          <w:left w:val="nil"/>
          <w:bottom w:val="nil"/>
          <w:right w:val="nil"/>
          <w:between w:val="nil"/>
        </w:pBdr>
        <w:spacing w:before="20" w:after="320"/>
        <w:ind w:firstLine="202"/>
        <w:rPr>
          <w:b/>
          <w:i/>
          <w:color w:val="000000"/>
          <w:sz w:val="18"/>
          <w:szCs w:val="18"/>
          <w:lang w:val="es-MX"/>
        </w:rPr>
        <w:sectPr w:rsidR="007E713A" w:rsidRPr="00293A24" w:rsidSect="00002FAF">
          <w:headerReference w:type="default" r:id="rId9"/>
          <w:type w:val="continuous"/>
          <w:pgSz w:w="12240" w:h="15840"/>
          <w:pgMar w:top="1008" w:right="936" w:bottom="1008" w:left="936" w:header="432" w:footer="432" w:gutter="0"/>
          <w:pgNumType w:start="1"/>
          <w:cols w:space="288"/>
        </w:sectPr>
      </w:pPr>
    </w:p>
    <w:p w14:paraId="5D351EFE" w14:textId="28F2098A" w:rsidR="00732E46" w:rsidRPr="00293A24" w:rsidRDefault="00293A24" w:rsidP="00293A24">
      <w:pPr>
        <w:pBdr>
          <w:top w:val="nil"/>
          <w:left w:val="nil"/>
          <w:bottom w:val="nil"/>
          <w:right w:val="nil"/>
          <w:between w:val="nil"/>
        </w:pBdr>
        <w:spacing w:before="20"/>
        <w:ind w:firstLine="202"/>
        <w:rPr>
          <w:b/>
          <w:bCs/>
          <w:sz w:val="18"/>
          <w:szCs w:val="18"/>
        </w:rPr>
      </w:pPr>
      <w:r w:rsidRPr="74A986DC">
        <w:rPr>
          <w:b/>
          <w:bCs/>
          <w:i/>
          <w:iCs/>
          <w:color w:val="000000" w:themeColor="text1"/>
          <w:sz w:val="18"/>
          <w:szCs w:val="18"/>
        </w:rPr>
        <w:t>Abstract</w:t>
      </w:r>
      <w:r w:rsidRPr="74A986DC">
        <w:rPr>
          <w:b/>
          <w:bCs/>
          <w:color w:val="000000" w:themeColor="text1"/>
          <w:sz w:val="18"/>
          <w:szCs w:val="18"/>
        </w:rPr>
        <w:t>—</w:t>
      </w:r>
      <w:r w:rsidRPr="74A986DC">
        <w:rPr>
          <w:b/>
          <w:bCs/>
          <w:sz w:val="18"/>
          <w:szCs w:val="18"/>
        </w:rPr>
        <w:t xml:space="preserve">This document aims to enhance the understanding of the relationships between several cryptocurrencies </w:t>
      </w:r>
      <w:proofErr w:type="gramStart"/>
      <w:r w:rsidRPr="74A986DC">
        <w:rPr>
          <w:b/>
          <w:bCs/>
          <w:sz w:val="18"/>
          <w:szCs w:val="18"/>
        </w:rPr>
        <w:t>through the use of</w:t>
      </w:r>
      <w:proofErr w:type="gramEnd"/>
      <w:r w:rsidRPr="74A986DC">
        <w:rPr>
          <w:b/>
          <w:bCs/>
          <w:sz w:val="18"/>
          <w:szCs w:val="18"/>
        </w:rPr>
        <w:t xml:space="preserve"> various data visualization techniques. It first explores the linear correlation between the elements of a CLA portfolio and then introduces a newly derived pseudo</w:t>
      </w:r>
      <w:r>
        <w:rPr>
          <w:b/>
          <w:bCs/>
          <w:sz w:val="18"/>
          <w:szCs w:val="18"/>
        </w:rPr>
        <w:t>-</w:t>
      </w:r>
      <w:r w:rsidRPr="74A986DC">
        <w:rPr>
          <w:b/>
          <w:bCs/>
          <w:sz w:val="18"/>
          <w:szCs w:val="18"/>
        </w:rPr>
        <w:t>metric. This, in turn, facilitates the visualization of the cryptocurrencies using the Kamada-Kawai Layout, which more effectively represents the relationships we aim to visualize.</w:t>
      </w:r>
    </w:p>
    <w:p w14:paraId="59F2D0B6" w14:textId="7B30D89D" w:rsidR="00732E46" w:rsidRPr="0003442C" w:rsidRDefault="00DB3364" w:rsidP="00827FB8">
      <w:pPr>
        <w:pStyle w:val="Ttulo1"/>
      </w:pPr>
      <w:r w:rsidRPr="008856C3">
        <w:t xml:space="preserve">I. </w:t>
      </w:r>
      <w:r w:rsidR="000F2C11" w:rsidRPr="008856C3">
        <w:t>I</w:t>
      </w:r>
      <w:r w:rsidR="000F2C11" w:rsidRPr="0003442C">
        <w:t>NTRODUC</w:t>
      </w:r>
      <w:r w:rsidR="00293A24">
        <w:t>C</w:t>
      </w:r>
      <w:r w:rsidR="000F2C11" w:rsidRPr="0003442C">
        <w:t>I</w:t>
      </w:r>
      <w:r w:rsidR="00293A24">
        <w:t>Ó</w:t>
      </w:r>
      <w:r w:rsidR="000F2C11" w:rsidRPr="0003442C">
        <w:t>N</w:t>
      </w:r>
    </w:p>
    <w:p w14:paraId="4C512FF4" w14:textId="28E8034F" w:rsidR="00293A24" w:rsidRPr="00293A24" w:rsidRDefault="00293A24" w:rsidP="007B68F0">
      <w:pPr>
        <w:keepNext/>
        <w:framePr w:dropCap="drop" w:lines="3" w:wrap="around" w:vAnchor="text" w:hAnchor="text"/>
        <w:pBdr>
          <w:top w:val="nil"/>
          <w:left w:val="nil"/>
        </w:pBdr>
        <w:spacing w:line="724" w:lineRule="exact"/>
        <w:ind w:firstLine="0"/>
        <w:textAlignment w:val="baseline"/>
        <w:rPr>
          <w:smallCaps/>
          <w:color w:val="000000"/>
          <w:position w:val="-9"/>
          <w:sz w:val="97"/>
          <w:lang w:val="es-MX"/>
        </w:rPr>
      </w:pPr>
      <w:r w:rsidRPr="00293A24">
        <w:rPr>
          <w:smallCaps/>
          <w:color w:val="000000"/>
          <w:position w:val="-9"/>
          <w:sz w:val="97"/>
          <w:lang w:val="es-MX"/>
        </w:rPr>
        <w:t>E</w:t>
      </w:r>
    </w:p>
    <w:p w14:paraId="41C918F2" w14:textId="50750B67" w:rsidR="00732E46" w:rsidRDefault="00293A24" w:rsidP="007B68F0">
      <w:pPr>
        <w:widowControl w:val="0"/>
        <w:pBdr>
          <w:top w:val="nil"/>
          <w:left w:val="nil"/>
          <w:bottom w:val="nil"/>
          <w:right w:val="nil"/>
          <w:between w:val="nil"/>
        </w:pBdr>
        <w:spacing w:line="252" w:lineRule="auto"/>
        <w:ind w:firstLine="0"/>
        <w:rPr>
          <w:rFonts w:ascii="Times" w:eastAsia="Times" w:hAnsi="Times" w:cs="Times"/>
          <w:lang w:val="es-MX"/>
        </w:rPr>
      </w:pPr>
      <w:r w:rsidRPr="00293A24">
        <w:rPr>
          <w:color w:val="000000"/>
          <w:lang w:val="es-MX"/>
        </w:rPr>
        <w:t xml:space="preserve">N este documento </w:t>
      </w:r>
      <w:r>
        <w:rPr>
          <w:color w:val="000000"/>
          <w:lang w:val="es-MX"/>
        </w:rPr>
        <w:t xml:space="preserve">se hace </w:t>
      </w:r>
      <w:r w:rsidRPr="00293A24">
        <w:rPr>
          <w:color w:val="000000"/>
          <w:lang w:val="es-MX"/>
        </w:rPr>
        <w:t>una visualización para conocer las</w:t>
      </w:r>
      <w:r>
        <w:rPr>
          <w:color w:val="000000"/>
          <w:lang w:val="es-MX"/>
        </w:rPr>
        <w:t xml:space="preserve"> </w:t>
      </w:r>
      <w:r w:rsidRPr="00293A24">
        <w:rPr>
          <w:color w:val="000000"/>
          <w:lang w:val="es-MX"/>
        </w:rPr>
        <w:t>relaciones entre activos en el mercado de criptomonedas. Fueron seleccionadas las criptomonedas que se utilizaron para él la creación del portafolio bajo el modelo de Markowitz</w:t>
      </w:r>
      <w:r>
        <w:rPr>
          <w:color w:val="000000"/>
          <w:lang w:val="es-MX"/>
        </w:rPr>
        <w:t xml:space="preserve"> para </w:t>
      </w:r>
      <w:proofErr w:type="spellStart"/>
      <w:r>
        <w:rPr>
          <w:color w:val="000000"/>
          <w:lang w:val="es-MX"/>
        </w:rPr>
        <w:t>CFDs</w:t>
      </w:r>
      <w:proofErr w:type="spellEnd"/>
      <w:r w:rsidRPr="00293A24">
        <w:rPr>
          <w:color w:val="000000"/>
          <w:lang w:val="es-MX"/>
        </w:rPr>
        <w:t xml:space="preserve">. </w:t>
      </w:r>
    </w:p>
    <w:p w14:paraId="55616CA0" w14:textId="5E2F5C38" w:rsidR="00293A24" w:rsidRDefault="00293A24" w:rsidP="00293A24">
      <w:pPr>
        <w:pStyle w:val="Ttulo1"/>
        <w:rPr>
          <w:lang w:val="es-MX"/>
        </w:rPr>
      </w:pPr>
      <w:r w:rsidRPr="0035287C">
        <w:rPr>
          <w:lang w:val="es-MX"/>
        </w:rPr>
        <w:t>I</w:t>
      </w:r>
      <w:r>
        <w:rPr>
          <w:lang w:val="es-MX"/>
        </w:rPr>
        <w:t>I</w:t>
      </w:r>
      <w:r w:rsidRPr="0035287C">
        <w:rPr>
          <w:lang w:val="es-MX"/>
        </w:rPr>
        <w:t xml:space="preserve">. </w:t>
      </w:r>
      <w:r w:rsidRPr="74A986DC">
        <w:rPr>
          <w:lang w:val="es-MX"/>
        </w:rPr>
        <w:t>Matriz</w:t>
      </w:r>
      <w:r>
        <w:rPr>
          <w:lang w:val="es-MX"/>
        </w:rPr>
        <w:t xml:space="preserve"> de </w:t>
      </w:r>
      <w:r>
        <w:rPr>
          <w:lang w:val="es-MX"/>
        </w:rPr>
        <w:t>C</w:t>
      </w:r>
      <w:r>
        <w:rPr>
          <w:lang w:val="es-MX"/>
        </w:rPr>
        <w:t>orrelación</w:t>
      </w:r>
    </w:p>
    <w:p w14:paraId="15912459" w14:textId="7492B129" w:rsidR="00293A24" w:rsidRDefault="00293A24" w:rsidP="00293A24">
      <w:pPr>
        <w:widowControl w:val="0"/>
        <w:pBdr>
          <w:top w:val="nil"/>
          <w:left w:val="nil"/>
          <w:bottom w:val="nil"/>
          <w:right w:val="nil"/>
          <w:between w:val="nil"/>
        </w:pBdr>
        <w:spacing w:line="252" w:lineRule="auto"/>
        <w:rPr>
          <w:lang w:val="es-MX"/>
        </w:rPr>
      </w:pPr>
      <w:r w:rsidRPr="74A986DC">
        <w:rPr>
          <w:lang w:val="es-MX"/>
        </w:rPr>
        <w:t xml:space="preserve">Para la creación de la Matriz de Correlación </w:t>
      </w:r>
      <w:r>
        <w:rPr>
          <w:lang w:val="es-MX"/>
        </w:rPr>
        <w:t xml:space="preserve">los precios </w:t>
      </w:r>
      <w:r w:rsidRPr="74A986DC">
        <w:rPr>
          <w:lang w:val="es-MX"/>
        </w:rPr>
        <w:t xml:space="preserve">históricos fueron transformados </w:t>
      </w:r>
      <w:r>
        <w:rPr>
          <w:lang w:val="es-MX"/>
        </w:rPr>
        <w:t xml:space="preserve">a </w:t>
      </w:r>
      <w:r w:rsidRPr="0036396B">
        <w:rPr>
          <w:lang w:val="es-MX"/>
        </w:rPr>
        <w:t>log-retornos diarios de cada activo</w:t>
      </w:r>
      <w:r w:rsidRPr="74A986DC">
        <w:rPr>
          <w:lang w:val="es-MX"/>
        </w:rPr>
        <w:t xml:space="preserve">, los cuales se utilizan específicamente por su propiedad aditiva para el rendimiento del portafolio y su log-normalidad. </w:t>
      </w:r>
      <w:r>
        <w:rPr>
          <w:lang w:val="es-MX"/>
        </w:rPr>
        <w:t>Cabe mencionar que no se usaron</w:t>
      </w:r>
      <w:r w:rsidRPr="74A986DC">
        <w:rPr>
          <w:lang w:val="es-MX"/>
        </w:rPr>
        <w:t xml:space="preserve"> precios de cierre</w:t>
      </w:r>
      <w:r w:rsidRPr="0036396B">
        <w:rPr>
          <w:lang w:val="es-MX"/>
        </w:rPr>
        <w:t xml:space="preserve"> para estacionariedad </w:t>
      </w:r>
      <w:r w:rsidRPr="74A986DC">
        <w:rPr>
          <w:lang w:val="es-MX"/>
        </w:rPr>
        <w:t>de</w:t>
      </w:r>
      <w:r w:rsidRPr="0036396B">
        <w:rPr>
          <w:lang w:val="es-MX"/>
        </w:rPr>
        <w:t xml:space="preserve"> las series temporale</w:t>
      </w:r>
      <w:r w:rsidR="00EF5A17">
        <w:rPr>
          <w:lang w:val="es-MX"/>
        </w:rPr>
        <w:t xml:space="preserve">s, que se </w:t>
      </w:r>
      <w:r>
        <w:rPr>
          <w:lang w:val="es-MX"/>
        </w:rPr>
        <w:t xml:space="preserve">confirmó con </w:t>
      </w:r>
      <w:proofErr w:type="spellStart"/>
      <w:r w:rsidR="00EF5A17" w:rsidRPr="00EF5A17">
        <w:rPr>
          <w:lang w:val="es-MX"/>
        </w:rPr>
        <w:t>Augmented</w:t>
      </w:r>
      <w:proofErr w:type="spellEnd"/>
      <w:r w:rsidR="00EF5A17" w:rsidRPr="00EF5A17">
        <w:rPr>
          <w:lang w:val="es-MX"/>
        </w:rPr>
        <w:t xml:space="preserve"> </w:t>
      </w:r>
      <w:proofErr w:type="spellStart"/>
      <w:r w:rsidR="00EF5A17" w:rsidRPr="00EF5A17">
        <w:rPr>
          <w:lang w:val="es-MX"/>
        </w:rPr>
        <w:t>Dickey</w:t>
      </w:r>
      <w:proofErr w:type="spellEnd"/>
      <w:r w:rsidR="00EF5A17" w:rsidRPr="00EF5A17">
        <w:rPr>
          <w:lang w:val="es-MX"/>
        </w:rPr>
        <w:t>-Fuller</w:t>
      </w:r>
      <w:r w:rsidR="00EF5A17">
        <w:rPr>
          <w:lang w:val="es-MX"/>
        </w:rPr>
        <w:t xml:space="preserve"> para que luego </w:t>
      </w:r>
      <w:r>
        <w:rPr>
          <w:lang w:val="es-MX"/>
        </w:rPr>
        <w:t>la correlación</w:t>
      </w:r>
      <w:r w:rsidR="00EF5A17">
        <w:rPr>
          <w:lang w:val="es-MX"/>
        </w:rPr>
        <w:t xml:space="preserve"> de Pearson</w:t>
      </w:r>
      <w:r>
        <w:rPr>
          <w:lang w:val="es-MX"/>
        </w:rPr>
        <w:t xml:space="preserve"> fuera</w:t>
      </w:r>
      <w:r w:rsidR="00EF5A17">
        <w:rPr>
          <w:lang w:val="es-MX"/>
        </w:rPr>
        <w:t xml:space="preserve"> </w:t>
      </w:r>
      <w:r w:rsidR="00EF5A17" w:rsidRPr="00EF5A17">
        <w:rPr>
          <w:lang w:val="es-MX"/>
        </w:rPr>
        <w:t>robusta y respaldada teóricamente</w:t>
      </w:r>
      <w:r w:rsidRPr="74A986DC">
        <w:rPr>
          <w:lang w:val="es-MX"/>
        </w:rPr>
        <w:t xml:space="preserve">. </w:t>
      </w:r>
      <w:r w:rsidR="00EF5A17">
        <w:rPr>
          <w:lang w:val="es-MX"/>
        </w:rPr>
        <w:t xml:space="preserve">El </w:t>
      </w:r>
      <w:r w:rsidRPr="0036396B">
        <w:rPr>
          <w:lang w:val="es-MX"/>
        </w:rPr>
        <w:t>coeficiente de correlación de Pearson</w:t>
      </w:r>
      <w:r w:rsidR="00EF5A17">
        <w:rPr>
          <w:lang w:val="es-MX"/>
        </w:rPr>
        <w:t xml:space="preserve"> </w:t>
      </w:r>
      <w:r w:rsidRPr="0036396B">
        <w:rPr>
          <w:lang w:val="es-MX"/>
        </w:rPr>
        <w:t>mide la fuerza de las relaciones lineales</w:t>
      </w:r>
      <w:r>
        <w:rPr>
          <w:lang w:val="es-MX"/>
        </w:rPr>
        <w:t xml:space="preserve">. </w:t>
      </w:r>
      <w:r w:rsidRPr="74A986DC">
        <w:rPr>
          <w:lang w:val="es-MX"/>
        </w:rPr>
        <w:t>Fue observado</w:t>
      </w:r>
      <w:r>
        <w:rPr>
          <w:lang w:val="es-MX"/>
        </w:rPr>
        <w:t xml:space="preserve"> que TON, DAI y LEO son las únicas </w:t>
      </w:r>
      <w:r w:rsidRPr="74A986DC">
        <w:rPr>
          <w:lang w:val="es-MX"/>
        </w:rPr>
        <w:t xml:space="preserve">criptomonedas </w:t>
      </w:r>
      <w:r>
        <w:rPr>
          <w:lang w:val="es-MX"/>
        </w:rPr>
        <w:t xml:space="preserve">que no </w:t>
      </w:r>
      <w:r w:rsidRPr="00315777">
        <w:rPr>
          <w:lang w:val="es-MX"/>
        </w:rPr>
        <w:t>muestran</w:t>
      </w:r>
      <w:r>
        <w:rPr>
          <w:lang w:val="es-MX"/>
        </w:rPr>
        <w:t xml:space="preserve"> correlación con el resto</w:t>
      </w:r>
      <w:r w:rsidRPr="74A986DC">
        <w:rPr>
          <w:lang w:val="es-MX"/>
        </w:rPr>
        <w:t>. Además</w:t>
      </w:r>
      <w:r w:rsidR="00A8177E">
        <w:rPr>
          <w:lang w:val="es-MX"/>
        </w:rPr>
        <w:t>,</w:t>
      </w:r>
      <w:r w:rsidRPr="74A986DC">
        <w:rPr>
          <w:lang w:val="es-MX"/>
        </w:rPr>
        <w:t xml:space="preserve"> es destacable </w:t>
      </w:r>
      <w:r>
        <w:rPr>
          <w:lang w:val="es-MX"/>
        </w:rPr>
        <w:t xml:space="preserve">que las </w:t>
      </w:r>
      <w:r w:rsidRPr="74A986DC">
        <w:rPr>
          <w:lang w:val="es-MX"/>
        </w:rPr>
        <w:t xml:space="preserve">criptomonedas </w:t>
      </w:r>
      <w:r>
        <w:rPr>
          <w:lang w:val="es-MX"/>
        </w:rPr>
        <w:t xml:space="preserve">más </w:t>
      </w:r>
      <w:r w:rsidRPr="74A986DC">
        <w:rPr>
          <w:lang w:val="es-MX"/>
        </w:rPr>
        <w:t>similares, con la correlación más alta,</w:t>
      </w:r>
      <w:r w:rsidR="00EF5A17">
        <w:rPr>
          <w:lang w:val="es-MX"/>
        </w:rPr>
        <w:t xml:space="preserve"> </w:t>
      </w:r>
      <w:r>
        <w:rPr>
          <w:lang w:val="es-MX"/>
        </w:rPr>
        <w:t>son ETH y WSTETH.</w:t>
      </w:r>
      <w:r w:rsidR="00A8177E">
        <w:rPr>
          <w:lang w:val="es-MX"/>
        </w:rPr>
        <w:t xml:space="preserve"> También es interesante notar que no existen correlaciones negativas.</w:t>
      </w:r>
      <w:r>
        <w:rPr>
          <w:lang w:val="es-MX"/>
        </w:rPr>
        <w:t xml:space="preserve"> </w:t>
      </w:r>
    </w:p>
    <w:p w14:paraId="12699489" w14:textId="77777777" w:rsidR="007B68F0" w:rsidRPr="007B18A1" w:rsidRDefault="007B68F0" w:rsidP="00293A24">
      <w:pPr>
        <w:widowControl w:val="0"/>
        <w:pBdr>
          <w:top w:val="nil"/>
          <w:left w:val="nil"/>
          <w:bottom w:val="nil"/>
          <w:right w:val="nil"/>
          <w:between w:val="nil"/>
        </w:pBdr>
        <w:spacing w:line="252" w:lineRule="auto"/>
        <w:ind w:firstLine="0"/>
        <w:rPr>
          <w:lang w:val="es-MX"/>
        </w:rPr>
      </w:pPr>
    </w:p>
    <w:p w14:paraId="7C2C2539" w14:textId="2742E3F9" w:rsidR="00293A24" w:rsidRDefault="00315777" w:rsidP="00293A24">
      <w:pPr>
        <w:widowControl w:val="0"/>
        <w:pBdr>
          <w:top w:val="nil"/>
          <w:left w:val="nil"/>
          <w:bottom w:val="nil"/>
          <w:right w:val="nil"/>
          <w:between w:val="nil"/>
        </w:pBdr>
        <w:spacing w:line="252" w:lineRule="auto"/>
        <w:ind w:firstLine="0"/>
        <w:rPr>
          <w:lang w:val="es-MX"/>
        </w:rPr>
      </w:pPr>
      <w:r>
        <w:rPr>
          <w:noProof/>
        </w:rPr>
        <mc:AlternateContent>
          <mc:Choice Requires="wps">
            <w:drawing>
              <wp:anchor distT="0" distB="0" distL="114300" distR="114300" simplePos="0" relativeHeight="251659264" behindDoc="0" locked="0" layoutInCell="1" allowOverlap="1" wp14:anchorId="4C307C35" wp14:editId="78995184">
                <wp:simplePos x="0" y="0"/>
                <wp:positionH relativeFrom="column">
                  <wp:posOffset>1439538</wp:posOffset>
                </wp:positionH>
                <wp:positionV relativeFrom="paragraph">
                  <wp:posOffset>524346</wp:posOffset>
                </wp:positionV>
                <wp:extent cx="271741" cy="454225"/>
                <wp:effectExtent l="0" t="0" r="0" b="3175"/>
                <wp:wrapNone/>
                <wp:docPr id="1205471274" name="Cuadro de texto 1"/>
                <wp:cNvGraphicFramePr/>
                <a:graphic xmlns:a="http://schemas.openxmlformats.org/drawingml/2006/main">
                  <a:graphicData uri="http://schemas.microsoft.com/office/word/2010/wordprocessingShape">
                    <wps:wsp>
                      <wps:cNvSpPr txBox="1"/>
                      <wps:spPr>
                        <a:xfrm>
                          <a:off x="0" y="0"/>
                          <a:ext cx="271741" cy="454225"/>
                        </a:xfrm>
                        <a:prstGeom prst="rect">
                          <a:avLst/>
                        </a:prstGeom>
                        <a:noFill/>
                        <a:ln w="6350">
                          <a:noFill/>
                        </a:ln>
                      </wps:spPr>
                      <wps:txbx>
                        <w:txbxContent>
                          <w:p w14:paraId="0372E1D6" w14:textId="0A4BD9C5" w:rsidR="00315777" w:rsidRPr="00315777" w:rsidRDefault="00315777">
                            <w:pPr>
                              <w:rPr>
                                <w:rFonts w:asciiTheme="minorHAnsi" w:hAnsiTheme="minorHAnsi" w:cstheme="minorHAnsi"/>
                                <w:sz w:val="8"/>
                                <w:szCs w:val="8"/>
                                <w:lang w:val="es-MX"/>
                              </w:rPr>
                            </w:pPr>
                            <w:r>
                              <w:rPr>
                                <w:rFonts w:asciiTheme="minorHAnsi" w:hAnsiTheme="minorHAnsi" w:cstheme="minorHAnsi"/>
                                <w:sz w:val="8"/>
                                <w:szCs w:val="8"/>
                                <w:lang w:val="es-MX"/>
                              </w:rPr>
                              <w:t>C</w:t>
                            </w:r>
                            <w:r w:rsidRPr="00315777">
                              <w:rPr>
                                <w:rFonts w:asciiTheme="minorHAnsi" w:hAnsiTheme="minorHAnsi" w:cstheme="minorHAnsi"/>
                                <w:sz w:val="8"/>
                                <w:szCs w:val="8"/>
                                <w:lang w:val="es-MX"/>
                              </w:rPr>
                              <w:t>orrelación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307C35" id="_x0000_t202" coordsize="21600,21600" o:spt="202" path="m,l,21600r21600,l21600,xe">
                <v:stroke joinstyle="miter"/>
                <v:path gradientshapeok="t" o:connecttype="rect"/>
              </v:shapetype>
              <v:shape id="Cuadro de texto 1" o:spid="_x0000_s1026" type="#_x0000_t202" style="position:absolute;left:0;text-align:left;margin-left:113.35pt;margin-top:41.3pt;width:21.4pt;height:3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" filled="f" stroked="f" strokeweight=".5pt">
                <v:textbox style="layout-flow:vertical">
                  <w:txbxContent>
                    <w:p w14:paraId="0372E1D6" w14:textId="0A4BD9C5" w:rsidR="00315777" w:rsidRPr="00315777" w:rsidRDefault="00315777">
                      <w:pPr>
                        <w:rPr>
                          <w:rFonts w:asciiTheme="minorHAnsi" w:hAnsiTheme="minorHAnsi" w:cstheme="minorHAnsi"/>
                          <w:sz w:val="8"/>
                          <w:szCs w:val="8"/>
                          <w:lang w:val="es-MX"/>
                        </w:rPr>
                      </w:pPr>
                      <w:r>
                        <w:rPr>
                          <w:rFonts w:asciiTheme="minorHAnsi" w:hAnsiTheme="minorHAnsi" w:cstheme="minorHAnsi"/>
                          <w:sz w:val="8"/>
                          <w:szCs w:val="8"/>
                          <w:lang w:val="es-MX"/>
                        </w:rPr>
                        <w:t>C</w:t>
                      </w:r>
                      <w:r w:rsidRPr="00315777">
                        <w:rPr>
                          <w:rFonts w:asciiTheme="minorHAnsi" w:hAnsiTheme="minorHAnsi" w:cstheme="minorHAnsi"/>
                          <w:sz w:val="8"/>
                          <w:szCs w:val="8"/>
                          <w:lang w:val="es-MX"/>
                        </w:rPr>
                        <w:t>orrelación</w:t>
                      </w:r>
                    </w:p>
                  </w:txbxContent>
                </v:textbox>
              </v:shape>
            </w:pict>
          </mc:Fallback>
        </mc:AlternateContent>
      </w:r>
      <w:r w:rsidR="00293A24">
        <w:rPr>
          <w:noProof/>
        </w:rPr>
        <w:drawing>
          <wp:inline distT="0" distB="0" distL="0" distR="0" wp14:anchorId="0EF83C53" wp14:editId="4A794E6E">
            <wp:extent cx="1798396" cy="1645920"/>
            <wp:effectExtent l="0" t="0" r="0" b="0"/>
            <wp:docPr id="76869644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9644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798396" cy="1645920"/>
                    </a:xfrm>
                    <a:prstGeom prst="rect">
                      <a:avLst/>
                    </a:prstGeom>
                  </pic:spPr>
                </pic:pic>
              </a:graphicData>
            </a:graphic>
          </wp:inline>
        </w:drawing>
      </w:r>
    </w:p>
    <w:p w14:paraId="449CF311" w14:textId="77777777" w:rsidR="00293A24" w:rsidRDefault="00293A24" w:rsidP="00293A24">
      <w:pPr>
        <w:widowControl w:val="0"/>
        <w:pBdr>
          <w:top w:val="nil"/>
          <w:left w:val="nil"/>
          <w:bottom w:val="nil"/>
          <w:right w:val="nil"/>
          <w:between w:val="nil"/>
        </w:pBdr>
        <w:spacing w:line="252" w:lineRule="auto"/>
        <w:ind w:firstLine="0"/>
        <w:rPr>
          <w:lang w:val="es-MX"/>
        </w:rPr>
      </w:pPr>
      <w:r w:rsidRPr="00A8177E">
        <w:rPr>
          <w:b/>
          <w:bCs/>
          <w:lang w:val="es-MX"/>
        </w:rPr>
        <w:t>Fig. 1.</w:t>
      </w:r>
      <w:r>
        <w:rPr>
          <w:lang w:val="es-MX"/>
        </w:rPr>
        <w:t xml:space="preserve"> Matriz de Correlación de Pearson</w:t>
      </w:r>
    </w:p>
    <w:p w14:paraId="5425BAA7" w14:textId="77777777" w:rsidR="00293A24" w:rsidRDefault="00293A24" w:rsidP="00293A24">
      <w:pPr>
        <w:pStyle w:val="Ttulo1"/>
        <w:rPr>
          <w:lang w:val="es-MX"/>
        </w:rPr>
      </w:pPr>
      <w:r w:rsidRPr="0035287C">
        <w:rPr>
          <w:lang w:val="es-MX"/>
        </w:rPr>
        <w:t>I</w:t>
      </w:r>
      <w:r>
        <w:rPr>
          <w:lang w:val="es-MX"/>
        </w:rPr>
        <w:t>II</w:t>
      </w:r>
      <w:r w:rsidRPr="0035287C">
        <w:rPr>
          <w:lang w:val="es-MX"/>
        </w:rPr>
        <w:t xml:space="preserve">. </w:t>
      </w:r>
      <w:r>
        <w:rPr>
          <w:lang w:val="es-MX"/>
        </w:rPr>
        <w:t xml:space="preserve">Creación de </w:t>
      </w:r>
      <w:proofErr w:type="spellStart"/>
      <w:r>
        <w:rPr>
          <w:lang w:val="es-MX"/>
        </w:rPr>
        <w:t>Pseudo-métrica</w:t>
      </w:r>
      <w:proofErr w:type="spellEnd"/>
    </w:p>
    <w:p w14:paraId="46766C96" w14:textId="49A62945" w:rsidR="00293A24" w:rsidRDefault="00EF5A17" w:rsidP="007B68F0">
      <w:pPr>
        <w:widowControl w:val="0"/>
        <w:pBdr>
          <w:top w:val="nil"/>
          <w:left w:val="nil"/>
          <w:bottom w:val="nil"/>
          <w:right w:val="nil"/>
          <w:between w:val="nil"/>
        </w:pBdr>
        <w:spacing w:line="252" w:lineRule="auto"/>
        <w:rPr>
          <w:lang w:val="es-MX"/>
        </w:rPr>
      </w:pPr>
      <w:r>
        <w:rPr>
          <w:lang w:val="es-MX"/>
        </w:rPr>
        <w:t>Antes de llevarla a un grafo, s</w:t>
      </w:r>
      <w:r w:rsidR="00293A24" w:rsidRPr="74A986DC">
        <w:rPr>
          <w:lang w:val="es-MX"/>
        </w:rPr>
        <w:t xml:space="preserve">e creó la </w:t>
      </w:r>
      <w:proofErr w:type="spellStart"/>
      <w:r w:rsidR="00293A24" w:rsidRPr="74A986DC">
        <w:rPr>
          <w:lang w:val="es-MX"/>
        </w:rPr>
        <w:t>pseudo</w:t>
      </w:r>
      <w:r w:rsidR="00293A24">
        <w:rPr>
          <w:lang w:val="es-MX"/>
        </w:rPr>
        <w:t>-</w:t>
      </w:r>
      <w:r w:rsidR="00293A24" w:rsidRPr="74A986DC">
        <w:rPr>
          <w:lang w:val="es-MX"/>
        </w:rPr>
        <w:t>métrica</w:t>
      </w:r>
      <w:proofErr w:type="spellEnd"/>
      <w:r w:rsidR="00293A24" w:rsidRPr="74A986DC">
        <w:rPr>
          <w:lang w:val="es-MX"/>
        </w:rPr>
        <w:t xml:space="preserve"> </w:t>
      </w:r>
      <w:r w:rsidR="00293A24">
        <w:rPr>
          <w:lang w:val="es-MX"/>
        </w:rPr>
        <w:t xml:space="preserve">de disimilitud </w:t>
      </w:r>
      <w:r w:rsidR="00293A24" w:rsidRPr="74A986DC">
        <w:rPr>
          <w:lang w:val="es-MX"/>
        </w:rPr>
        <w:t>que mide qué tan parecida</w:t>
      </w:r>
      <w:r>
        <w:rPr>
          <w:lang w:val="es-MX"/>
        </w:rPr>
        <w:t xml:space="preserve">s son dos </w:t>
      </w:r>
      <w:r w:rsidR="00293A24" w:rsidRPr="74A986DC">
        <w:rPr>
          <w:lang w:val="es-MX"/>
        </w:rPr>
        <w:t>serie</w:t>
      </w:r>
      <w:r>
        <w:rPr>
          <w:lang w:val="es-MX"/>
        </w:rPr>
        <w:t xml:space="preserve">s </w:t>
      </w:r>
      <w:r w:rsidR="00293A24" w:rsidRPr="74A986DC">
        <w:rPr>
          <w:lang w:val="es-MX"/>
        </w:rPr>
        <w:t xml:space="preserve">de tiempo utilizando </w:t>
      </w:r>
      <m:oMath>
        <m:r>
          <w:rPr>
            <w:rFonts w:ascii="Cambria Math" w:hAnsi="Cambria Math"/>
            <w:lang w:val="es-MX"/>
          </w:rPr>
          <m:t xml:space="preserve">1- </m:t>
        </m:r>
        <m:r>
          <m:rPr>
            <m:nor/>
          </m:rPr>
          <w:rPr>
            <w:rFonts w:ascii="Cambria Math" w:hAnsi="Cambria Math"/>
            <w:lang w:val="es-MX"/>
          </w:rPr>
          <m:t>|correlación|</m:t>
        </m:r>
      </m:oMath>
      <w:r>
        <w:rPr>
          <w:lang w:val="es-MX"/>
        </w:rPr>
        <w:t xml:space="preserve">. </w:t>
      </w:r>
      <w:r w:rsidR="00293A24" w:rsidRPr="74A986DC">
        <w:rPr>
          <w:lang w:val="es-MX"/>
        </w:rPr>
        <w:t xml:space="preserve">La implementación de esta </w:t>
      </w:r>
      <w:proofErr w:type="spellStart"/>
      <w:r w:rsidR="00293A24" w:rsidRPr="74A986DC">
        <w:rPr>
          <w:lang w:val="es-MX"/>
        </w:rPr>
        <w:t>pseudo</w:t>
      </w:r>
      <w:r>
        <w:rPr>
          <w:lang w:val="es-MX"/>
        </w:rPr>
        <w:t>-</w:t>
      </w:r>
      <w:r w:rsidR="00293A24" w:rsidRPr="74A986DC">
        <w:rPr>
          <w:lang w:val="es-MX"/>
        </w:rPr>
        <w:t>métrica</w:t>
      </w:r>
      <w:proofErr w:type="spellEnd"/>
      <w:r w:rsidR="00293A24" w:rsidRPr="74A986DC">
        <w:rPr>
          <w:lang w:val="es-MX"/>
        </w:rPr>
        <w:t xml:space="preserve"> hace que las series más similares</w:t>
      </w:r>
      <w:r>
        <w:rPr>
          <w:lang w:val="es-MX"/>
        </w:rPr>
        <w:t xml:space="preserve"> estén cercanas (con una “distancia” </w:t>
      </w:r>
      <w:proofErr w:type="spellStart"/>
      <w:r>
        <w:rPr>
          <w:lang w:val="es-MX"/>
        </w:rPr>
        <w:t>cerana</w:t>
      </w:r>
      <w:proofErr w:type="spellEnd"/>
      <w:r>
        <w:rPr>
          <w:lang w:val="es-MX"/>
        </w:rPr>
        <w:t xml:space="preserve"> a cero)</w:t>
      </w:r>
      <w:r w:rsidR="00293A24" w:rsidRPr="74A986DC">
        <w:rPr>
          <w:lang w:val="es-MX"/>
        </w:rPr>
        <w:t xml:space="preserve">, mientras que las </w:t>
      </w:r>
      <w:r>
        <w:rPr>
          <w:lang w:val="es-MX"/>
        </w:rPr>
        <w:t xml:space="preserve">menos parecidas estén </w:t>
      </w:r>
      <w:r w:rsidR="00293A24" w:rsidRPr="74A986DC">
        <w:rPr>
          <w:lang w:val="es-MX"/>
        </w:rPr>
        <w:t xml:space="preserve">alejadas </w:t>
      </w:r>
      <w:r>
        <w:rPr>
          <w:lang w:val="es-MX"/>
        </w:rPr>
        <w:t>(</w:t>
      </w:r>
      <w:r w:rsidR="00293A24" w:rsidRPr="74A986DC">
        <w:rPr>
          <w:lang w:val="es-MX"/>
        </w:rPr>
        <w:t>tengan una "distancia" cercana a 1</w:t>
      </w:r>
      <w:r>
        <w:rPr>
          <w:lang w:val="es-MX"/>
        </w:rPr>
        <w:t>).</w:t>
      </w:r>
      <w:r w:rsidR="00293A24" w:rsidRPr="74A986DC">
        <w:rPr>
          <w:lang w:val="es-MX"/>
        </w:rPr>
        <w:t xml:space="preserve"> Por lo tanto, esta</w:t>
      </w:r>
      <w:r>
        <w:rPr>
          <w:lang w:val="es-MX"/>
        </w:rPr>
        <w:t xml:space="preserve"> </w:t>
      </w:r>
      <w:proofErr w:type="spellStart"/>
      <w:r>
        <w:rPr>
          <w:lang w:val="es-MX"/>
        </w:rPr>
        <w:t>pseudo-métrica</w:t>
      </w:r>
      <w:proofErr w:type="spellEnd"/>
      <w:r w:rsidR="00293A24" w:rsidRPr="74A986DC">
        <w:rPr>
          <w:lang w:val="es-MX"/>
        </w:rPr>
        <w:t xml:space="preserve"> está comprendida entre 0 y 1. </w:t>
      </w:r>
      <w:r>
        <w:rPr>
          <w:lang w:val="es-MX"/>
        </w:rPr>
        <w:t xml:space="preserve">Se puede observar </w:t>
      </w:r>
      <w:r w:rsidR="00293A24" w:rsidRPr="74A986DC">
        <w:rPr>
          <w:lang w:val="es-MX"/>
        </w:rPr>
        <w:t>que ETH y WSTETH son muy similares, ya que su distancia es de 0.01.</w:t>
      </w:r>
    </w:p>
    <w:p w14:paraId="3ABA470A" w14:textId="77777777" w:rsidR="007B68F0" w:rsidRDefault="007B68F0" w:rsidP="00293A24">
      <w:pPr>
        <w:widowControl w:val="0"/>
        <w:pBdr>
          <w:top w:val="nil"/>
          <w:left w:val="nil"/>
          <w:bottom w:val="nil"/>
          <w:right w:val="nil"/>
          <w:between w:val="nil"/>
        </w:pBdr>
        <w:spacing w:line="252" w:lineRule="auto"/>
        <w:ind w:firstLine="270"/>
        <w:rPr>
          <w:lang w:val="es-MX"/>
        </w:rPr>
      </w:pPr>
    </w:p>
    <w:p w14:paraId="4830A11D" w14:textId="1DA627A9" w:rsidR="00293A24" w:rsidRDefault="00315777" w:rsidP="00293A24">
      <w:pPr>
        <w:widowControl w:val="0"/>
        <w:pBdr>
          <w:top w:val="nil"/>
          <w:left w:val="nil"/>
          <w:bottom w:val="nil"/>
          <w:right w:val="nil"/>
          <w:between w:val="nil"/>
        </w:pBdr>
        <w:spacing w:line="252" w:lineRule="auto"/>
        <w:rPr>
          <w:lang w:val="es-MX"/>
        </w:rPr>
      </w:pPr>
      <w:r>
        <w:rPr>
          <w:noProof/>
        </w:rPr>
        <mc:AlternateContent>
          <mc:Choice Requires="wps">
            <w:drawing>
              <wp:anchor distT="0" distB="0" distL="114300" distR="114300" simplePos="0" relativeHeight="251661312" behindDoc="0" locked="0" layoutInCell="1" allowOverlap="1" wp14:anchorId="0A4C3565" wp14:editId="3637598C">
                <wp:simplePos x="0" y="0"/>
                <wp:positionH relativeFrom="column">
                  <wp:posOffset>1531273</wp:posOffset>
                </wp:positionH>
                <wp:positionV relativeFrom="paragraph">
                  <wp:posOffset>610287</wp:posOffset>
                </wp:positionV>
                <wp:extent cx="271741" cy="454225"/>
                <wp:effectExtent l="0" t="0" r="0" b="3175"/>
                <wp:wrapNone/>
                <wp:docPr id="1597540642" name="Cuadro de texto 1"/>
                <wp:cNvGraphicFramePr/>
                <a:graphic xmlns:a="http://schemas.openxmlformats.org/drawingml/2006/main">
                  <a:graphicData uri="http://schemas.microsoft.com/office/word/2010/wordprocessingShape">
                    <wps:wsp>
                      <wps:cNvSpPr txBox="1"/>
                      <wps:spPr>
                        <a:xfrm>
                          <a:off x="0" y="0"/>
                          <a:ext cx="271741" cy="454225"/>
                        </a:xfrm>
                        <a:prstGeom prst="rect">
                          <a:avLst/>
                        </a:prstGeom>
                        <a:noFill/>
                        <a:ln w="6350">
                          <a:noFill/>
                        </a:ln>
                      </wps:spPr>
                      <wps:txbx>
                        <w:txbxContent>
                          <w:p w14:paraId="1BA027D4" w14:textId="1D6B238C" w:rsidR="00315777" w:rsidRPr="00315777" w:rsidRDefault="00315777" w:rsidP="00315777">
                            <w:pPr>
                              <w:rPr>
                                <w:rFonts w:asciiTheme="minorHAnsi" w:hAnsiTheme="minorHAnsi" w:cstheme="minorHAnsi"/>
                                <w:sz w:val="8"/>
                                <w:szCs w:val="8"/>
                                <w:lang w:val="es-MX"/>
                              </w:rPr>
                            </w:pPr>
                            <w:r>
                              <w:rPr>
                                <w:rFonts w:asciiTheme="minorHAnsi" w:hAnsiTheme="minorHAnsi" w:cstheme="minorHAnsi"/>
                                <w:sz w:val="8"/>
                                <w:szCs w:val="8"/>
                                <w:lang w:val="es-MX"/>
                              </w:rPr>
                              <w:t>Distancia</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C3565" id="_x0000_s1027" type="#_x0000_t202" style="position:absolute;left:0;text-align:left;margin-left:120.55pt;margin-top:48.05pt;width:21.4pt;height:3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" filled="f" stroked="f" strokeweight=".5pt">
                <v:textbox style="layout-flow:vertical">
                  <w:txbxContent>
                    <w:p w14:paraId="1BA027D4" w14:textId="1D6B238C" w:rsidR="00315777" w:rsidRPr="00315777" w:rsidRDefault="00315777" w:rsidP="00315777">
                      <w:pPr>
                        <w:rPr>
                          <w:rFonts w:asciiTheme="minorHAnsi" w:hAnsiTheme="minorHAnsi" w:cstheme="minorHAnsi"/>
                          <w:sz w:val="8"/>
                          <w:szCs w:val="8"/>
                          <w:lang w:val="es-MX"/>
                        </w:rPr>
                      </w:pPr>
                      <w:r>
                        <w:rPr>
                          <w:rFonts w:asciiTheme="minorHAnsi" w:hAnsiTheme="minorHAnsi" w:cstheme="minorHAnsi"/>
                          <w:sz w:val="8"/>
                          <w:szCs w:val="8"/>
                          <w:lang w:val="es-MX"/>
                        </w:rPr>
                        <w:t>Distancia</w:t>
                      </w:r>
                    </w:p>
                  </w:txbxContent>
                </v:textbox>
              </v:shape>
            </w:pict>
          </mc:Fallback>
        </mc:AlternateContent>
      </w:r>
      <w:r w:rsidR="00293A24">
        <w:rPr>
          <w:noProof/>
        </w:rPr>
        <w:drawing>
          <wp:inline distT="0" distB="0" distL="0" distR="0" wp14:anchorId="7A01AA42" wp14:editId="7B9AAA33">
            <wp:extent cx="1759734" cy="1645920"/>
            <wp:effectExtent l="0" t="0" r="0" b="0"/>
            <wp:docPr id="198064999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999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759734" cy="1645920"/>
                    </a:xfrm>
                    <a:prstGeom prst="rect">
                      <a:avLst/>
                    </a:prstGeom>
                  </pic:spPr>
                </pic:pic>
              </a:graphicData>
            </a:graphic>
          </wp:inline>
        </w:drawing>
      </w:r>
    </w:p>
    <w:p w14:paraId="0CA1C196" w14:textId="77777777" w:rsidR="00293A24" w:rsidRDefault="00293A24" w:rsidP="00293A24">
      <w:pPr>
        <w:widowControl w:val="0"/>
        <w:pBdr>
          <w:top w:val="nil"/>
          <w:left w:val="nil"/>
          <w:bottom w:val="nil"/>
          <w:right w:val="nil"/>
          <w:between w:val="nil"/>
        </w:pBdr>
        <w:spacing w:line="252" w:lineRule="auto"/>
        <w:rPr>
          <w:lang w:val="es-MX"/>
        </w:rPr>
      </w:pPr>
      <w:r w:rsidRPr="00A8177E">
        <w:rPr>
          <w:b/>
          <w:bCs/>
          <w:lang w:val="es-MX"/>
        </w:rPr>
        <w:t>Fig. 2.</w:t>
      </w:r>
      <w:r>
        <w:rPr>
          <w:lang w:val="es-MX"/>
        </w:rPr>
        <w:t xml:space="preserve"> Uno menos el valor absoluto de la correlación lineal</w:t>
      </w:r>
    </w:p>
    <w:p w14:paraId="348C481F" w14:textId="77777777" w:rsidR="00293A24" w:rsidRDefault="00293A24" w:rsidP="00293A24">
      <w:pPr>
        <w:pStyle w:val="Ttulo1"/>
        <w:rPr>
          <w:lang w:val="es-MX"/>
        </w:rPr>
      </w:pPr>
      <w:r w:rsidRPr="74A986DC">
        <w:rPr>
          <w:lang w:val="es-MX"/>
        </w:rPr>
        <w:t>IV</w:t>
      </w:r>
      <w:r w:rsidRPr="0035287C">
        <w:rPr>
          <w:lang w:val="es-MX"/>
        </w:rPr>
        <w:t xml:space="preserve">. </w:t>
      </w:r>
      <w:r>
        <w:rPr>
          <w:lang w:val="es-MX"/>
        </w:rPr>
        <w:t>Grafo</w:t>
      </w:r>
    </w:p>
    <w:p w14:paraId="456567F5" w14:textId="375F900E" w:rsidR="007B68F0" w:rsidRDefault="00293A24" w:rsidP="007B68F0">
      <w:pPr>
        <w:widowControl w:val="0"/>
        <w:pBdr>
          <w:top w:val="nil"/>
          <w:left w:val="nil"/>
          <w:bottom w:val="nil"/>
          <w:right w:val="nil"/>
          <w:between w:val="nil"/>
        </w:pBdr>
        <w:spacing w:line="252" w:lineRule="auto"/>
        <w:rPr>
          <w:lang w:val="es-MX"/>
        </w:rPr>
      </w:pPr>
      <w:r w:rsidRPr="74A986DC">
        <w:rPr>
          <w:lang w:val="es-MX"/>
        </w:rPr>
        <w:t xml:space="preserve">Finalmente, se </w:t>
      </w:r>
      <w:proofErr w:type="spellStart"/>
      <w:r w:rsidRPr="007B68F0">
        <w:t>usó</w:t>
      </w:r>
      <w:proofErr w:type="spellEnd"/>
      <w:r w:rsidRPr="007B68F0">
        <w:t xml:space="preserve"> </w:t>
      </w:r>
      <w:proofErr w:type="spellStart"/>
      <w:r w:rsidRPr="007B68F0">
        <w:t>el</w:t>
      </w:r>
      <w:proofErr w:type="spellEnd"/>
      <w:r w:rsidRPr="007B68F0">
        <w:t xml:space="preserve"> Kamada-Kawai Layout, </w:t>
      </w:r>
      <w:proofErr w:type="spellStart"/>
      <w:r w:rsidRPr="007B68F0">
        <w:t>basado</w:t>
      </w:r>
      <w:proofErr w:type="spellEnd"/>
      <w:r w:rsidRPr="007B68F0">
        <w:t xml:space="preserve"> </w:t>
      </w:r>
      <w:proofErr w:type="spellStart"/>
      <w:r w:rsidRPr="007B68F0">
        <w:t>en</w:t>
      </w:r>
      <w:proofErr w:type="spellEnd"/>
      <w:r w:rsidRPr="007B68F0">
        <w:t xml:space="preserve"> la idea de que </w:t>
      </w:r>
      <w:proofErr w:type="spellStart"/>
      <w:r w:rsidRPr="007B68F0">
        <w:t>los</w:t>
      </w:r>
      <w:proofErr w:type="spellEnd"/>
      <w:r w:rsidRPr="007B68F0">
        <w:t xml:space="preserve"> enlaces </w:t>
      </w:r>
      <w:proofErr w:type="spellStart"/>
      <w:r w:rsidRPr="007B68F0">
        <w:t>actúan</w:t>
      </w:r>
      <w:proofErr w:type="spellEnd"/>
      <w:r w:rsidRPr="007B68F0">
        <w:t xml:space="preserve"> </w:t>
      </w:r>
      <w:proofErr w:type="spellStart"/>
      <w:r w:rsidRPr="007B68F0">
        <w:t>como</w:t>
      </w:r>
      <w:proofErr w:type="spellEnd"/>
      <w:r w:rsidRPr="007B68F0">
        <w:t xml:space="preserve"> </w:t>
      </w:r>
      <w:proofErr w:type="spellStart"/>
      <w:r w:rsidRPr="007B68F0">
        <w:t>muelles</w:t>
      </w:r>
      <w:proofErr w:type="spellEnd"/>
      <w:r w:rsidRPr="007B68F0">
        <w:t xml:space="preserve"> que </w:t>
      </w:r>
      <w:proofErr w:type="spellStart"/>
      <w:r w:rsidRPr="007B68F0">
        <w:t>ejercen</w:t>
      </w:r>
      <w:proofErr w:type="spellEnd"/>
      <w:r w:rsidRPr="007B68F0">
        <w:t xml:space="preserve"> </w:t>
      </w:r>
      <w:proofErr w:type="spellStart"/>
      <w:r w:rsidRPr="007B68F0">
        <w:t>fuerzas</w:t>
      </w:r>
      <w:proofErr w:type="spellEnd"/>
      <w:r w:rsidRPr="007B68F0">
        <w:t xml:space="preserve"> </w:t>
      </w:r>
      <w:proofErr w:type="spellStart"/>
      <w:r w:rsidRPr="007B68F0">
        <w:t>sobre</w:t>
      </w:r>
      <w:proofErr w:type="spellEnd"/>
      <w:r w:rsidRPr="007B68F0">
        <w:t xml:space="preserve"> </w:t>
      </w:r>
      <w:proofErr w:type="spellStart"/>
      <w:r w:rsidRPr="007B68F0">
        <w:t>los</w:t>
      </w:r>
      <w:proofErr w:type="spellEnd"/>
      <w:r w:rsidRPr="007B68F0">
        <w:t xml:space="preserve"> </w:t>
      </w:r>
      <w:proofErr w:type="spellStart"/>
      <w:r w:rsidRPr="007B68F0">
        <w:t>nodos</w:t>
      </w:r>
      <w:proofErr w:type="spellEnd"/>
      <w:r w:rsidRPr="007B68F0">
        <w:t xml:space="preserve"> que </w:t>
      </w:r>
      <w:proofErr w:type="spellStart"/>
      <w:r w:rsidRPr="007B68F0">
        <w:t>conectan</w:t>
      </w:r>
      <w:proofErr w:type="spellEnd"/>
      <w:r w:rsidRPr="007B68F0">
        <w:t xml:space="preserve">, </w:t>
      </w:r>
      <w:proofErr w:type="spellStart"/>
      <w:r w:rsidRPr="007B68F0">
        <w:t>en</w:t>
      </w:r>
      <w:proofErr w:type="spellEnd"/>
      <w:r w:rsidRPr="007B68F0">
        <w:t xml:space="preserve"> </w:t>
      </w:r>
      <w:proofErr w:type="spellStart"/>
      <w:r w:rsidRPr="007B68F0">
        <w:t>función</w:t>
      </w:r>
      <w:proofErr w:type="spellEnd"/>
      <w:r w:rsidRPr="007B68F0">
        <w:t xml:space="preserve"> de las </w:t>
      </w:r>
      <w:proofErr w:type="spellStart"/>
      <w:r w:rsidRPr="007B68F0">
        <w:t>distancias</w:t>
      </w:r>
      <w:proofErr w:type="spellEnd"/>
      <w:r w:rsidRPr="007B68F0">
        <w:t xml:space="preserve"> </w:t>
      </w:r>
      <w:proofErr w:type="spellStart"/>
      <w:r w:rsidRPr="007B68F0">
        <w:t>teóricas</w:t>
      </w:r>
      <w:proofErr w:type="spellEnd"/>
      <w:r w:rsidRPr="007B68F0">
        <w:t xml:space="preserve"> del </w:t>
      </w:r>
      <w:proofErr w:type="spellStart"/>
      <w:r w:rsidRPr="007B68F0">
        <w:t>grafo</w:t>
      </w:r>
      <w:proofErr w:type="spellEnd"/>
      <w:r w:rsidRPr="007B68F0">
        <w:t xml:space="preserve"> </w:t>
      </w:r>
      <w:proofErr w:type="spellStart"/>
      <w:r w:rsidRPr="007B68F0">
        <w:t>determinadas</w:t>
      </w:r>
      <w:proofErr w:type="spellEnd"/>
      <w:r w:rsidRPr="007B68F0">
        <w:t xml:space="preserve"> </w:t>
      </w:r>
      <w:proofErr w:type="spellStart"/>
      <w:r w:rsidRPr="007B68F0">
        <w:t>por</w:t>
      </w:r>
      <w:proofErr w:type="spellEnd"/>
      <w:r w:rsidRPr="007B68F0">
        <w:t xml:space="preserve"> </w:t>
      </w:r>
      <w:proofErr w:type="spellStart"/>
      <w:r w:rsidRPr="007B68F0">
        <w:t>los</w:t>
      </w:r>
      <w:proofErr w:type="spellEnd"/>
      <w:r w:rsidRPr="007B68F0">
        <w:t xml:space="preserve"> </w:t>
      </w:r>
      <w:proofErr w:type="spellStart"/>
      <w:r w:rsidRPr="007B68F0">
        <w:t>caminos</w:t>
      </w:r>
      <w:proofErr w:type="spellEnd"/>
      <w:r w:rsidRPr="007B68F0">
        <w:t xml:space="preserve"> </w:t>
      </w:r>
      <w:proofErr w:type="spellStart"/>
      <w:r w:rsidRPr="007B68F0">
        <w:t>geodésicos</w:t>
      </w:r>
      <w:proofErr w:type="spellEnd"/>
      <w:r w:rsidRPr="007B68F0">
        <w:t xml:space="preserve"> entre </w:t>
      </w:r>
      <w:proofErr w:type="spellStart"/>
      <w:r w:rsidRPr="007B68F0">
        <w:t>ellos</w:t>
      </w:r>
      <w:proofErr w:type="spellEnd"/>
      <w:r w:rsidRPr="007B68F0">
        <w:t xml:space="preserve">. De </w:t>
      </w:r>
      <w:proofErr w:type="spellStart"/>
      <w:r w:rsidRPr="007B68F0">
        <w:t>esta</w:t>
      </w:r>
      <w:proofErr w:type="spellEnd"/>
      <w:r w:rsidRPr="007B68F0">
        <w:t xml:space="preserve"> </w:t>
      </w:r>
      <w:proofErr w:type="spellStart"/>
      <w:r w:rsidRPr="007B68F0">
        <w:t>manera</w:t>
      </w:r>
      <w:proofErr w:type="spellEnd"/>
      <w:r w:rsidRPr="007B68F0">
        <w:t xml:space="preserve">, </w:t>
      </w:r>
      <w:proofErr w:type="spellStart"/>
      <w:r w:rsidRPr="007B68F0">
        <w:t>los</w:t>
      </w:r>
      <w:proofErr w:type="spellEnd"/>
      <w:r w:rsidRPr="007B68F0">
        <w:t xml:space="preserve"> </w:t>
      </w:r>
      <w:proofErr w:type="spellStart"/>
      <w:r w:rsidRPr="007B68F0">
        <w:t>muelles</w:t>
      </w:r>
      <w:proofErr w:type="spellEnd"/>
      <w:r w:rsidRPr="007B68F0">
        <w:t xml:space="preserve"> </w:t>
      </w:r>
      <w:proofErr w:type="spellStart"/>
      <w:r w:rsidRPr="007B68F0">
        <w:t>tienen</w:t>
      </w:r>
      <w:proofErr w:type="spellEnd"/>
      <w:r w:rsidRPr="007B68F0">
        <w:t xml:space="preserve"> </w:t>
      </w:r>
      <w:proofErr w:type="spellStart"/>
      <w:r w:rsidRPr="007B68F0">
        <w:t>fuerzas</w:t>
      </w:r>
      <w:proofErr w:type="spellEnd"/>
      <w:r w:rsidRPr="007B68F0">
        <w:t xml:space="preserve"> </w:t>
      </w:r>
      <w:proofErr w:type="spellStart"/>
      <w:r w:rsidRPr="007B68F0">
        <w:t>atractivas</w:t>
      </w:r>
      <w:proofErr w:type="spellEnd"/>
      <w:r w:rsidRPr="007B68F0">
        <w:t xml:space="preserve"> y </w:t>
      </w:r>
      <w:proofErr w:type="spellStart"/>
      <w:r w:rsidRPr="007B68F0">
        <w:t>repulsivas</w:t>
      </w:r>
      <w:proofErr w:type="spellEnd"/>
      <w:r w:rsidRPr="007B68F0">
        <w:t xml:space="preserve">. La </w:t>
      </w:r>
      <w:proofErr w:type="spellStart"/>
      <w:r w:rsidRPr="007B68F0">
        <w:t>implementación</w:t>
      </w:r>
      <w:proofErr w:type="spellEnd"/>
      <w:r w:rsidRPr="007B68F0">
        <w:t xml:space="preserve"> de </w:t>
      </w:r>
      <w:proofErr w:type="spellStart"/>
      <w:r w:rsidRPr="007B68F0">
        <w:t>este</w:t>
      </w:r>
      <w:proofErr w:type="spellEnd"/>
      <w:r w:rsidRPr="007B68F0">
        <w:t xml:space="preserve"> </w:t>
      </w:r>
      <w:proofErr w:type="spellStart"/>
      <w:r w:rsidRPr="007B68F0">
        <w:t>método</w:t>
      </w:r>
      <w:proofErr w:type="spellEnd"/>
      <w:r w:rsidRPr="007B68F0">
        <w:t xml:space="preserve"> </w:t>
      </w:r>
      <w:proofErr w:type="spellStart"/>
      <w:r w:rsidRPr="007B68F0">
        <w:t>permite</w:t>
      </w:r>
      <w:proofErr w:type="spellEnd"/>
      <w:r w:rsidRPr="007B68F0">
        <w:t xml:space="preserve"> </w:t>
      </w:r>
      <w:proofErr w:type="spellStart"/>
      <w:r w:rsidRPr="007B68F0">
        <w:t>mostrar</w:t>
      </w:r>
      <w:proofErr w:type="spellEnd"/>
      <w:r w:rsidRPr="007B68F0">
        <w:t xml:space="preserve"> </w:t>
      </w:r>
      <w:proofErr w:type="spellStart"/>
      <w:r w:rsidRPr="007B68F0">
        <w:t>más</w:t>
      </w:r>
      <w:proofErr w:type="spellEnd"/>
      <w:r w:rsidRPr="007B68F0">
        <w:t xml:space="preserve"> </w:t>
      </w:r>
      <w:proofErr w:type="spellStart"/>
      <w:r w:rsidRPr="007B68F0">
        <w:t>cercanas</w:t>
      </w:r>
      <w:proofErr w:type="spellEnd"/>
      <w:r w:rsidRPr="007B68F0">
        <w:t xml:space="preserve"> las </w:t>
      </w:r>
      <w:proofErr w:type="spellStart"/>
      <w:r w:rsidRPr="007B68F0">
        <w:t>criptomonedas</w:t>
      </w:r>
      <w:proofErr w:type="spellEnd"/>
      <w:r w:rsidRPr="007B68F0">
        <w:t xml:space="preserve"> que son </w:t>
      </w:r>
      <w:proofErr w:type="spellStart"/>
      <w:r w:rsidRPr="007B68F0">
        <w:t>más</w:t>
      </w:r>
      <w:proofErr w:type="spellEnd"/>
      <w:r w:rsidRPr="007B68F0">
        <w:t xml:space="preserve"> </w:t>
      </w:r>
      <w:proofErr w:type="spellStart"/>
      <w:r w:rsidRPr="007B68F0">
        <w:t>parecidas</w:t>
      </w:r>
      <w:proofErr w:type="spellEnd"/>
      <w:r w:rsidRPr="007B68F0">
        <w:t xml:space="preserve">, </w:t>
      </w:r>
      <w:proofErr w:type="spellStart"/>
      <w:r w:rsidRPr="007B68F0">
        <w:t>en</w:t>
      </w:r>
      <w:proofErr w:type="spellEnd"/>
      <w:r w:rsidRPr="007B68F0">
        <w:t xml:space="preserve"> </w:t>
      </w:r>
      <w:proofErr w:type="spellStart"/>
      <w:r w:rsidRPr="007B68F0">
        <w:t>términos</w:t>
      </w:r>
      <w:proofErr w:type="spellEnd"/>
      <w:r w:rsidRPr="007B68F0">
        <w:t xml:space="preserve"> de sus </w:t>
      </w:r>
      <w:proofErr w:type="spellStart"/>
      <w:r w:rsidRPr="007B68F0">
        <w:t>correlaciones</w:t>
      </w:r>
      <w:proofErr w:type="spellEnd"/>
      <w:r w:rsidRPr="007B68F0">
        <w:t xml:space="preserve"> </w:t>
      </w:r>
      <w:proofErr w:type="spellStart"/>
      <w:r w:rsidRPr="007B68F0">
        <w:t>lineales</w:t>
      </w:r>
      <w:proofErr w:type="spellEnd"/>
      <w:r w:rsidRPr="007B68F0">
        <w:t xml:space="preserve">, con </w:t>
      </w:r>
      <w:proofErr w:type="spellStart"/>
      <w:r w:rsidRPr="007B68F0">
        <w:t>el</w:t>
      </w:r>
      <w:proofErr w:type="spellEnd"/>
      <w:r w:rsidRPr="007B68F0">
        <w:t xml:space="preserve"> peso de </w:t>
      </w:r>
      <w:proofErr w:type="spellStart"/>
      <w:r w:rsidRPr="007B68F0">
        <w:t>cada</w:t>
      </w:r>
      <w:proofErr w:type="spellEnd"/>
      <w:r w:rsidRPr="007B68F0">
        <w:t xml:space="preserve"> arista </w:t>
      </w:r>
      <w:proofErr w:type="spellStart"/>
      <w:r w:rsidRPr="007B68F0">
        <w:t>siendo</w:t>
      </w:r>
      <w:proofErr w:type="spellEnd"/>
      <w:r w:rsidRPr="007B68F0">
        <w:t xml:space="preserve"> </w:t>
      </w:r>
      <w:proofErr w:type="spellStart"/>
      <w:r w:rsidRPr="007B68F0">
        <w:t>su</w:t>
      </w:r>
      <w:proofErr w:type="spellEnd"/>
      <w:r w:rsidRPr="007B68F0">
        <w:t xml:space="preserve"> pseudo</w:t>
      </w:r>
      <w:r w:rsidR="00A8177E" w:rsidRPr="007B68F0">
        <w:t>-</w:t>
      </w:r>
      <w:proofErr w:type="spellStart"/>
      <w:r w:rsidRPr="007B68F0">
        <w:t>métrica</w:t>
      </w:r>
      <w:proofErr w:type="spellEnd"/>
      <w:r w:rsidRPr="007B68F0">
        <w:t xml:space="preserve">. Se </w:t>
      </w:r>
      <w:proofErr w:type="spellStart"/>
      <w:r w:rsidRPr="007B68F0">
        <w:t>utilizó</w:t>
      </w:r>
      <w:proofErr w:type="spellEnd"/>
      <w:r w:rsidRPr="007B68F0">
        <w:t xml:space="preserve"> </w:t>
      </w:r>
      <w:proofErr w:type="spellStart"/>
      <w:r w:rsidRPr="007B68F0">
        <w:t>una</w:t>
      </w:r>
      <w:proofErr w:type="spellEnd"/>
      <w:r w:rsidRPr="007B68F0">
        <w:t xml:space="preserve"> paleta </w:t>
      </w:r>
      <w:proofErr w:type="spellStart"/>
      <w:r w:rsidRPr="007B68F0">
        <w:t>divergente</w:t>
      </w:r>
      <w:proofErr w:type="spellEnd"/>
      <w:r w:rsidRPr="007B68F0">
        <w:t xml:space="preserve"> que </w:t>
      </w:r>
      <w:proofErr w:type="spellStart"/>
      <w:r w:rsidRPr="007B68F0">
        <w:t>muestra</w:t>
      </w:r>
      <w:proofErr w:type="spellEnd"/>
      <w:r w:rsidRPr="007B68F0">
        <w:t xml:space="preserve"> las </w:t>
      </w:r>
      <w:proofErr w:type="spellStart"/>
      <w:r w:rsidRPr="007B68F0">
        <w:t>correlaciones</w:t>
      </w:r>
      <w:proofErr w:type="spellEnd"/>
      <w:r w:rsidR="00A8177E" w:rsidRPr="007B68F0">
        <w:t xml:space="preserve"> </w:t>
      </w:r>
      <w:proofErr w:type="spellStart"/>
      <w:r w:rsidR="00A8177E" w:rsidRPr="007B68F0">
        <w:t>en</w:t>
      </w:r>
      <w:proofErr w:type="spellEnd"/>
      <w:r w:rsidR="00A8177E">
        <w:rPr>
          <w:lang w:val="es-MX"/>
        </w:rPr>
        <w:t xml:space="preserve"> los colores de las aristas</w:t>
      </w:r>
      <w:r w:rsidRPr="74A986DC">
        <w:rPr>
          <w:lang w:val="es-MX"/>
        </w:rPr>
        <w:t xml:space="preserve">, siendo rojos si tienen una correlación positiva y difuminándose </w:t>
      </w:r>
      <w:proofErr w:type="gramStart"/>
      <w:r w:rsidRPr="74A986DC">
        <w:rPr>
          <w:lang w:val="es-MX"/>
        </w:rPr>
        <w:t>a</w:t>
      </w:r>
      <w:proofErr w:type="gramEnd"/>
      <w:r w:rsidRPr="74A986DC">
        <w:rPr>
          <w:lang w:val="es-MX"/>
        </w:rPr>
        <w:t xml:space="preserve"> azul si tienen una correlación negativa (ninguna </w:t>
      </w:r>
      <w:r w:rsidRPr="00A8177E">
        <w:rPr>
          <w:lang w:val="es-MX"/>
        </w:rPr>
        <w:t>tiene</w:t>
      </w:r>
      <w:r w:rsidRPr="74A986DC">
        <w:rPr>
          <w:lang w:val="es-MX"/>
        </w:rPr>
        <w:t xml:space="preserve"> correlación negativa). </w:t>
      </w:r>
    </w:p>
    <w:p w14:paraId="2A271F6D" w14:textId="77777777" w:rsidR="007B68F0" w:rsidRDefault="007B68F0" w:rsidP="007B68F0">
      <w:pPr>
        <w:widowControl w:val="0"/>
        <w:pBdr>
          <w:top w:val="nil"/>
          <w:left w:val="nil"/>
          <w:bottom w:val="nil"/>
          <w:right w:val="nil"/>
          <w:between w:val="nil"/>
        </w:pBdr>
        <w:spacing w:line="252" w:lineRule="auto"/>
        <w:ind w:firstLine="270"/>
        <w:rPr>
          <w:lang w:val="es-MX"/>
        </w:rPr>
      </w:pPr>
    </w:p>
    <w:p w14:paraId="13E8C9C0" w14:textId="5703BC8E" w:rsidR="00293A24" w:rsidRDefault="00293A24" w:rsidP="007B68F0">
      <w:pPr>
        <w:widowControl w:val="0"/>
        <w:pBdr>
          <w:top w:val="nil"/>
          <w:left w:val="nil"/>
          <w:bottom w:val="nil"/>
          <w:right w:val="nil"/>
          <w:between w:val="nil"/>
        </w:pBdr>
        <w:spacing w:line="252" w:lineRule="auto"/>
        <w:ind w:firstLine="270"/>
        <w:rPr>
          <w:lang w:val="es-MX"/>
        </w:rPr>
      </w:pPr>
      <w:r w:rsidRPr="00292D20">
        <w:rPr>
          <w:noProof/>
        </w:rPr>
        <w:drawing>
          <wp:inline distT="0" distB="0" distL="0" distR="0" wp14:anchorId="3201DBFF" wp14:editId="205C9F41">
            <wp:extent cx="1788587" cy="1645920"/>
            <wp:effectExtent l="0" t="0" r="2540" b="0"/>
            <wp:docPr id="41572520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25206"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1788587" cy="1645920"/>
                    </a:xfrm>
                    <a:prstGeom prst="rect">
                      <a:avLst/>
                    </a:prstGeom>
                  </pic:spPr>
                </pic:pic>
              </a:graphicData>
            </a:graphic>
          </wp:inline>
        </w:drawing>
      </w:r>
    </w:p>
    <w:p w14:paraId="64908ABD" w14:textId="77777777" w:rsidR="00293A24" w:rsidRDefault="00293A24" w:rsidP="00293A24">
      <w:pPr>
        <w:widowControl w:val="0"/>
        <w:pBdr>
          <w:top w:val="nil"/>
          <w:left w:val="nil"/>
          <w:bottom w:val="nil"/>
          <w:right w:val="nil"/>
          <w:between w:val="nil"/>
        </w:pBdr>
        <w:spacing w:line="252" w:lineRule="auto"/>
        <w:rPr>
          <w:lang w:val="es-MX"/>
        </w:rPr>
      </w:pPr>
      <w:r w:rsidRPr="00A8177E">
        <w:rPr>
          <w:b/>
          <w:bCs/>
          <w:lang w:val="es-MX"/>
        </w:rPr>
        <w:t>Fig. 3.</w:t>
      </w:r>
      <w:r>
        <w:rPr>
          <w:lang w:val="es-MX"/>
        </w:rPr>
        <w:t xml:space="preserve"> Grafo de Correlación</w:t>
      </w:r>
    </w:p>
    <w:p w14:paraId="3F98F49E" w14:textId="77777777" w:rsidR="007B68F0" w:rsidRDefault="007B68F0" w:rsidP="00293A24">
      <w:pPr>
        <w:widowControl w:val="0"/>
        <w:pBdr>
          <w:top w:val="nil"/>
          <w:left w:val="nil"/>
          <w:bottom w:val="nil"/>
          <w:right w:val="nil"/>
          <w:between w:val="nil"/>
        </w:pBdr>
        <w:spacing w:line="252" w:lineRule="auto"/>
        <w:rPr>
          <w:lang w:val="es-MX"/>
        </w:rPr>
      </w:pPr>
    </w:p>
    <w:p w14:paraId="0D1A2E79" w14:textId="7345FFB4" w:rsidR="007B68F0" w:rsidRDefault="007B68F0" w:rsidP="007B68F0">
      <w:pPr>
        <w:pStyle w:val="Ttulo1"/>
        <w:rPr>
          <w:lang w:val="es-MX"/>
        </w:rPr>
      </w:pPr>
      <w:r w:rsidRPr="74A986DC">
        <w:rPr>
          <w:lang w:val="es-MX"/>
        </w:rPr>
        <w:lastRenderedPageBreak/>
        <w:t xml:space="preserve">V. </w:t>
      </w:r>
      <w:r>
        <w:rPr>
          <w:lang w:val="es-MX"/>
        </w:rPr>
        <w:t>Observaciones</w:t>
      </w:r>
    </w:p>
    <w:p w14:paraId="7864925A" w14:textId="0D34F9C7" w:rsidR="007B68F0" w:rsidRPr="007B68F0" w:rsidRDefault="007B68F0" w:rsidP="007B68F0">
      <w:pPr>
        <w:rPr>
          <w:lang w:val="es-MX"/>
        </w:rPr>
      </w:pPr>
      <w:r w:rsidRPr="007B68F0">
        <w:rPr>
          <w:lang w:val="es-MX"/>
        </w:rPr>
        <w:t xml:space="preserve">Se observa nuevamente que TON, DAI y LEO son las criptomonedas más alejadas del resto en términos de correlación. Esto puede explicarse por el hecho de que estas monedas pertenecen a sectores con objetivos funcionales distintos del grueso del mercado especulativo. DAI, por ejemplo, es una </w:t>
      </w:r>
      <w:proofErr w:type="spellStart"/>
      <w:r w:rsidRPr="007B68F0">
        <w:rPr>
          <w:lang w:val="es-MX"/>
        </w:rPr>
        <w:t>stablecoin</w:t>
      </w:r>
      <w:proofErr w:type="spellEnd"/>
      <w:r w:rsidRPr="007B68F0">
        <w:rPr>
          <w:lang w:val="es-MX"/>
        </w:rPr>
        <w:t xml:space="preserve"> </w:t>
      </w:r>
      <w:proofErr w:type="spellStart"/>
      <w:r w:rsidRPr="007B68F0">
        <w:rPr>
          <w:lang w:val="es-MX"/>
        </w:rPr>
        <w:t>colateralizada</w:t>
      </w:r>
      <w:proofErr w:type="spellEnd"/>
      <w:r w:rsidRPr="007B68F0">
        <w:rPr>
          <w:lang w:val="es-MX"/>
        </w:rPr>
        <w:t xml:space="preserve"> cuyo diseño busca mantener paridad con el dólar estadounidense, lo que limita su volatilidad relativa y la desacopla de los movimientos generales del mercado. TON, al estar orientada como moneda de pagos dentro del ecosistema de </w:t>
      </w:r>
      <w:proofErr w:type="spellStart"/>
      <w:r w:rsidRPr="007B68F0">
        <w:rPr>
          <w:lang w:val="es-MX"/>
        </w:rPr>
        <w:t>Telegram</w:t>
      </w:r>
      <w:proofErr w:type="spellEnd"/>
      <w:r w:rsidRPr="007B68F0">
        <w:rPr>
          <w:lang w:val="es-MX"/>
        </w:rPr>
        <w:t xml:space="preserve">, responde a dinámicas de adopción distintas, mientras que LEO es un token utilitario vinculado al ecosistema de </w:t>
      </w:r>
      <w:proofErr w:type="spellStart"/>
      <w:r w:rsidRPr="007B68F0">
        <w:rPr>
          <w:lang w:val="es-MX"/>
        </w:rPr>
        <w:t>Bitfinex</w:t>
      </w:r>
      <w:proofErr w:type="spellEnd"/>
      <w:r w:rsidRPr="007B68F0">
        <w:rPr>
          <w:lang w:val="es-MX"/>
        </w:rPr>
        <w:t>, por lo que su comportamiento depende más de factores internos a esa plataforma que del sentimiento del mercado cripto en general.</w:t>
      </w:r>
    </w:p>
    <w:p w14:paraId="17C30E32" w14:textId="59CC49B8" w:rsidR="007B68F0" w:rsidRPr="007B68F0" w:rsidRDefault="007B68F0" w:rsidP="007B68F0">
      <w:pPr>
        <w:rPr>
          <w:lang w:val="es-MX"/>
        </w:rPr>
      </w:pPr>
      <w:r w:rsidRPr="007B68F0">
        <w:rPr>
          <w:lang w:val="es-MX"/>
        </w:rPr>
        <w:t xml:space="preserve">Por otro lado, ETH y WSTETH se superponen casi completamente, lo cual es esperable dado que ambos activos están estrechamente ligados. WSTETH representa </w:t>
      </w:r>
      <w:proofErr w:type="spellStart"/>
      <w:r w:rsidRPr="007B68F0">
        <w:rPr>
          <w:lang w:val="es-MX"/>
        </w:rPr>
        <w:t>ether</w:t>
      </w:r>
      <w:proofErr w:type="spellEnd"/>
      <w:r w:rsidRPr="007B68F0">
        <w:rPr>
          <w:lang w:val="es-MX"/>
        </w:rPr>
        <w:t xml:space="preserve"> en </w:t>
      </w:r>
      <w:proofErr w:type="spellStart"/>
      <w:r w:rsidRPr="007B68F0">
        <w:rPr>
          <w:lang w:val="es-MX"/>
        </w:rPr>
        <w:t>staking</w:t>
      </w:r>
      <w:proofErr w:type="spellEnd"/>
      <w:r w:rsidRPr="007B68F0">
        <w:rPr>
          <w:lang w:val="es-MX"/>
        </w:rPr>
        <w:t xml:space="preserve"> líquido, y su cotización sigue de manera casi idéntica a la de ETH, con diferencias mínimas debido a factores como rendimientos de </w:t>
      </w:r>
      <w:proofErr w:type="spellStart"/>
      <w:r w:rsidRPr="007B68F0">
        <w:rPr>
          <w:lang w:val="es-MX"/>
        </w:rPr>
        <w:t>staking</w:t>
      </w:r>
      <w:proofErr w:type="spellEnd"/>
      <w:r w:rsidRPr="007B68F0">
        <w:rPr>
          <w:lang w:val="es-MX"/>
        </w:rPr>
        <w:t xml:space="preserve"> o mecanismos de envoltura. Por esta razón, su correlación es prácticamente uno.</w:t>
      </w:r>
    </w:p>
    <w:p w14:paraId="1067A046" w14:textId="491D1368" w:rsidR="007B68F0" w:rsidRPr="007B68F0" w:rsidRDefault="007B68F0" w:rsidP="007B68F0">
      <w:pPr>
        <w:rPr>
          <w:lang w:val="es-MX"/>
        </w:rPr>
      </w:pPr>
      <w:r w:rsidRPr="007B68F0">
        <w:rPr>
          <w:lang w:val="es-MX"/>
        </w:rPr>
        <w:t xml:space="preserve">La mayoría de las criptomonedas analizadas muestran correlaciones altas entre sí, lo cual implica un riesgo sistemático considerable si se construye un portafolio exclusivamente compuesto por criptomonedas. Esta alta correlación se debe a que muchas </w:t>
      </w:r>
      <w:proofErr w:type="spellStart"/>
      <w:r w:rsidRPr="007B68F0">
        <w:rPr>
          <w:lang w:val="es-MX"/>
        </w:rPr>
        <w:t>altcoins</w:t>
      </w:r>
      <w:proofErr w:type="spellEnd"/>
      <w:r w:rsidRPr="007B68F0">
        <w:rPr>
          <w:lang w:val="es-MX"/>
        </w:rPr>
        <w:t xml:space="preserve"> comparten los mismos factores de riesgo: ciclos especulativos, sentimiento del mercado, sensibilidad a eventos macroeconómicos y liquidez global. Como consecuencia, cuando el mercado entra en una fase bajista, muchas criptomonedas tienden a caer simultáneamente, reduciendo significativamente las oportunidades de diversificación dentro del mismo ecosistema.</w:t>
      </w:r>
    </w:p>
    <w:p w14:paraId="26FEFD08" w14:textId="671989E7" w:rsidR="007B68F0" w:rsidRPr="007B68F0" w:rsidRDefault="007B68F0" w:rsidP="007B68F0">
      <w:pPr>
        <w:rPr>
          <w:lang w:val="es-MX"/>
        </w:rPr>
      </w:pPr>
      <w:r w:rsidRPr="007B68F0">
        <w:rPr>
          <w:lang w:val="es-MX"/>
        </w:rPr>
        <w:t>Además, se observa que las criptomonedas con mayor correlación con el resto</w:t>
      </w:r>
      <w:r>
        <w:rPr>
          <w:lang w:val="es-MX"/>
        </w:rPr>
        <w:t xml:space="preserve">, como </w:t>
      </w:r>
      <w:r w:rsidRPr="007B68F0">
        <w:rPr>
          <w:lang w:val="es-MX"/>
        </w:rPr>
        <w:t>ETH, BTC y SOL</w:t>
      </w:r>
      <w:r>
        <w:rPr>
          <w:lang w:val="es-MX"/>
        </w:rPr>
        <w:t xml:space="preserve">, </w:t>
      </w:r>
      <w:r w:rsidRPr="007B68F0">
        <w:rPr>
          <w:lang w:val="es-MX"/>
        </w:rPr>
        <w:t xml:space="preserve">son también aquellas con mayor capitalización de mercado. Esto se debe a su rol como activos de referencia en el mercado cripto: tienen alta liquidez, son ampliamente utilizadas como pares base en </w:t>
      </w:r>
      <w:proofErr w:type="spellStart"/>
      <w:r w:rsidRPr="007B68F0">
        <w:rPr>
          <w:lang w:val="es-MX"/>
        </w:rPr>
        <w:t>exchanges</w:t>
      </w:r>
      <w:proofErr w:type="spellEnd"/>
      <w:r w:rsidRPr="007B68F0">
        <w:rPr>
          <w:lang w:val="es-MX"/>
        </w:rPr>
        <w:t>, y concentran una gran parte del interés institucional. Como activos líderes, sus movimientos tienden a influir o arrastrar al resto del mercado, lo cual refuerza su correlación con otras monedas.</w:t>
      </w:r>
    </w:p>
    <w:p w14:paraId="4BB1B402" w14:textId="1F3DE590" w:rsidR="007B68F0" w:rsidRDefault="007B68F0" w:rsidP="007B68F0">
      <w:pPr>
        <w:rPr>
          <w:lang w:val="es-MX"/>
        </w:rPr>
      </w:pPr>
      <w:r w:rsidRPr="007B68F0">
        <w:rPr>
          <w:lang w:val="es-MX"/>
        </w:rPr>
        <w:t xml:space="preserve">En contraste, muchas monedas del sector de pagos y </w:t>
      </w:r>
      <w:proofErr w:type="spellStart"/>
      <w:r w:rsidRPr="007B68F0">
        <w:rPr>
          <w:lang w:val="es-MX"/>
        </w:rPr>
        <w:t>DeFi</w:t>
      </w:r>
      <w:proofErr w:type="spellEnd"/>
      <w:r w:rsidRPr="007B68F0">
        <w:rPr>
          <w:lang w:val="es-MX"/>
        </w:rPr>
        <w:t xml:space="preserve"> presentan correlaciones más bajas con activos especulativos como las </w:t>
      </w:r>
      <w:proofErr w:type="spellStart"/>
      <w:r w:rsidRPr="007B68F0">
        <w:rPr>
          <w:lang w:val="es-MX"/>
        </w:rPr>
        <w:t>memecoins</w:t>
      </w:r>
      <w:proofErr w:type="spellEnd"/>
      <w:r w:rsidRPr="007B68F0">
        <w:rPr>
          <w:lang w:val="es-MX"/>
        </w:rPr>
        <w:t xml:space="preserve">. Esta diferencia se explica por sus fundamentos: mientras las </w:t>
      </w:r>
      <w:proofErr w:type="spellStart"/>
      <w:r w:rsidRPr="007B68F0">
        <w:rPr>
          <w:lang w:val="es-MX"/>
        </w:rPr>
        <w:t>memecoins</w:t>
      </w:r>
      <w:proofErr w:type="spellEnd"/>
      <w:r w:rsidRPr="007B68F0">
        <w:rPr>
          <w:lang w:val="es-MX"/>
        </w:rPr>
        <w:t xml:space="preserve"> están impulsadas por fenómenos virales, redes sociales y comportamientos especulativos de corto plazo, las monedas de pago y los protocolos </w:t>
      </w:r>
      <w:proofErr w:type="spellStart"/>
      <w:r w:rsidRPr="007B68F0">
        <w:rPr>
          <w:lang w:val="es-MX"/>
        </w:rPr>
        <w:t>DeFi</w:t>
      </w:r>
      <w:proofErr w:type="spellEnd"/>
      <w:r w:rsidRPr="007B68F0">
        <w:rPr>
          <w:lang w:val="es-MX"/>
        </w:rPr>
        <w:t xml:space="preserve"> suelen estar diseñados para funcionalidades específicas y tienen un perfil de uso más técnico o estable. Como resultado, sus dinámicas de precio no responden directamente al mismo tipo de shocks de mercado, lo cual les confiere cierto grado de independencia estructural y, por tanto, menor correlación.</w:t>
      </w:r>
    </w:p>
    <w:p w14:paraId="4F1C3859" w14:textId="77777777" w:rsidR="00315777" w:rsidRDefault="00315777" w:rsidP="007B68F0">
      <w:pPr>
        <w:rPr>
          <w:lang w:val="es-MX"/>
        </w:rPr>
      </w:pPr>
    </w:p>
    <w:p w14:paraId="114810E2" w14:textId="77777777" w:rsidR="00315777" w:rsidRDefault="00315777" w:rsidP="007B68F0">
      <w:pPr>
        <w:rPr>
          <w:lang w:val="es-MX"/>
        </w:rPr>
      </w:pPr>
    </w:p>
    <w:p w14:paraId="1BF225AE" w14:textId="77777777" w:rsidR="00315777" w:rsidRPr="00656B59" w:rsidRDefault="00315777" w:rsidP="007B68F0">
      <w:pPr>
        <w:rPr>
          <w:lang w:val="es-MX"/>
        </w:rPr>
      </w:pPr>
    </w:p>
    <w:p w14:paraId="18275326" w14:textId="13DFB640" w:rsidR="00293A24" w:rsidRDefault="00293A24" w:rsidP="00293A24">
      <w:pPr>
        <w:pStyle w:val="Ttulo1"/>
        <w:rPr>
          <w:lang w:val="es-MX"/>
        </w:rPr>
      </w:pPr>
      <w:r w:rsidRPr="74A986DC">
        <w:rPr>
          <w:lang w:val="es-MX"/>
        </w:rPr>
        <w:t>V. Referenc</w:t>
      </w:r>
      <w:r>
        <w:rPr>
          <w:lang w:val="es-MX"/>
        </w:rPr>
        <w:t>ia</w:t>
      </w:r>
      <w:r w:rsidRPr="74A986DC">
        <w:rPr>
          <w:lang w:val="es-MX"/>
        </w:rPr>
        <w:t>s</w:t>
      </w:r>
    </w:p>
    <w:p w14:paraId="37AD8E28" w14:textId="77777777" w:rsidR="00293A24" w:rsidRDefault="00293A24" w:rsidP="00315777">
      <w:pPr>
        <w:widowControl w:val="0"/>
        <w:ind w:left="144" w:hanging="144"/>
      </w:pPr>
      <w:r w:rsidRPr="34F5859C">
        <w:rPr>
          <w:lang w:val="es-MX"/>
        </w:rPr>
        <w:t>García, O., &amp; Complejos, S. (</w:t>
      </w:r>
      <w:proofErr w:type="spellStart"/>
      <w:r w:rsidRPr="34F5859C">
        <w:rPr>
          <w:lang w:val="es-MX"/>
        </w:rPr>
        <w:t>n.d</w:t>
      </w:r>
      <w:proofErr w:type="spellEnd"/>
      <w:r w:rsidRPr="34F5859C">
        <w:rPr>
          <w:lang w:val="es-MX"/>
        </w:rPr>
        <w:t xml:space="preserve">.). </w:t>
      </w:r>
      <w:r w:rsidRPr="34F5859C">
        <w:rPr>
          <w:i/>
          <w:lang w:val="es-MX"/>
        </w:rPr>
        <w:t>Tema 4: Algoritmos de Poda y Visualización de Redes</w:t>
      </w:r>
      <w:r w:rsidRPr="34F5859C">
        <w:rPr>
          <w:lang w:val="es-MX"/>
        </w:rPr>
        <w:t xml:space="preserve">. </w:t>
      </w:r>
      <w:r w:rsidRPr="00AF4283">
        <w:t xml:space="preserve">Retrieved April 9, 2025, from </w:t>
      </w:r>
      <w:hyperlink r:id="rId16">
        <w:r w:rsidRPr="00AF4283">
          <w:rPr>
            <w:rStyle w:val="Hipervnculo"/>
          </w:rPr>
          <w:t>https://sci2s.ugr.es/sites/default/files/files/Teaching/GraduatesCourses/RedesSistemasCompejos/Tema04-2-VisualizaciondeRedes-13-14.pdf</w:t>
        </w:r>
      </w:hyperlink>
    </w:p>
    <w:p w14:paraId="18335499" w14:textId="77777777" w:rsidR="00293A24" w:rsidRDefault="00293A24" w:rsidP="00315777">
      <w:pPr>
        <w:widowControl w:val="0"/>
        <w:ind w:left="144" w:hanging="144"/>
      </w:pPr>
      <w:proofErr w:type="spellStart"/>
      <w:r w:rsidRPr="00AF4283">
        <w:rPr>
          <w:i/>
        </w:rPr>
        <w:t>kamada_kawai_layout</w:t>
      </w:r>
      <w:proofErr w:type="spellEnd"/>
      <w:r w:rsidRPr="00AF4283">
        <w:rPr>
          <w:i/>
        </w:rPr>
        <w:t xml:space="preserve"> — </w:t>
      </w:r>
      <w:proofErr w:type="spellStart"/>
      <w:r w:rsidRPr="00AF4283">
        <w:rPr>
          <w:i/>
        </w:rPr>
        <w:t>NetworkX</w:t>
      </w:r>
      <w:proofErr w:type="spellEnd"/>
      <w:r w:rsidRPr="00AF4283">
        <w:rPr>
          <w:i/>
        </w:rPr>
        <w:t xml:space="preserve"> 3.4.2 documentation</w:t>
      </w:r>
      <w:r w:rsidRPr="00AF4283">
        <w:t xml:space="preserve">. (2024). Networkx.org. </w:t>
      </w:r>
      <w:hyperlink r:id="rId17">
        <w:r w:rsidRPr="00AF4283">
          <w:rPr>
            <w:rStyle w:val="Hipervnculo"/>
          </w:rPr>
          <w:t>https://networkx.org/documentation/stable/reference/generated/networkx.drawing.layout.kamada_kawai_layout.html</w:t>
        </w:r>
      </w:hyperlink>
    </w:p>
    <w:p w14:paraId="044130AD" w14:textId="77777777" w:rsidR="00293A24" w:rsidRDefault="00293A24" w:rsidP="00315777">
      <w:pPr>
        <w:widowControl w:val="0"/>
        <w:ind w:left="144" w:hanging="144"/>
      </w:pPr>
      <w:r w:rsidRPr="00AF4283">
        <w:t xml:space="preserve">Miskolczi, P. (2017). NOTE ON SIMPLE AND LOGARITHMIC RETURN. </w:t>
      </w:r>
      <w:r w:rsidRPr="00AF4283">
        <w:rPr>
          <w:i/>
          <w:iCs/>
        </w:rPr>
        <w:t>Applied Studies in Agribusiness and Commerce</w:t>
      </w:r>
      <w:r w:rsidRPr="00AF4283">
        <w:t xml:space="preserve">, </w:t>
      </w:r>
      <w:r w:rsidRPr="00AF4283">
        <w:rPr>
          <w:i/>
          <w:iCs/>
        </w:rPr>
        <w:t>11</w:t>
      </w:r>
      <w:r w:rsidRPr="00AF4283">
        <w:t xml:space="preserve">(1-2), 127–136. </w:t>
      </w:r>
      <w:hyperlink r:id="rId18">
        <w:r w:rsidRPr="34F5859C">
          <w:rPr>
            <w:rStyle w:val="Hipervnculo"/>
            <w:lang w:val="es-MX"/>
          </w:rPr>
          <w:t>https://doi.org/10.19041/apstract/2017/1-2/16</w:t>
        </w:r>
      </w:hyperlink>
    </w:p>
    <w:p w14:paraId="53F50E13" w14:textId="77777777" w:rsidR="00293A24" w:rsidRDefault="00293A24" w:rsidP="00293A24">
      <w:pPr>
        <w:widowControl w:val="0"/>
        <w:spacing w:line="480" w:lineRule="auto"/>
        <w:ind w:left="720" w:hanging="720"/>
        <w:rPr>
          <w:lang w:val="es-MX"/>
        </w:rPr>
      </w:pPr>
    </w:p>
    <w:p w14:paraId="7B29D5B3" w14:textId="77777777" w:rsidR="00293A24" w:rsidRPr="00656B59" w:rsidRDefault="00293A24" w:rsidP="00293A24">
      <w:pPr>
        <w:widowControl w:val="0"/>
        <w:pBdr>
          <w:top w:val="nil"/>
          <w:left w:val="nil"/>
          <w:bottom w:val="nil"/>
          <w:right w:val="nil"/>
          <w:between w:val="nil"/>
        </w:pBdr>
        <w:spacing w:line="252" w:lineRule="auto"/>
        <w:ind w:firstLine="0"/>
        <w:rPr>
          <w:lang w:val="es-MX"/>
        </w:rPr>
      </w:pPr>
    </w:p>
    <w:p w14:paraId="58BC9308" w14:textId="77777777" w:rsidR="00293A24" w:rsidRPr="00293A24" w:rsidRDefault="00293A24">
      <w:pPr>
        <w:rPr>
          <w:rFonts w:ascii="Times" w:eastAsia="Times" w:hAnsi="Times" w:cs="Times"/>
          <w:lang w:val="es-MX"/>
        </w:rPr>
      </w:pPr>
    </w:p>
    <w:sectPr w:rsidR="00293A24" w:rsidRPr="00293A24"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2D267" w14:textId="77777777" w:rsidR="00DC50BF" w:rsidRDefault="00DC50BF">
      <w:r>
        <w:separator/>
      </w:r>
    </w:p>
  </w:endnote>
  <w:endnote w:type="continuationSeparator" w:id="0">
    <w:p w14:paraId="1DF9D824" w14:textId="77777777" w:rsidR="00DC50BF" w:rsidRDefault="00DC5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662F2" w14:textId="77777777" w:rsidR="00DC50BF" w:rsidRPr="009A0AA6" w:rsidRDefault="00DC50BF" w:rsidP="009A0AA6">
      <w:pPr>
        <w:pStyle w:val="Piedepgina"/>
      </w:pPr>
    </w:p>
  </w:footnote>
  <w:footnote w:type="continuationSeparator" w:id="0">
    <w:p w14:paraId="31C1C6F1" w14:textId="77777777" w:rsidR="00DC50BF" w:rsidRDefault="00DC5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3A24"/>
    <w:rsid w:val="002947C5"/>
    <w:rsid w:val="002E2421"/>
    <w:rsid w:val="002F221E"/>
    <w:rsid w:val="00305C29"/>
    <w:rsid w:val="0031286C"/>
    <w:rsid w:val="00313303"/>
    <w:rsid w:val="00315777"/>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B68F0"/>
    <w:rsid w:val="007C410D"/>
    <w:rsid w:val="007C5FE2"/>
    <w:rsid w:val="007E5119"/>
    <w:rsid w:val="007E713A"/>
    <w:rsid w:val="007F4FB6"/>
    <w:rsid w:val="0080720F"/>
    <w:rsid w:val="00810E2F"/>
    <w:rsid w:val="00813371"/>
    <w:rsid w:val="00827FB8"/>
    <w:rsid w:val="008313C6"/>
    <w:rsid w:val="00846362"/>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177E"/>
    <w:rsid w:val="00A853F3"/>
    <w:rsid w:val="00AA5225"/>
    <w:rsid w:val="00AB4C22"/>
    <w:rsid w:val="00AC0FD4"/>
    <w:rsid w:val="00AF3089"/>
    <w:rsid w:val="00B05CCE"/>
    <w:rsid w:val="00B07BB7"/>
    <w:rsid w:val="00B10AF1"/>
    <w:rsid w:val="00B51AB6"/>
    <w:rsid w:val="00B54450"/>
    <w:rsid w:val="00B60677"/>
    <w:rsid w:val="00B630FA"/>
    <w:rsid w:val="00B83635"/>
    <w:rsid w:val="00BA59B9"/>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50BF"/>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5A17"/>
    <w:rsid w:val="00EF6430"/>
    <w:rsid w:val="00F22A05"/>
    <w:rsid w:val="00F33F99"/>
    <w:rsid w:val="00F63565"/>
    <w:rsid w:val="00F67007"/>
    <w:rsid w:val="00FA6C74"/>
    <w:rsid w:val="00FB41DF"/>
    <w:rsid w:val="00FB5CF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F0"/>
    <w:pPr>
      <w:ind w:firstLine="144"/>
      <w:jc w:val="both"/>
    </w:pPr>
  </w:style>
  <w:style w:type="paragraph" w:styleId="Ttulo1">
    <w:name w:val="heading 1"/>
    <w:basedOn w:val="Normal"/>
    <w:next w:val="Normal"/>
    <w:link w:val="Ttulo1Car"/>
    <w:autoRedefine/>
    <w:uiPriority w:val="9"/>
    <w:qFormat/>
    <w:rsid w:val="00827FB8"/>
    <w:pPr>
      <w:keepNext/>
      <w:spacing w:before="240" w:after="80"/>
      <w:jc w:val="center"/>
      <w:outlineLvl w:val="0"/>
    </w:pPr>
    <w:rPr>
      <w:smallCaps/>
      <w:kern w:val="28"/>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tuloCar">
    <w:name w:val="Título Car"/>
    <w:basedOn w:val="Fuentedeprrafopredeter"/>
    <w:link w:val="Ttulo"/>
    <w:uiPriority w:val="10"/>
    <w:rsid w:val="00293A24"/>
    <w:rPr>
      <w:kern w:val="28"/>
      <w:sz w:val="48"/>
      <w:szCs w:val="48"/>
    </w:rPr>
  </w:style>
  <w:style w:type="character" w:styleId="Textodelmarcadordeposicin">
    <w:name w:val="Placeholder Text"/>
    <w:basedOn w:val="Fuentedeprrafopredeter"/>
    <w:uiPriority w:val="99"/>
    <w:semiHidden/>
    <w:rsid w:val="00EF5A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59557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9316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hyperlink" Target="https://doi.org/10.19041/apstract/2017/1-2/16"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networkx.org/documentation/stable/reference/generated/networkx.drawing.layout.kamada_kawai_layout.html" TargetMode="External"/><Relationship Id="rId2" Type="http://schemas.openxmlformats.org/officeDocument/2006/relationships/customXml" Target="../customXml/item2.xml"/><Relationship Id="rId16" Type="http://schemas.openxmlformats.org/officeDocument/2006/relationships/hyperlink" Target="https://sci2s.ugr.es/sites/default/files/files/Teaching/GraduatesCourses/RedesSistemasCompejos/Tema04-2-VisualizaciondeRedes-13-14.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svg"/><Relationship Id="rId5" Type="http://schemas.openxmlformats.org/officeDocument/2006/relationships/settings" Target="settings.xml"/><Relationship Id="rId15" Type="http://schemas.openxmlformats.org/officeDocument/2006/relationships/image" Target="media/image6.sv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1104</Words>
  <Characters>6074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2025-04-10T05:02:00Z</dcterms:created>
  <dcterms:modified xsi:type="dcterms:W3CDTF">2025-04-10T05:23:00Z</dcterms:modified>
</cp:coreProperties>
</file>