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AD81" w14:textId="3A03971C" w:rsidR="00002FAF" w:rsidRPr="0094735C" w:rsidRDefault="0094735C" w:rsidP="00002FAF">
      <w:pPr>
        <w:pStyle w:val="Ttulo"/>
        <w:framePr w:w="0" w:hSpace="0" w:vSpace="0" w:wrap="auto" w:vAnchor="margin" w:hAnchor="text" w:xAlign="left" w:yAlign="inline"/>
        <w:rPr>
          <w:lang w:val="es-MX"/>
        </w:rPr>
      </w:pPr>
      <w:r w:rsidRPr="0094735C">
        <w:rPr>
          <w:lang w:val="es-MX"/>
        </w:rPr>
        <w:t>PRECIO Y VOLUM</w:t>
      </w:r>
      <w:r>
        <w:rPr>
          <w:lang w:val="es-MX"/>
        </w:rPr>
        <w:t>E</w:t>
      </w:r>
      <w:r w:rsidRPr="0094735C">
        <w:rPr>
          <w:lang w:val="es-MX"/>
        </w:rPr>
        <w:t>N DE VENTA DE CRIPTOMONEDAS EN EL</w:t>
      </w:r>
      <w:r>
        <w:rPr>
          <w:lang w:val="es-MX"/>
        </w:rPr>
        <w:t xml:space="preserve"> ÚLTIMO AÑO</w:t>
      </w:r>
    </w:p>
    <w:p w14:paraId="47CA69F1" w14:textId="12055E41" w:rsidR="00732E46" w:rsidRPr="0094735C" w:rsidRDefault="00732E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color w:val="000000"/>
          <w:sz w:val="18"/>
          <w:szCs w:val="18"/>
          <w:lang w:val="es-MX"/>
        </w:rPr>
      </w:pPr>
    </w:p>
    <w:p w14:paraId="6531D7CD" w14:textId="769416B5" w:rsidR="00732E46" w:rsidRDefault="0094735C" w:rsidP="00D050E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</w:rPr>
        <w:t>Heriberto Espino Montelongo</w:t>
      </w:r>
      <w:r w:rsidR="000F2C11">
        <w:rPr>
          <w:i/>
          <w:color w:val="000000"/>
          <w:sz w:val="22"/>
          <w:szCs w:val="22"/>
        </w:rPr>
        <w:t>,</w:t>
      </w:r>
      <w:r>
        <w:rPr>
          <w:i/>
          <w:color w:val="000000"/>
          <w:sz w:val="22"/>
          <w:szCs w:val="22"/>
        </w:rPr>
        <w:t xml:space="preserve"> 175199</w:t>
      </w:r>
      <w:r>
        <w:rPr>
          <w:color w:val="000000"/>
          <w:sz w:val="22"/>
          <w:szCs w:val="22"/>
        </w:rPr>
        <w:t>.</w:t>
      </w:r>
      <w:r w:rsidR="000F2C11">
        <w:rPr>
          <w:i/>
          <w:color w:val="000000"/>
          <w:sz w:val="22"/>
          <w:szCs w:val="22"/>
        </w:rPr>
        <w:t xml:space="preserve"> </w:t>
      </w:r>
    </w:p>
    <w:p w14:paraId="66416825" w14:textId="77777777" w:rsidR="00002FAF" w:rsidRDefault="00002FAF" w:rsidP="00D050EC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jc w:val="both"/>
        <w:rPr>
          <w:b/>
          <w:i/>
          <w:color w:val="000000"/>
          <w:sz w:val="18"/>
          <w:szCs w:val="18"/>
        </w:rPr>
      </w:pPr>
    </w:p>
    <w:p w14:paraId="06590BF3" w14:textId="77777777" w:rsidR="007E713A" w:rsidRDefault="007E713A" w:rsidP="00D050EC">
      <w:pPr>
        <w:pBdr>
          <w:top w:val="nil"/>
          <w:left w:val="nil"/>
          <w:bottom w:val="nil"/>
          <w:right w:val="nil"/>
          <w:between w:val="nil"/>
        </w:pBdr>
        <w:spacing w:before="20" w:after="320"/>
        <w:ind w:firstLine="202"/>
        <w:jc w:val="both"/>
        <w:rPr>
          <w:b/>
          <w:i/>
          <w:color w:val="000000"/>
          <w:sz w:val="18"/>
          <w:szCs w:val="18"/>
        </w:rPr>
        <w:sectPr w:rsidR="007E713A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3F302522" w14:textId="77777777" w:rsidR="00BE4774" w:rsidRPr="006E071F" w:rsidRDefault="00BE4774" w:rsidP="00BE4774">
      <w:pPr>
        <w:pStyle w:val="Text"/>
        <w:ind w:firstLine="0"/>
        <w:rPr>
          <w:rFonts w:ascii="Times" w:hAnsi="Times"/>
          <w:sz w:val="18"/>
          <w:szCs w:val="18"/>
        </w:rPr>
      </w:pPr>
      <w:r w:rsidRPr="006E071F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5D351EFE" w14:textId="665927D9" w:rsidR="00732E46" w:rsidRDefault="000F2C11" w:rsidP="0094735C">
      <w:pPr>
        <w:pBdr>
          <w:top w:val="nil"/>
          <w:left w:val="nil"/>
          <w:bottom w:val="nil"/>
          <w:right w:val="nil"/>
          <w:between w:val="nil"/>
        </w:pBdr>
        <w:spacing w:before="20"/>
        <w:ind w:firstLine="202"/>
        <w:jc w:val="both"/>
      </w:pPr>
      <w:r w:rsidRPr="0094735C">
        <w:rPr>
          <w:b/>
          <w:i/>
          <w:color w:val="000000"/>
          <w:sz w:val="18"/>
          <w:szCs w:val="18"/>
          <w:lang w:val="es-MX"/>
        </w:rPr>
        <w:t>Abstract</w:t>
      </w:r>
      <w:r w:rsidRPr="0094735C">
        <w:rPr>
          <w:b/>
          <w:color w:val="000000"/>
          <w:sz w:val="18"/>
          <w:szCs w:val="18"/>
          <w:lang w:val="es-MX"/>
        </w:rPr>
        <w:t>—</w:t>
      </w:r>
      <w:r w:rsidR="0094735C" w:rsidRPr="0094735C">
        <w:rPr>
          <w:b/>
          <w:sz w:val="18"/>
          <w:szCs w:val="18"/>
          <w:lang w:val="es-MX"/>
        </w:rPr>
        <w:t xml:space="preserve">El análisis de los datos históricos de precios y volúmenes de Bitcoin, </w:t>
      </w:r>
      <w:proofErr w:type="spellStart"/>
      <w:r w:rsidR="0094735C" w:rsidRPr="0094735C">
        <w:rPr>
          <w:b/>
          <w:sz w:val="18"/>
          <w:szCs w:val="18"/>
          <w:lang w:val="es-MX"/>
        </w:rPr>
        <w:t>Dogecoin</w:t>
      </w:r>
      <w:proofErr w:type="spellEnd"/>
      <w:r w:rsidR="0094735C" w:rsidRPr="0094735C">
        <w:rPr>
          <w:b/>
          <w:sz w:val="18"/>
          <w:szCs w:val="18"/>
          <w:lang w:val="es-MX"/>
        </w:rPr>
        <w:t xml:space="preserve">, Ethereum y XRP entre mayo de 2024 y mayo de 2025 evidencia tendencias marcadas por eventos clave del ecosistema cripto. Se identifican correlaciones entre movimientos de precios, volúmenes de transacción y factores externos, como declaraciones de figuras influyentes, avances tecnológicos y desarrollos regulatorios. Estos elementos combinados reflejan un mercado en evolución, donde la madurez de activos como Bitcoin contrasta con la volatilidad de </w:t>
      </w:r>
      <w:proofErr w:type="spellStart"/>
      <w:r w:rsidR="0094735C" w:rsidRPr="0094735C">
        <w:rPr>
          <w:b/>
          <w:sz w:val="18"/>
          <w:szCs w:val="18"/>
          <w:lang w:val="es-MX"/>
        </w:rPr>
        <w:t>altcoins</w:t>
      </w:r>
      <w:proofErr w:type="spellEnd"/>
      <w:r w:rsidR="0094735C" w:rsidRPr="0094735C">
        <w:rPr>
          <w:b/>
          <w:sz w:val="18"/>
          <w:szCs w:val="18"/>
          <w:lang w:val="es-MX"/>
        </w:rPr>
        <w:t xml:space="preserve"> impulsadas por narrativas especulativas.</w:t>
      </w:r>
    </w:p>
    <w:p w14:paraId="59F2D0B6" w14:textId="799C669B" w:rsidR="00732E46" w:rsidRPr="0094735C" w:rsidRDefault="00732E46" w:rsidP="0094735C">
      <w:pPr>
        <w:pStyle w:val="Ttulo1"/>
        <w:jc w:val="left"/>
        <w:rPr>
          <w:lang w:val="es-MX"/>
        </w:rPr>
      </w:pPr>
    </w:p>
    <w:p w14:paraId="43794709" w14:textId="1AB65A92" w:rsidR="004063A4" w:rsidRPr="0094735C" w:rsidRDefault="0094735C" w:rsidP="004063A4">
      <w:pPr>
        <w:keepNext/>
        <w:framePr w:dropCap="drop" w:lines="3" w:wrap="around" w:vAnchor="text" w:hAnchor="text"/>
        <w:pBdr>
          <w:top w:val="nil"/>
          <w:left w:val="nil"/>
        </w:pBdr>
        <w:spacing w:line="724" w:lineRule="exact"/>
        <w:jc w:val="both"/>
        <w:textAlignment w:val="baseline"/>
        <w:rPr>
          <w:smallCaps/>
          <w:color w:val="000000"/>
          <w:position w:val="-9"/>
          <w:sz w:val="97"/>
          <w:lang w:val="es-MX"/>
        </w:rPr>
      </w:pPr>
      <w:r w:rsidRPr="0094735C">
        <w:rPr>
          <w:smallCaps/>
          <w:color w:val="000000"/>
          <w:position w:val="-9"/>
          <w:sz w:val="97"/>
          <w:lang w:val="es-MX"/>
        </w:rPr>
        <w:t>D</w:t>
      </w:r>
    </w:p>
    <w:p w14:paraId="268E2B85" w14:textId="430504CD" w:rsidR="0094735C" w:rsidRPr="0094735C" w:rsidRDefault="0094735C" w:rsidP="00947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s-MX"/>
        </w:rPr>
      </w:pPr>
      <w:r>
        <w:rPr>
          <w:lang w:val="es-MX"/>
        </w:rPr>
        <w:t xml:space="preserve">URANTE el último año el mercado de las criptomonedas ha tenido un auge en popularidad, se puede notar como individualmente cada una de las criptomonedas tubo más volumen de ventas a finales de 2024. </w:t>
      </w:r>
      <w:r w:rsidRPr="0094735C">
        <w:rPr>
          <w:lang w:val="es-MX"/>
        </w:rPr>
        <w:t>Bitcoin (BTC) registró un crecimiento significativo, pasando de 60,000 USD a 100,000 USD, un hito psicológico que atrajo atención institucional. Su volumen de transacciones alcanzó 1×10¹¹ USD, el más alto entre las criptomonedas analizadas. Este comportamiento podría asociarse a la superación de la barrera de los 100,000 USD, un umbral que incentivó la adopción por parte de inversores.</w:t>
      </w:r>
      <w:r>
        <w:rPr>
          <w:lang w:val="es-MX"/>
        </w:rPr>
        <w:t xml:space="preserve"> </w:t>
      </w:r>
      <w:proofErr w:type="spellStart"/>
      <w:r w:rsidRPr="0094735C">
        <w:rPr>
          <w:lang w:val="es-MX"/>
        </w:rPr>
        <w:t>Dogecoin</w:t>
      </w:r>
      <w:proofErr w:type="spellEnd"/>
      <w:r w:rsidRPr="0094735C">
        <w:rPr>
          <w:lang w:val="es-MX"/>
        </w:rPr>
        <w:t xml:space="preserve"> (DOGE) experimentó una </w:t>
      </w:r>
      <w:r>
        <w:rPr>
          <w:lang w:val="es-MX"/>
        </w:rPr>
        <w:t>explosión</w:t>
      </w:r>
      <w:r w:rsidRPr="0094735C">
        <w:rPr>
          <w:lang w:val="es-MX"/>
        </w:rPr>
        <w:t xml:space="preserve"> de precio de 0.10 USD a 0.45 USD, acompañada de un volumen máximo de 4×10¹⁰ USD. Este repunte coincide con declaraciones públicas de Elon Musk, como propuestas de integración de </w:t>
      </w:r>
      <w:proofErr w:type="spellStart"/>
      <w:r w:rsidRPr="0094735C">
        <w:rPr>
          <w:lang w:val="es-MX"/>
        </w:rPr>
        <w:t>Dogecoin</w:t>
      </w:r>
      <w:proofErr w:type="spellEnd"/>
      <w:r w:rsidRPr="0094735C">
        <w:rPr>
          <w:lang w:val="es-MX"/>
        </w:rPr>
        <w:t xml:space="preserve"> en plataformas como X/Twitter o Tesla. La influencia de Musk en redes sociales suele generar ciclos de compra impulsiva, lo que se refleja en los picos de volumen y la naturaleza especulativa de este activo.</w:t>
      </w:r>
      <w:r>
        <w:rPr>
          <w:lang w:val="es-MX"/>
        </w:rPr>
        <w:t xml:space="preserve"> </w:t>
      </w:r>
      <w:r w:rsidRPr="0094735C">
        <w:rPr>
          <w:lang w:val="es-MX"/>
        </w:rPr>
        <w:t xml:space="preserve">Ethereum (ETH) mostró un crecimiento de 0.5 USD a 3.0 USD, ajustado a posibles divisiones de acciones o actualizaciones técnicas, junto con un volumen máximo de 8×10¹⁰ USD. Este desempeño podría vincularse a la finalización de Ethereum 2.0, que completó la transición a </w:t>
      </w:r>
      <w:proofErr w:type="spellStart"/>
      <w:r w:rsidRPr="0094735C">
        <w:rPr>
          <w:lang w:val="es-MX"/>
        </w:rPr>
        <w:t>Proof</w:t>
      </w:r>
      <w:proofErr w:type="spellEnd"/>
      <w:r w:rsidRPr="0094735C">
        <w:rPr>
          <w:lang w:val="es-MX"/>
        </w:rPr>
        <w:t>-of-</w:t>
      </w:r>
      <w:proofErr w:type="spellStart"/>
      <w:r w:rsidRPr="0094735C">
        <w:rPr>
          <w:lang w:val="es-MX"/>
        </w:rPr>
        <w:t>Stake</w:t>
      </w:r>
      <w:proofErr w:type="spellEnd"/>
      <w:r w:rsidRPr="0094735C">
        <w:rPr>
          <w:lang w:val="es-MX"/>
        </w:rPr>
        <w:t>. La actualización mejoró la escalabilidad de la red y redujo costos de transacción, atrayendo a desarrolladores y proyectos de aplicaciones descentralizadas (</w:t>
      </w:r>
      <w:proofErr w:type="spellStart"/>
      <w:r w:rsidRPr="0094735C">
        <w:rPr>
          <w:lang w:val="es-MX"/>
        </w:rPr>
        <w:t>dApps</w:t>
      </w:r>
      <w:proofErr w:type="spellEnd"/>
      <w:r w:rsidRPr="0094735C">
        <w:rPr>
          <w:lang w:val="es-MX"/>
        </w:rPr>
        <w:t>), lo que reforzó su utilidad más allá del ámbito financiero.</w:t>
      </w:r>
      <w:r>
        <w:rPr>
          <w:lang w:val="es-MX"/>
        </w:rPr>
        <w:t xml:space="preserve"> </w:t>
      </w:r>
      <w:r w:rsidRPr="0094735C">
        <w:rPr>
          <w:lang w:val="es-MX"/>
        </w:rPr>
        <w:t>XRP (</w:t>
      </w:r>
      <w:proofErr w:type="spellStart"/>
      <w:r w:rsidRPr="0094735C">
        <w:rPr>
          <w:lang w:val="es-MX"/>
        </w:rPr>
        <w:t>Ripple</w:t>
      </w:r>
      <w:proofErr w:type="spellEnd"/>
      <w:r w:rsidRPr="0094735C">
        <w:rPr>
          <w:lang w:val="es-MX"/>
        </w:rPr>
        <w:t>) osciló entre 0.2 USD y 1.4 USD, con un volumen máximo de 5×10¹⁰ USD. Las fluctuaciones podrían relacionarse con avances en el litigio con la Comisión de Bolsa y Valores de EE.UU. (SEC), como acuerdos parciales o sentencias favorables. La resolución de incertidumbres legales habría incentivado transacciones a corto plazo, seguida de correcciones por toma de ganancias, reflejando la sensibilidad del precio a factores regulatorios.</w:t>
      </w:r>
    </w:p>
    <w:p w14:paraId="11FFA2F4" w14:textId="77777777" w:rsidR="0094735C" w:rsidRDefault="0094735C" w:rsidP="00947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70"/>
        <w:jc w:val="both"/>
        <w:rPr>
          <w:lang w:val="es-MX"/>
        </w:rPr>
      </w:pPr>
    </w:p>
    <w:p w14:paraId="477FE26F" w14:textId="1B680884" w:rsidR="0094735C" w:rsidRPr="0094735C" w:rsidRDefault="0094735C" w:rsidP="00947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70"/>
        <w:jc w:val="both"/>
        <w:rPr>
          <w:lang w:val="es-MX"/>
        </w:rPr>
      </w:pPr>
      <w:r w:rsidRPr="0094735C">
        <w:rPr>
          <w:lang w:val="es-MX"/>
        </w:rPr>
        <w:t>E</w:t>
      </w:r>
      <w:r>
        <w:rPr>
          <w:lang w:val="es-MX"/>
        </w:rPr>
        <w:t>n conclusión,  e</w:t>
      </w:r>
      <w:r w:rsidRPr="0094735C">
        <w:rPr>
          <w:lang w:val="es-MX"/>
        </w:rPr>
        <w:t xml:space="preserve">l impacto de figuras como Elon Musk en </w:t>
      </w:r>
      <w:proofErr w:type="spellStart"/>
      <w:r w:rsidRPr="0094735C">
        <w:rPr>
          <w:lang w:val="es-MX"/>
        </w:rPr>
        <w:t>Dogecoin</w:t>
      </w:r>
      <w:proofErr w:type="spellEnd"/>
      <w:r w:rsidRPr="0094735C">
        <w:rPr>
          <w:lang w:val="es-MX"/>
        </w:rPr>
        <w:t xml:space="preserve"> es un ejemplo claro de cómo las narrativas externas influyen en criptomonedas especulativas. Sus declaraciones, como "</w:t>
      </w:r>
      <w:proofErr w:type="spellStart"/>
      <w:r w:rsidRPr="0094735C">
        <w:rPr>
          <w:lang w:val="es-MX"/>
        </w:rPr>
        <w:t>Doge</w:t>
      </w:r>
      <w:proofErr w:type="spellEnd"/>
      <w:r w:rsidRPr="0094735C">
        <w:rPr>
          <w:lang w:val="es-MX"/>
        </w:rPr>
        <w:t xml:space="preserve"> to </w:t>
      </w:r>
      <w:proofErr w:type="spellStart"/>
      <w:r w:rsidRPr="0094735C">
        <w:rPr>
          <w:lang w:val="es-MX"/>
        </w:rPr>
        <w:t>the</w:t>
      </w:r>
      <w:proofErr w:type="spellEnd"/>
      <w:r w:rsidRPr="0094735C">
        <w:rPr>
          <w:lang w:val="es-MX"/>
        </w:rPr>
        <w:t xml:space="preserve"> Moon", históricamente han desencadenado </w:t>
      </w:r>
      <w:proofErr w:type="spellStart"/>
      <w:r w:rsidRPr="0094735C">
        <w:rPr>
          <w:lang w:val="es-MX"/>
        </w:rPr>
        <w:t>rallies</w:t>
      </w:r>
      <w:proofErr w:type="spellEnd"/>
      <w:r w:rsidRPr="0094735C">
        <w:rPr>
          <w:lang w:val="es-MX"/>
        </w:rPr>
        <w:t xml:space="preserve">, con volúmenes elevados que sugieren </w:t>
      </w:r>
      <w:proofErr w:type="gramStart"/>
      <w:r w:rsidRPr="0094735C">
        <w:rPr>
          <w:lang w:val="es-MX"/>
        </w:rPr>
        <w:t>participación activa</w:t>
      </w:r>
      <w:proofErr w:type="gramEnd"/>
      <w:r w:rsidRPr="0094735C">
        <w:rPr>
          <w:lang w:val="es-MX"/>
        </w:rPr>
        <w:t xml:space="preserve"> de minoristas. Por otro lado, Bitcoin consolidó su rol tras superar los 100,000 USD, coincidiendo con noticias de fondos de pensiones y bancos centrales explorándolo como cobertura contra la inflación. Ethereum, en cambio, destacó por avances técnicos: la reducción de emisiones de carbono tras Ethereum 2.0 alineó el proyecto con criterios ESG, atrayendo capital ético. En el caso de XRP, los movimientos estuvieron ligados a su batalla legal con la SEC, donde cada avance judicial generó expectativas y ajustes rápidos en el mercado.</w:t>
      </w:r>
    </w:p>
    <w:p w14:paraId="41C918F2" w14:textId="32F1E631" w:rsidR="00732E46" w:rsidRPr="0094735C" w:rsidRDefault="0094735C" w:rsidP="009473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70"/>
        <w:jc w:val="both"/>
        <w:rPr>
          <w:u w:val="single"/>
          <w:lang w:val="es-MX"/>
        </w:rPr>
      </w:pPr>
      <w:r w:rsidRPr="0094735C">
        <w:rPr>
          <w:lang w:val="es-MX"/>
        </w:rPr>
        <w:t xml:space="preserve">El mercado de criptomonedas durante este período refleja un ecosistema en transición, donde factores externos como tecnología, regulación y figuras influyentes siguen siendo impulsores críticos. Bitcoin se consolida como "oro digital", respaldado por adopción institucional, mientras </w:t>
      </w:r>
      <w:proofErr w:type="spellStart"/>
      <w:r w:rsidRPr="0094735C">
        <w:rPr>
          <w:lang w:val="es-MX"/>
        </w:rPr>
        <w:t>altcoins</w:t>
      </w:r>
      <w:proofErr w:type="spellEnd"/>
      <w:r w:rsidRPr="0094735C">
        <w:rPr>
          <w:lang w:val="es-MX"/>
        </w:rPr>
        <w:t xml:space="preserve"> como </w:t>
      </w:r>
      <w:proofErr w:type="spellStart"/>
      <w:r w:rsidRPr="0094735C">
        <w:rPr>
          <w:lang w:val="es-MX"/>
        </w:rPr>
        <w:t>Dogecoin</w:t>
      </w:r>
      <w:proofErr w:type="spellEnd"/>
      <w:r w:rsidRPr="0094735C">
        <w:rPr>
          <w:lang w:val="es-MX"/>
        </w:rPr>
        <w:t xml:space="preserve"> dependen de ciclos especulativos. Ethereum, con su enfoque en utilidad técnica, podría liderar innovaciones en Web3, especialmente con el desarrollo de soluciones de capa 2. A corto plazo, se anticipa que eventos regulatorios</w:t>
      </w:r>
      <w:r>
        <w:rPr>
          <w:lang w:val="es-MX"/>
        </w:rPr>
        <w:t xml:space="preserve">, </w:t>
      </w:r>
      <w:r w:rsidRPr="0094735C">
        <w:rPr>
          <w:lang w:val="es-MX"/>
        </w:rPr>
        <w:t xml:space="preserve">como la implementación de leyes </w:t>
      </w:r>
      <w:proofErr w:type="spellStart"/>
      <w:r w:rsidRPr="0094735C">
        <w:rPr>
          <w:lang w:val="es-MX"/>
        </w:rPr>
        <w:t>MiCA</w:t>
      </w:r>
      <w:proofErr w:type="spellEnd"/>
      <w:r w:rsidRPr="0094735C">
        <w:rPr>
          <w:lang w:val="es-MX"/>
        </w:rPr>
        <w:t xml:space="preserve"> en la UE y avances tecnológicos continuarán definiendo las tendencias</w:t>
      </w:r>
      <w:r>
        <w:rPr>
          <w:lang w:val="es-MX"/>
        </w:rPr>
        <w:t>, por lo que, para el manejo de un portafolio de criptomonedas, e</w:t>
      </w:r>
      <w:r w:rsidRPr="0094735C">
        <w:rPr>
          <w:lang w:val="es-MX"/>
        </w:rPr>
        <w:t>s crucial monitorear anuncios de líderes de opinión, hitos en actualizaciones de redes y resoluciones legales para anticipar volatilidad.</w:t>
      </w:r>
    </w:p>
    <w:sectPr w:rsidR="00732E46" w:rsidRPr="0094735C" w:rsidSect="00002FAF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num="2" w:space="720" w:equalWidth="0">
        <w:col w:w="5040" w:space="288"/>
        <w:col w:w="5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CB35" w14:textId="77777777" w:rsidR="00DF7AE7" w:rsidRDefault="00DF7AE7">
      <w:r>
        <w:separator/>
      </w:r>
    </w:p>
  </w:endnote>
  <w:endnote w:type="continuationSeparator" w:id="0">
    <w:p w14:paraId="3EEC0CE9" w14:textId="77777777" w:rsidR="00DF7AE7" w:rsidRDefault="00DF7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Perpetua"/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A316" w14:textId="77777777" w:rsidR="00DF7AE7" w:rsidRPr="009A0AA6" w:rsidRDefault="00DF7AE7" w:rsidP="009A0AA6">
      <w:pPr>
        <w:pStyle w:val="Piedepgina"/>
      </w:pPr>
    </w:p>
  </w:footnote>
  <w:footnote w:type="continuationSeparator" w:id="0">
    <w:p w14:paraId="6A2342EA" w14:textId="77777777" w:rsidR="00DF7AE7" w:rsidRDefault="00DF7AE7">
      <w:r>
        <w:continuationSeparator/>
      </w:r>
    </w:p>
  </w:footnote>
  <w:footnote w:id="1">
    <w:p w14:paraId="4102162F" w14:textId="3873B2A6" w:rsidR="00BE4774" w:rsidRDefault="00BE4774" w:rsidP="0094735C">
      <w:pPr>
        <w:pStyle w:val="Textonotapie"/>
        <w:ind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F23C" w14:textId="09838F3B" w:rsidR="00732E46" w:rsidRDefault="000F2C11" w:rsidP="0094735C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4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5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Ttulo2"/>
      <w:lvlText w:val=""/>
      <w:lvlJc w:val="left"/>
      <w:pPr>
        <w:ind w:left="0" w:firstLine="0"/>
      </w:pPr>
    </w:lvl>
    <w:lvl w:ilvl="2">
      <w:start w:val="1"/>
      <w:numFmt w:val="bullet"/>
      <w:pStyle w:val="Ttulo3"/>
      <w:lvlText w:val=""/>
      <w:lvlJc w:val="left"/>
      <w:pPr>
        <w:ind w:left="0" w:firstLine="0"/>
      </w:pPr>
    </w:lvl>
    <w:lvl w:ilvl="3">
      <w:start w:val="1"/>
      <w:numFmt w:val="bullet"/>
      <w:pStyle w:val="Ttulo4"/>
      <w:lvlText w:val=""/>
      <w:lvlJc w:val="left"/>
      <w:pPr>
        <w:ind w:left="0" w:firstLine="0"/>
      </w:pPr>
    </w:lvl>
    <w:lvl w:ilvl="4">
      <w:start w:val="1"/>
      <w:numFmt w:val="bullet"/>
      <w:pStyle w:val="Ttulo5"/>
      <w:lvlText w:val=""/>
      <w:lvlJc w:val="left"/>
      <w:pPr>
        <w:ind w:left="0" w:firstLine="0"/>
      </w:pPr>
    </w:lvl>
    <w:lvl w:ilvl="5">
      <w:start w:val="1"/>
      <w:numFmt w:val="bullet"/>
      <w:pStyle w:val="Ttulo6"/>
      <w:lvlText w:val=""/>
      <w:lvlJc w:val="left"/>
      <w:pPr>
        <w:ind w:left="0" w:firstLine="0"/>
      </w:pPr>
    </w:lvl>
    <w:lvl w:ilvl="6">
      <w:start w:val="1"/>
      <w:numFmt w:val="bullet"/>
      <w:pStyle w:val="Ttulo7"/>
      <w:lvlText w:val=""/>
      <w:lvlJc w:val="left"/>
      <w:pPr>
        <w:ind w:left="0" w:firstLine="0"/>
      </w:pPr>
    </w:lvl>
    <w:lvl w:ilvl="7">
      <w:start w:val="1"/>
      <w:numFmt w:val="bullet"/>
      <w:pStyle w:val="Ttulo8"/>
      <w:lvlText w:val=""/>
      <w:lvlJc w:val="left"/>
      <w:pPr>
        <w:ind w:left="0" w:firstLine="0"/>
      </w:pPr>
    </w:lvl>
    <w:lvl w:ilvl="8">
      <w:start w:val="1"/>
      <w:numFmt w:val="bullet"/>
      <w:pStyle w:val="Ttulo9"/>
      <w:lvlText w:val=""/>
      <w:lvlJc w:val="left"/>
      <w:pPr>
        <w:ind w:left="0" w:firstLine="0"/>
      </w:pPr>
    </w:lvl>
  </w:abstractNum>
  <w:abstractNum w:abstractNumId="10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4254">
    <w:abstractNumId w:val="9"/>
  </w:num>
  <w:num w:numId="2" w16cid:durableId="1182279118">
    <w:abstractNumId w:val="2"/>
  </w:num>
  <w:num w:numId="3" w16cid:durableId="83192768">
    <w:abstractNumId w:val="1"/>
  </w:num>
  <w:num w:numId="4" w16cid:durableId="1311791867">
    <w:abstractNumId w:val="8"/>
  </w:num>
  <w:num w:numId="5" w16cid:durableId="171183208">
    <w:abstractNumId w:val="5"/>
  </w:num>
  <w:num w:numId="6" w16cid:durableId="1268463963">
    <w:abstractNumId w:val="6"/>
  </w:num>
  <w:num w:numId="7" w16cid:durableId="4393726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4"/>
  </w:num>
  <w:num w:numId="9" w16cid:durableId="1950312838">
    <w:abstractNumId w:val="3"/>
  </w:num>
  <w:num w:numId="10" w16cid:durableId="881602541">
    <w:abstractNumId w:val="7"/>
  </w:num>
  <w:num w:numId="11" w16cid:durableId="830146748">
    <w:abstractNumId w:val="0"/>
  </w:num>
  <w:num w:numId="12" w16cid:durableId="947540831">
    <w:abstractNumId w:val="11"/>
  </w:num>
  <w:num w:numId="13" w16cid:durableId="1525364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6"/>
    <w:rsid w:val="00002FAF"/>
    <w:rsid w:val="00023182"/>
    <w:rsid w:val="00031B79"/>
    <w:rsid w:val="0003442C"/>
    <w:rsid w:val="000403AE"/>
    <w:rsid w:val="00050683"/>
    <w:rsid w:val="00053B2E"/>
    <w:rsid w:val="000650E5"/>
    <w:rsid w:val="00067023"/>
    <w:rsid w:val="00081747"/>
    <w:rsid w:val="00085D7A"/>
    <w:rsid w:val="000968E1"/>
    <w:rsid w:val="000C21BE"/>
    <w:rsid w:val="000D4F4C"/>
    <w:rsid w:val="000F2C11"/>
    <w:rsid w:val="000F400B"/>
    <w:rsid w:val="00114406"/>
    <w:rsid w:val="00124A09"/>
    <w:rsid w:val="0014692A"/>
    <w:rsid w:val="00152AB3"/>
    <w:rsid w:val="00170C54"/>
    <w:rsid w:val="001743EC"/>
    <w:rsid w:val="00180047"/>
    <w:rsid w:val="0019206C"/>
    <w:rsid w:val="001B020C"/>
    <w:rsid w:val="001B0334"/>
    <w:rsid w:val="001B2E51"/>
    <w:rsid w:val="001E7EDB"/>
    <w:rsid w:val="001F1173"/>
    <w:rsid w:val="001F2329"/>
    <w:rsid w:val="001F512A"/>
    <w:rsid w:val="00201147"/>
    <w:rsid w:val="00233A4C"/>
    <w:rsid w:val="00234ABB"/>
    <w:rsid w:val="002577ED"/>
    <w:rsid w:val="00262D2F"/>
    <w:rsid w:val="002775B6"/>
    <w:rsid w:val="00282E76"/>
    <w:rsid w:val="00285E41"/>
    <w:rsid w:val="002947C5"/>
    <w:rsid w:val="002E2421"/>
    <w:rsid w:val="002F221E"/>
    <w:rsid w:val="00305C29"/>
    <w:rsid w:val="0031286C"/>
    <w:rsid w:val="00313303"/>
    <w:rsid w:val="00357347"/>
    <w:rsid w:val="0036091A"/>
    <w:rsid w:val="003913E5"/>
    <w:rsid w:val="003F021E"/>
    <w:rsid w:val="00402320"/>
    <w:rsid w:val="004063A4"/>
    <w:rsid w:val="00474613"/>
    <w:rsid w:val="0048247F"/>
    <w:rsid w:val="004A4B26"/>
    <w:rsid w:val="004B29E3"/>
    <w:rsid w:val="004B4F5E"/>
    <w:rsid w:val="004C0A1B"/>
    <w:rsid w:val="004C0A56"/>
    <w:rsid w:val="004C1E98"/>
    <w:rsid w:val="004C2573"/>
    <w:rsid w:val="00533E1B"/>
    <w:rsid w:val="00550D56"/>
    <w:rsid w:val="0056364D"/>
    <w:rsid w:val="0059348A"/>
    <w:rsid w:val="005A170E"/>
    <w:rsid w:val="005A2567"/>
    <w:rsid w:val="005B43C2"/>
    <w:rsid w:val="005C18AE"/>
    <w:rsid w:val="005C68BC"/>
    <w:rsid w:val="005E2D10"/>
    <w:rsid w:val="005E69DC"/>
    <w:rsid w:val="005F0DEA"/>
    <w:rsid w:val="005F12E8"/>
    <w:rsid w:val="005F4497"/>
    <w:rsid w:val="005F5E3C"/>
    <w:rsid w:val="006068E5"/>
    <w:rsid w:val="00613800"/>
    <w:rsid w:val="006209FC"/>
    <w:rsid w:val="00621141"/>
    <w:rsid w:val="00636D0A"/>
    <w:rsid w:val="00645190"/>
    <w:rsid w:val="006514FE"/>
    <w:rsid w:val="0065173B"/>
    <w:rsid w:val="00660F88"/>
    <w:rsid w:val="00676D76"/>
    <w:rsid w:val="006774B8"/>
    <w:rsid w:val="00694E0B"/>
    <w:rsid w:val="006B68F3"/>
    <w:rsid w:val="006C32BD"/>
    <w:rsid w:val="006C60F0"/>
    <w:rsid w:val="006E42E3"/>
    <w:rsid w:val="006F18B8"/>
    <w:rsid w:val="006F6F5A"/>
    <w:rsid w:val="007054D1"/>
    <w:rsid w:val="00732E46"/>
    <w:rsid w:val="00756915"/>
    <w:rsid w:val="00771AA2"/>
    <w:rsid w:val="007938DE"/>
    <w:rsid w:val="007A2DEB"/>
    <w:rsid w:val="007B07C3"/>
    <w:rsid w:val="007B38DE"/>
    <w:rsid w:val="007B62A7"/>
    <w:rsid w:val="007C410D"/>
    <w:rsid w:val="007C5FE2"/>
    <w:rsid w:val="007E5119"/>
    <w:rsid w:val="007E713A"/>
    <w:rsid w:val="007F4FB6"/>
    <w:rsid w:val="0080720F"/>
    <w:rsid w:val="00810E2F"/>
    <w:rsid w:val="00813371"/>
    <w:rsid w:val="00827FB8"/>
    <w:rsid w:val="008313C6"/>
    <w:rsid w:val="00851B4D"/>
    <w:rsid w:val="00874977"/>
    <w:rsid w:val="008856C3"/>
    <w:rsid w:val="0089298D"/>
    <w:rsid w:val="008E1FF8"/>
    <w:rsid w:val="008E4F03"/>
    <w:rsid w:val="00932FBA"/>
    <w:rsid w:val="009454A2"/>
    <w:rsid w:val="0094735C"/>
    <w:rsid w:val="00954BD6"/>
    <w:rsid w:val="0096199E"/>
    <w:rsid w:val="00986618"/>
    <w:rsid w:val="009A0AA6"/>
    <w:rsid w:val="009A380C"/>
    <w:rsid w:val="009B429F"/>
    <w:rsid w:val="009D0B85"/>
    <w:rsid w:val="009E2C51"/>
    <w:rsid w:val="009E73E3"/>
    <w:rsid w:val="00A26A6A"/>
    <w:rsid w:val="00A27561"/>
    <w:rsid w:val="00A320DF"/>
    <w:rsid w:val="00A41540"/>
    <w:rsid w:val="00A530D2"/>
    <w:rsid w:val="00A6122B"/>
    <w:rsid w:val="00A65256"/>
    <w:rsid w:val="00A80BDA"/>
    <w:rsid w:val="00A853F3"/>
    <w:rsid w:val="00AA5225"/>
    <w:rsid w:val="00AB4C22"/>
    <w:rsid w:val="00AC0FD4"/>
    <w:rsid w:val="00AF3089"/>
    <w:rsid w:val="00B05CCE"/>
    <w:rsid w:val="00B07BB7"/>
    <w:rsid w:val="00B10AF1"/>
    <w:rsid w:val="00B51AB6"/>
    <w:rsid w:val="00B54450"/>
    <w:rsid w:val="00B60677"/>
    <w:rsid w:val="00B630FA"/>
    <w:rsid w:val="00B83635"/>
    <w:rsid w:val="00BC0495"/>
    <w:rsid w:val="00BE4774"/>
    <w:rsid w:val="00C04F49"/>
    <w:rsid w:val="00C16047"/>
    <w:rsid w:val="00C25825"/>
    <w:rsid w:val="00C52F3D"/>
    <w:rsid w:val="00C54B70"/>
    <w:rsid w:val="00C64D24"/>
    <w:rsid w:val="00C72820"/>
    <w:rsid w:val="00C7592D"/>
    <w:rsid w:val="00C821C0"/>
    <w:rsid w:val="00C9162C"/>
    <w:rsid w:val="00CB5CB4"/>
    <w:rsid w:val="00CC21A8"/>
    <w:rsid w:val="00CD54DC"/>
    <w:rsid w:val="00CF48E2"/>
    <w:rsid w:val="00D050EC"/>
    <w:rsid w:val="00D05F12"/>
    <w:rsid w:val="00D10AC8"/>
    <w:rsid w:val="00D20E00"/>
    <w:rsid w:val="00D66528"/>
    <w:rsid w:val="00D83AF6"/>
    <w:rsid w:val="00D868B8"/>
    <w:rsid w:val="00D87F8B"/>
    <w:rsid w:val="00DA34C3"/>
    <w:rsid w:val="00DA5A9A"/>
    <w:rsid w:val="00DB3364"/>
    <w:rsid w:val="00DB4355"/>
    <w:rsid w:val="00DC758F"/>
    <w:rsid w:val="00DD7F24"/>
    <w:rsid w:val="00DE0BEA"/>
    <w:rsid w:val="00DF6629"/>
    <w:rsid w:val="00DF7AE7"/>
    <w:rsid w:val="00E05735"/>
    <w:rsid w:val="00E2077B"/>
    <w:rsid w:val="00E247D3"/>
    <w:rsid w:val="00E30D60"/>
    <w:rsid w:val="00E43791"/>
    <w:rsid w:val="00E45781"/>
    <w:rsid w:val="00E57D3D"/>
    <w:rsid w:val="00E625A7"/>
    <w:rsid w:val="00E653B5"/>
    <w:rsid w:val="00E65DF7"/>
    <w:rsid w:val="00E90136"/>
    <w:rsid w:val="00EA352F"/>
    <w:rsid w:val="00EC35CE"/>
    <w:rsid w:val="00EE01E7"/>
    <w:rsid w:val="00EE02E8"/>
    <w:rsid w:val="00EF6430"/>
    <w:rsid w:val="00F172C1"/>
    <w:rsid w:val="00F22A05"/>
    <w:rsid w:val="00F33F99"/>
    <w:rsid w:val="00F63565"/>
    <w:rsid w:val="00F67007"/>
    <w:rsid w:val="00FA6C74"/>
    <w:rsid w:val="00FB41DF"/>
    <w:rsid w:val="00FD69D2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34F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27FB8"/>
    <w:pPr>
      <w:keepNext/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Normal"/>
    <w:next w:val="Normal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"/>
    <w:next w:val="Normal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extonotapie">
    <w:name w:val="footnote text"/>
    <w:basedOn w:val="Normal"/>
    <w:link w:val="TextonotapieC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Normal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"/>
    <w:next w:val="Normal"/>
    <w:pPr>
      <w:ind w:firstLine="202"/>
      <w:jc w:val="both"/>
    </w:pPr>
    <w:rPr>
      <w:b/>
      <w:bCs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tulo1"/>
    <w:link w:val="ReferenceHeadChar"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"/>
    <w:next w:val="Normal"/>
    <w:pPr>
      <w:widowControl w:val="0"/>
      <w:tabs>
        <w:tab w:val="right" w:pos="5040"/>
      </w:tabs>
      <w:spacing w:line="252" w:lineRule="auto"/>
      <w:jc w:val="both"/>
    </w:p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pPr>
      <w:ind w:left="630" w:hanging="630"/>
    </w:pPr>
    <w:rPr>
      <w:szCs w:val="24"/>
    </w:rPr>
  </w:style>
  <w:style w:type="paragraph" w:styleId="Mapadeldocumento">
    <w:name w:val="Document Map"/>
    <w:basedOn w:val="Normal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Normal"/>
    <w:next w:val="Normal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">
    <w:name w:val="A5"/>
    <w:rsid w:val="00426966"/>
    <w:rPr>
      <w:color w:val="00529F"/>
      <w:sz w:val="20"/>
      <w:szCs w:val="20"/>
    </w:rPr>
  </w:style>
  <w:style w:type="paragraph" w:styleId="Textodeglobo">
    <w:name w:val="Balloon Text"/>
    <w:basedOn w:val="Normal"/>
    <w:link w:val="TextodegloboCar"/>
    <w:rsid w:val="00F33D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Normal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Ttulo1Car">
    <w:name w:val="Título 1 Car"/>
    <w:link w:val="Ttulo1"/>
    <w:uiPriority w:val="9"/>
    <w:rsid w:val="00827FB8"/>
    <w:rPr>
      <w:smallCaps/>
      <w:kern w:val="28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Ttulo2Car">
    <w:name w:val="Título 2 Car"/>
    <w:link w:val="Ttulo2"/>
    <w:uiPriority w:val="9"/>
    <w:rsid w:val="001B36B1"/>
    <w:rPr>
      <w:i/>
      <w:iCs/>
    </w:rPr>
  </w:style>
  <w:style w:type="paragraph" w:customStyle="1" w:styleId="TextL-MAG">
    <w:name w:val="Text L-MAG"/>
    <w:basedOn w:val="Normal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90C10"/>
  </w:style>
  <w:style w:type="character" w:customStyle="1" w:styleId="TextonotapieCar">
    <w:name w:val="Texto nota pie Car"/>
    <w:link w:val="Textonotapie"/>
    <w:semiHidden/>
    <w:rsid w:val="00C075EF"/>
    <w:rPr>
      <w:sz w:val="16"/>
      <w:szCs w:val="16"/>
    </w:rPr>
  </w:style>
  <w:style w:type="character" w:customStyle="1" w:styleId="SangradetextonormalCar">
    <w:name w:val="Sangría de texto normal Car"/>
    <w:link w:val="Sangradetextonormal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Fuentedeprrafopredeter"/>
    <w:rsid w:val="0076355A"/>
  </w:style>
  <w:style w:type="paragraph" w:customStyle="1" w:styleId="ColorfulList-Accent11">
    <w:name w:val="Colorful List - Accent 11"/>
    <w:basedOn w:val="Normal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932B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E7ED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E7EDB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E7ED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E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EDB"/>
    <w:rPr>
      <w:b/>
      <w:bCs/>
    </w:rPr>
  </w:style>
  <w:style w:type="paragraph" w:styleId="Prrafodelista">
    <w:name w:val="List Paragraph"/>
    <w:basedOn w:val="Normal"/>
    <w:uiPriority w:val="34"/>
    <w:qFormat/>
    <w:rsid w:val="00DB3364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947C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2025-05-11T08:25:00Z</dcterms:created>
  <dcterms:modified xsi:type="dcterms:W3CDTF">2025-05-11T08:25:00Z</dcterms:modified>
</cp:coreProperties>
</file>