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38B8" w14:textId="72E3E305" w:rsidR="005434AE" w:rsidRDefault="005434AE">
      <w:r>
        <w:t>Lista 18</w:t>
      </w:r>
    </w:p>
    <w:p w14:paraId="45A6EADA" w14:textId="77777777" w:rsidR="005434AE" w:rsidRDefault="005434AE"/>
    <w:p w14:paraId="729BD98E" w14:textId="77777777" w:rsidR="005434AE" w:rsidRDefault="005434AE">
      <w:r w:rsidRPr="005434AE">
        <w:t xml:space="preserve">01) Em um navio cujo deslocamento é de 16000 t, uma carga de 500 t é removida do convés para o cobro numa distância vertical de 16 m. Determine de quanto deslocou o centro de gravidade do navio. 02) O navio “Comte. </w:t>
      </w:r>
      <w:proofErr w:type="spellStart"/>
      <w:r w:rsidRPr="005434AE">
        <w:t>Origuela</w:t>
      </w:r>
      <w:proofErr w:type="spellEnd"/>
      <w:r w:rsidRPr="005434AE">
        <w:t xml:space="preserve">” apresenta deslocamento de 5000 t, KG = 8,67m e KM = 9,17 m. Uma carga de 300 t é removida do convés para o cobro do porão nº 03 numa distância vertical de 12 m. Com base nestes dados, determine: </w:t>
      </w:r>
    </w:p>
    <w:p w14:paraId="7ED54D79" w14:textId="77777777" w:rsidR="005434AE" w:rsidRDefault="005434AE"/>
    <w:p w14:paraId="1564F55E" w14:textId="77777777" w:rsidR="005434AE" w:rsidRDefault="005434AE">
      <w:r w:rsidRPr="005434AE">
        <w:t>a) de quanto deslocou o centro de gravidade;</w:t>
      </w:r>
    </w:p>
    <w:p w14:paraId="0FDDB6A7" w14:textId="77777777" w:rsidR="005434AE" w:rsidRDefault="005434AE"/>
    <w:p w14:paraId="7E734504" w14:textId="77777777" w:rsidR="005434AE" w:rsidRDefault="005434AE">
      <w:r w:rsidRPr="005434AE">
        <w:t xml:space="preserve"> b) a cota do centro de gravidade após a remoção;</w:t>
      </w:r>
    </w:p>
    <w:p w14:paraId="5266D388" w14:textId="77777777" w:rsidR="005434AE" w:rsidRDefault="005434AE"/>
    <w:p w14:paraId="3E2ACA2C" w14:textId="272BB260" w:rsidR="005434AE" w:rsidRDefault="005434AE">
      <w:r w:rsidRPr="005434AE">
        <w:t xml:space="preserve"> c) a altura metacêntrica após a remoção; considere a cota do metacentro inalterada; d) o estado de equilíbrio após a remoção.</w:t>
      </w:r>
    </w:p>
    <w:sectPr w:rsidR="005434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AE"/>
    <w:rsid w:val="005434AE"/>
    <w:rsid w:val="00F8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7AD0"/>
  <w15:chartTrackingRefBased/>
  <w15:docId w15:val="{46E708B9-C8B9-45A2-B019-0C73E41C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3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3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3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3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3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3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3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3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3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3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3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3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34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3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34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3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3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3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3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3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3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3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34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34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34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3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34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3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554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Herlon Targino</dc:creator>
  <cp:keywords/>
  <dc:description/>
  <cp:lastModifiedBy>Herlon Targino</cp:lastModifiedBy>
  <cp:revision>1</cp:revision>
  <dcterms:created xsi:type="dcterms:W3CDTF">2026-06-22T21:39:00Z</dcterms:created>
  <dcterms:modified xsi:type="dcterms:W3CDTF">2026-06-22T21:41:00Z</dcterms:modified>
</cp:coreProperties>
</file>