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01A" w14:textId="44D7EB53" w:rsidR="00ED1C54" w:rsidRPr="00ED1C54" w:rsidRDefault="00ED1C54" w:rsidP="00ED1C54">
      <w:pPr>
        <w:jc w:val="center"/>
        <w:rPr>
          <w:b/>
          <w:bCs/>
          <w:sz w:val="28"/>
          <w:szCs w:val="28"/>
        </w:rPr>
      </w:pPr>
      <w:r w:rsidRPr="00ED1C54">
        <w:rPr>
          <w:b/>
          <w:bCs/>
          <w:sz w:val="28"/>
          <w:szCs w:val="28"/>
        </w:rPr>
        <w:t>Lista de Exercícios 31</w:t>
      </w:r>
    </w:p>
    <w:p w14:paraId="015591E5" w14:textId="77777777" w:rsidR="00ED1C54" w:rsidRDefault="00ED1C54" w:rsidP="00ED1C54">
      <w:pPr>
        <w:jc w:val="both"/>
        <w:rPr>
          <w:sz w:val="24"/>
          <w:szCs w:val="24"/>
        </w:rPr>
      </w:pPr>
      <w:r w:rsidRPr="00ED1C54">
        <w:rPr>
          <w:sz w:val="24"/>
          <w:szCs w:val="24"/>
        </w:rPr>
        <w:t xml:space="preserve">01) Determinar a altura metacêntrica de um navio que apresenta deslocamento de 1600 t, sabendo-se que quando um peso de 12 t é deslocado transversalmente no convés de 13 m, provoca uma deflexão de 0,78 m num sistema pendular de 4,59 m de comprimento. </w:t>
      </w:r>
    </w:p>
    <w:p w14:paraId="5D1A3E46" w14:textId="77777777" w:rsidR="00ED1C54" w:rsidRDefault="00ED1C54" w:rsidP="00ED1C54">
      <w:pPr>
        <w:jc w:val="both"/>
        <w:rPr>
          <w:sz w:val="24"/>
          <w:szCs w:val="24"/>
        </w:rPr>
      </w:pPr>
    </w:p>
    <w:p w14:paraId="29CA58F7" w14:textId="77777777" w:rsidR="00ED1C54" w:rsidRDefault="00ED1C54" w:rsidP="00ED1C54">
      <w:pPr>
        <w:jc w:val="both"/>
        <w:rPr>
          <w:sz w:val="24"/>
          <w:szCs w:val="24"/>
        </w:rPr>
      </w:pPr>
    </w:p>
    <w:p w14:paraId="3CEAFEF6" w14:textId="77777777" w:rsidR="00ED1C54" w:rsidRDefault="00ED1C54" w:rsidP="00ED1C54">
      <w:pPr>
        <w:jc w:val="both"/>
        <w:rPr>
          <w:sz w:val="24"/>
          <w:szCs w:val="24"/>
        </w:rPr>
      </w:pPr>
    </w:p>
    <w:p w14:paraId="0A6DE0D3" w14:textId="77777777" w:rsidR="00ED1C54" w:rsidRDefault="00ED1C54" w:rsidP="00ED1C54">
      <w:pPr>
        <w:jc w:val="both"/>
        <w:rPr>
          <w:sz w:val="24"/>
          <w:szCs w:val="24"/>
        </w:rPr>
      </w:pPr>
    </w:p>
    <w:p w14:paraId="7D192C5D" w14:textId="77777777" w:rsidR="00ED1C54" w:rsidRDefault="00ED1C54" w:rsidP="00ED1C54">
      <w:pPr>
        <w:jc w:val="both"/>
        <w:rPr>
          <w:sz w:val="24"/>
          <w:szCs w:val="24"/>
        </w:rPr>
      </w:pPr>
    </w:p>
    <w:p w14:paraId="334135D0" w14:textId="77777777" w:rsidR="00ED1C54" w:rsidRDefault="00ED1C54" w:rsidP="00ED1C54">
      <w:pPr>
        <w:jc w:val="both"/>
        <w:rPr>
          <w:sz w:val="24"/>
          <w:szCs w:val="24"/>
        </w:rPr>
      </w:pPr>
    </w:p>
    <w:p w14:paraId="6DFB284E" w14:textId="77777777" w:rsidR="00ED1C54" w:rsidRDefault="00ED1C54" w:rsidP="00ED1C54">
      <w:pPr>
        <w:jc w:val="both"/>
        <w:rPr>
          <w:sz w:val="24"/>
          <w:szCs w:val="24"/>
        </w:rPr>
      </w:pPr>
    </w:p>
    <w:p w14:paraId="3B94FC39" w14:textId="77777777" w:rsidR="00ED1C54" w:rsidRDefault="00ED1C54" w:rsidP="00ED1C54">
      <w:pPr>
        <w:jc w:val="both"/>
        <w:rPr>
          <w:sz w:val="24"/>
          <w:szCs w:val="24"/>
        </w:rPr>
      </w:pPr>
    </w:p>
    <w:p w14:paraId="682CA362" w14:textId="77777777" w:rsidR="00ED1C54" w:rsidRDefault="00ED1C54" w:rsidP="00ED1C54">
      <w:pPr>
        <w:jc w:val="both"/>
        <w:rPr>
          <w:sz w:val="24"/>
          <w:szCs w:val="24"/>
        </w:rPr>
      </w:pPr>
    </w:p>
    <w:p w14:paraId="6AC2B396" w14:textId="77777777" w:rsidR="00ED1C54" w:rsidRDefault="00ED1C54" w:rsidP="00ED1C54">
      <w:pPr>
        <w:jc w:val="both"/>
        <w:rPr>
          <w:sz w:val="24"/>
          <w:szCs w:val="24"/>
        </w:rPr>
      </w:pPr>
    </w:p>
    <w:p w14:paraId="56499C92" w14:textId="77777777" w:rsidR="00ED1C54" w:rsidRDefault="00ED1C54" w:rsidP="00ED1C54">
      <w:pPr>
        <w:jc w:val="both"/>
        <w:rPr>
          <w:sz w:val="24"/>
          <w:szCs w:val="24"/>
        </w:rPr>
      </w:pPr>
    </w:p>
    <w:p w14:paraId="1DCC4FF8" w14:textId="77777777" w:rsidR="00ED1C54" w:rsidRDefault="00ED1C54" w:rsidP="00ED1C54">
      <w:pPr>
        <w:jc w:val="both"/>
        <w:rPr>
          <w:sz w:val="24"/>
          <w:szCs w:val="24"/>
        </w:rPr>
      </w:pPr>
      <w:r w:rsidRPr="00ED1C54">
        <w:rPr>
          <w:sz w:val="24"/>
          <w:szCs w:val="24"/>
        </w:rPr>
        <w:t xml:space="preserve">02) Determinar o deslocamento de um navio que apresenta altura metacêntrica de 0,64 m, sabendo-se que quando um peso de 9 t é movimentado transversalmente no convés de 11 m, provoca uma deflexão de 0,22 m num sistema pendular de 9,88 m de comprimento. </w:t>
      </w:r>
    </w:p>
    <w:p w14:paraId="111593D7" w14:textId="77777777" w:rsidR="00ED1C54" w:rsidRDefault="00ED1C54" w:rsidP="00ED1C54">
      <w:pPr>
        <w:jc w:val="both"/>
        <w:rPr>
          <w:sz w:val="24"/>
          <w:szCs w:val="24"/>
        </w:rPr>
      </w:pPr>
    </w:p>
    <w:p w14:paraId="2D7425C5" w14:textId="77777777" w:rsidR="00ED1C54" w:rsidRDefault="00ED1C54" w:rsidP="00ED1C54">
      <w:pPr>
        <w:jc w:val="both"/>
        <w:rPr>
          <w:sz w:val="24"/>
          <w:szCs w:val="24"/>
        </w:rPr>
      </w:pPr>
    </w:p>
    <w:p w14:paraId="4E8D1269" w14:textId="77777777" w:rsidR="00ED1C54" w:rsidRDefault="00ED1C54" w:rsidP="00ED1C54">
      <w:pPr>
        <w:jc w:val="both"/>
        <w:rPr>
          <w:sz w:val="24"/>
          <w:szCs w:val="24"/>
        </w:rPr>
      </w:pPr>
    </w:p>
    <w:p w14:paraId="7297C589" w14:textId="77777777" w:rsidR="00ED1C54" w:rsidRDefault="00ED1C54" w:rsidP="00ED1C54">
      <w:pPr>
        <w:jc w:val="both"/>
        <w:rPr>
          <w:sz w:val="24"/>
          <w:szCs w:val="24"/>
        </w:rPr>
      </w:pPr>
    </w:p>
    <w:p w14:paraId="715276C9" w14:textId="77777777" w:rsidR="00ED1C54" w:rsidRDefault="00ED1C54" w:rsidP="00ED1C54">
      <w:pPr>
        <w:jc w:val="both"/>
        <w:rPr>
          <w:sz w:val="24"/>
          <w:szCs w:val="24"/>
        </w:rPr>
      </w:pPr>
    </w:p>
    <w:p w14:paraId="25F98085" w14:textId="77777777" w:rsidR="00ED1C54" w:rsidRDefault="00ED1C54" w:rsidP="00ED1C54">
      <w:pPr>
        <w:jc w:val="both"/>
        <w:rPr>
          <w:sz w:val="24"/>
          <w:szCs w:val="24"/>
        </w:rPr>
      </w:pPr>
    </w:p>
    <w:p w14:paraId="54E37CCD" w14:textId="77777777" w:rsidR="00ED1C54" w:rsidRDefault="00ED1C54" w:rsidP="00ED1C54">
      <w:pPr>
        <w:jc w:val="both"/>
        <w:rPr>
          <w:sz w:val="24"/>
          <w:szCs w:val="24"/>
        </w:rPr>
      </w:pPr>
    </w:p>
    <w:p w14:paraId="11001ADF" w14:textId="77777777" w:rsidR="00ED1C54" w:rsidRDefault="00ED1C54" w:rsidP="00ED1C54">
      <w:pPr>
        <w:jc w:val="both"/>
        <w:rPr>
          <w:sz w:val="24"/>
          <w:szCs w:val="24"/>
        </w:rPr>
      </w:pPr>
    </w:p>
    <w:p w14:paraId="28807BB8" w14:textId="77777777" w:rsidR="00ED1C54" w:rsidRDefault="00ED1C54" w:rsidP="00ED1C54">
      <w:pPr>
        <w:jc w:val="both"/>
        <w:rPr>
          <w:sz w:val="24"/>
          <w:szCs w:val="24"/>
        </w:rPr>
      </w:pPr>
    </w:p>
    <w:p w14:paraId="61608A5B" w14:textId="77777777" w:rsidR="00ED1C54" w:rsidRDefault="00ED1C54" w:rsidP="00ED1C54">
      <w:pPr>
        <w:jc w:val="both"/>
        <w:rPr>
          <w:sz w:val="24"/>
          <w:szCs w:val="24"/>
        </w:rPr>
      </w:pPr>
    </w:p>
    <w:p w14:paraId="1299F298" w14:textId="77777777" w:rsidR="00ED1C54" w:rsidRDefault="00ED1C54" w:rsidP="00ED1C54">
      <w:pPr>
        <w:jc w:val="both"/>
        <w:rPr>
          <w:sz w:val="24"/>
          <w:szCs w:val="24"/>
        </w:rPr>
      </w:pPr>
    </w:p>
    <w:p w14:paraId="420E89DF" w14:textId="77777777" w:rsidR="00ED1C54" w:rsidRDefault="00ED1C54" w:rsidP="00ED1C54">
      <w:pPr>
        <w:jc w:val="both"/>
        <w:rPr>
          <w:sz w:val="24"/>
          <w:szCs w:val="24"/>
        </w:rPr>
      </w:pPr>
    </w:p>
    <w:p w14:paraId="66CBA245" w14:textId="03A3E82C" w:rsidR="003C50C2" w:rsidRPr="00ED1C54" w:rsidRDefault="00ED1C54" w:rsidP="00ED1C54">
      <w:pPr>
        <w:jc w:val="both"/>
        <w:rPr>
          <w:sz w:val="24"/>
          <w:szCs w:val="24"/>
        </w:rPr>
      </w:pPr>
      <w:r w:rsidRPr="00ED1C54">
        <w:rPr>
          <w:sz w:val="24"/>
          <w:szCs w:val="24"/>
        </w:rPr>
        <w:lastRenderedPageBreak/>
        <w:t>03) O navio Comte. Carneiro apresenta um deslocamento de 1856 t e adernou quando um peso de 5,96 t foi movimentado transversalmente numa distância de 6,4 m. Um sistema pendular de 4,96 m de comprimento registrou nesse momento um desvio de 0,32 m. Com base nestes dados, determine o valor da cota do centro de gravidade, sabendo-se que a cota do metacentro vale 4,82 m.</w:t>
      </w:r>
    </w:p>
    <w:sectPr w:rsidR="003C50C2" w:rsidRPr="00ED1C54" w:rsidSect="00ED1C54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54"/>
    <w:rsid w:val="00382D92"/>
    <w:rsid w:val="003C50C2"/>
    <w:rsid w:val="00BD0D80"/>
    <w:rsid w:val="00BE3208"/>
    <w:rsid w:val="00E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19501"/>
  <w15:chartTrackingRefBased/>
  <w15:docId w15:val="{23B5AEBD-C019-4A35-91D5-BED9B804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C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C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C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C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C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C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777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2026-07-18T14:32:00Z</dcterms:created>
  <dcterms:modified xsi:type="dcterms:W3CDTF">2026-07-18T14:35:00Z</dcterms:modified>
</cp:coreProperties>
</file>