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1ECD1">
      <w:pPr>
        <w:jc w:val="center"/>
        <w:rPr>
          <w:rFonts w:hint="eastAsia" w:ascii="微软雅黑 Light" w:hAnsi="微软雅黑 Light" w:eastAsia="微软雅黑 Light" w:cs="微软雅黑 Light"/>
          <w:sz w:val="28"/>
          <w:szCs w:val="28"/>
        </w:rPr>
      </w:pPr>
      <w:r>
        <w:rPr>
          <w:rFonts w:hint="eastAsia" w:ascii="微软雅黑 Light" w:hAnsi="微软雅黑 Light" w:eastAsia="微软雅黑 Light" w:cs="微软雅黑 Light"/>
          <w:sz w:val="28"/>
          <w:szCs w:val="28"/>
        </w:rPr>
        <w:t>岗位说明书</w:t>
      </w:r>
    </w:p>
    <w:p w14:paraId="6E56DF25">
      <w:pPr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tbl>
      <w:tblPr>
        <w:tblStyle w:val="5"/>
        <w:tblW w:w="96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5"/>
        <w:gridCol w:w="3065"/>
        <w:gridCol w:w="3493"/>
      </w:tblGrid>
      <w:tr w14:paraId="56C6A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3" w:type="dxa"/>
            <w:gridSpan w:val="3"/>
            <w:shd w:val="clear" w:color="auto" w:fill="F1F1F1" w:themeFill="background1" w:themeFillShade="F2"/>
          </w:tcPr>
          <w:p w14:paraId="15BB8AC0">
            <w:r>
              <w:rPr>
                <w:rFonts w:hint="eastAsia"/>
              </w:rPr>
              <w:t xml:space="preserve">一、岗位基本信息 </w:t>
            </w:r>
          </w:p>
        </w:tc>
      </w:tr>
      <w:tr w14:paraId="63C16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shd w:val="clear" w:color="auto" w:fill="FFFF00"/>
          </w:tcPr>
          <w:p w14:paraId="1E37BAFC">
            <w:pPr>
              <w:jc w:val="center"/>
            </w:pPr>
            <w:r>
              <w:rPr>
                <w:rFonts w:hint="eastAsia"/>
              </w:rPr>
              <w:t>岗位名称</w:t>
            </w:r>
          </w:p>
        </w:tc>
        <w:tc>
          <w:tcPr>
            <w:tcW w:w="3065" w:type="dxa"/>
            <w:shd w:val="clear" w:color="auto" w:fill="FFFF00"/>
          </w:tcPr>
          <w:p w14:paraId="5B0D0C2B">
            <w:pPr>
              <w:jc w:val="center"/>
            </w:pPr>
            <w:r>
              <w:rPr>
                <w:rFonts w:hint="eastAsia"/>
              </w:rPr>
              <w:t>所属部门</w:t>
            </w:r>
          </w:p>
        </w:tc>
        <w:tc>
          <w:tcPr>
            <w:tcW w:w="3493" w:type="dxa"/>
            <w:shd w:val="clear" w:color="auto" w:fill="FFFF00"/>
          </w:tcPr>
          <w:p w14:paraId="1E98B76C">
            <w:pPr>
              <w:jc w:val="center"/>
            </w:pPr>
            <w:r>
              <w:rPr>
                <w:rFonts w:hint="eastAsia"/>
              </w:rPr>
              <w:t>直接上级</w:t>
            </w:r>
          </w:p>
        </w:tc>
      </w:tr>
      <w:tr w14:paraId="50F35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</w:tcPr>
          <w:p w14:paraId="0EF2413D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综合会计</w:t>
            </w:r>
          </w:p>
        </w:tc>
        <w:tc>
          <w:tcPr>
            <w:tcW w:w="3065" w:type="dxa"/>
          </w:tcPr>
          <w:p w14:paraId="7EBD6C17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财务部</w:t>
            </w:r>
          </w:p>
        </w:tc>
        <w:tc>
          <w:tcPr>
            <w:tcW w:w="3493" w:type="dxa"/>
          </w:tcPr>
          <w:p w14:paraId="43E8B1A1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财务部总监</w:t>
            </w:r>
          </w:p>
        </w:tc>
      </w:tr>
    </w:tbl>
    <w:p w14:paraId="215D23AC">
      <w:pPr>
        <w:rPr>
          <w:b w:val="0"/>
          <w:bCs w:val="0"/>
        </w:rPr>
      </w:pPr>
    </w:p>
    <w:tbl>
      <w:tblPr>
        <w:tblStyle w:val="5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6182"/>
        <w:gridCol w:w="2231"/>
      </w:tblGrid>
      <w:tr w14:paraId="40A8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4" w:type="dxa"/>
            <w:gridSpan w:val="3"/>
            <w:shd w:val="clear" w:color="auto" w:fill="F1F1F1" w:themeFill="background1" w:themeFillShade="F2"/>
          </w:tcPr>
          <w:p w14:paraId="0D2E34B6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二、岗位概述</w:t>
            </w:r>
          </w:p>
        </w:tc>
      </w:tr>
      <w:tr w14:paraId="35FE0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4" w:type="dxa"/>
            <w:gridSpan w:val="3"/>
          </w:tcPr>
          <w:p w14:paraId="28894A8F">
            <w:pPr>
              <w:ind w:firstLine="420" w:firstLineChars="20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负责</w:t>
            </w:r>
            <w:r>
              <w:rPr>
                <w:rFonts w:hint="eastAsia"/>
                <w:b w:val="0"/>
                <w:bCs w:val="0"/>
              </w:rPr>
              <w:t>区域分子</w:t>
            </w:r>
            <w:r>
              <w:rPr>
                <w:b w:val="0"/>
                <w:bCs w:val="0"/>
              </w:rPr>
              <w:t>公司</w:t>
            </w:r>
            <w:r>
              <w:rPr>
                <w:rFonts w:hint="eastAsia"/>
                <w:b w:val="0"/>
                <w:bCs w:val="0"/>
              </w:rPr>
              <w:t>及财务总监分配的其他公司</w:t>
            </w:r>
            <w:r>
              <w:rPr>
                <w:b w:val="0"/>
                <w:bCs w:val="0"/>
              </w:rPr>
              <w:t>的</w:t>
            </w:r>
            <w:r>
              <w:rPr>
                <w:rFonts w:hint="eastAsia"/>
                <w:b w:val="0"/>
                <w:bCs w:val="0"/>
              </w:rPr>
              <w:t>财务相关工作</w:t>
            </w:r>
            <w:r>
              <w:rPr>
                <w:b w:val="0"/>
                <w:bCs w:val="0"/>
              </w:rPr>
              <w:t>，</w:t>
            </w:r>
            <w:r>
              <w:rPr>
                <w:rFonts w:hint="eastAsia"/>
                <w:b w:val="0"/>
                <w:bCs w:val="0"/>
              </w:rPr>
              <w:t>包括但不限于开据发票，报税及其他税务工作；钉钉或云会计审批付款及报销单，并对审批后的付款和报销单下载打印填制凭证；对应收应付款单据及时入账，定期提醒经办人回款回票；给代账公司提供入账单据并在对方入账后取得表单进行相互核对</w:t>
            </w:r>
            <w:r>
              <w:rPr>
                <w:b w:val="0"/>
                <w:bCs w:val="0"/>
              </w:rPr>
              <w:t>。</w:t>
            </w:r>
            <w:r>
              <w:rPr>
                <w:rFonts w:hint="eastAsia"/>
                <w:b w:val="0"/>
                <w:bCs w:val="0"/>
              </w:rPr>
              <w:t>整理并保管好凭证等会计档案。协助财务总监优化会计核算科目满足管理要求，协助财务总监落地分子公司管控要求，协助财务总监赋能业务。</w:t>
            </w:r>
          </w:p>
        </w:tc>
      </w:tr>
      <w:tr w14:paraId="5E410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4" w:type="dxa"/>
            <w:gridSpan w:val="3"/>
            <w:shd w:val="clear" w:color="auto" w:fill="F1F1F1" w:themeFill="background1" w:themeFillShade="F2"/>
          </w:tcPr>
          <w:p w14:paraId="6DE751FB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三、</w:t>
            </w:r>
            <w:r>
              <w:rPr>
                <w:rFonts w:hint="eastAsia"/>
              </w:rPr>
              <w:t>岗位职责及考核标准</w:t>
            </w:r>
          </w:p>
        </w:tc>
      </w:tr>
      <w:tr w14:paraId="24C3F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shd w:val="clear" w:color="auto" w:fill="FFFF00"/>
          </w:tcPr>
          <w:p w14:paraId="7EF937FD">
            <w:pPr>
              <w:jc w:val="center"/>
            </w:pPr>
            <w:r>
              <w:rPr>
                <w:rFonts w:hint="eastAsia"/>
              </w:rPr>
              <w:t>工作维度</w:t>
            </w:r>
          </w:p>
        </w:tc>
        <w:tc>
          <w:tcPr>
            <w:tcW w:w="6182" w:type="dxa"/>
            <w:shd w:val="clear" w:color="auto" w:fill="FFFF00"/>
          </w:tcPr>
          <w:p w14:paraId="39E5E1BE">
            <w:pPr>
              <w:jc w:val="center"/>
            </w:pPr>
            <w:r>
              <w:rPr>
                <w:rFonts w:hint="eastAsia"/>
              </w:rPr>
              <w:t>工作职责</w:t>
            </w:r>
          </w:p>
        </w:tc>
        <w:tc>
          <w:tcPr>
            <w:tcW w:w="2231" w:type="dxa"/>
            <w:shd w:val="clear" w:color="auto" w:fill="FFFF00"/>
          </w:tcPr>
          <w:p w14:paraId="4312012D">
            <w:pPr>
              <w:jc w:val="center"/>
            </w:pPr>
            <w:r>
              <w:rPr>
                <w:rFonts w:hint="eastAsia"/>
              </w:rPr>
              <w:t>达成标准</w:t>
            </w:r>
          </w:p>
        </w:tc>
      </w:tr>
      <w:tr w14:paraId="2FA5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shd w:val="clear" w:color="auto" w:fill="E7E6E6" w:themeFill="background2"/>
            <w:vAlign w:val="center"/>
          </w:tcPr>
          <w:p w14:paraId="0DB317D4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优化会计核算科目和核算规则</w:t>
            </w:r>
          </w:p>
        </w:tc>
        <w:tc>
          <w:tcPr>
            <w:tcW w:w="6182" w:type="dxa"/>
            <w:vAlign w:val="center"/>
          </w:tcPr>
          <w:p w14:paraId="2AA5CB2D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协助财务总监根据管理要求优化会计核算科目和核算规则</w:t>
            </w:r>
          </w:p>
        </w:tc>
        <w:tc>
          <w:tcPr>
            <w:tcW w:w="2231" w:type="dxa"/>
            <w:vAlign w:val="center"/>
          </w:tcPr>
          <w:p w14:paraId="357048CD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满足适时的管理要求，出具相关管理报表</w:t>
            </w:r>
          </w:p>
        </w:tc>
      </w:tr>
      <w:tr w14:paraId="5CD31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  <w:shd w:val="clear" w:color="auto" w:fill="E7E6E6" w:themeFill="background2"/>
            <w:vAlign w:val="center"/>
          </w:tcPr>
          <w:p w14:paraId="0368068F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税务工作</w:t>
            </w:r>
          </w:p>
        </w:tc>
        <w:tc>
          <w:tcPr>
            <w:tcW w:w="6182" w:type="dxa"/>
            <w:vAlign w:val="center"/>
          </w:tcPr>
          <w:p w14:paraId="48D0489B">
            <w:pPr>
              <w:numPr>
                <w:ilvl w:val="0"/>
                <w:numId w:val="1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准确计算各种税额，每月完成电子税务局中专用发票勾选认证确认工作，各项税款申报工作，如需缴税则按时缴纳税款；</w:t>
            </w:r>
          </w:p>
          <w:p w14:paraId="797E4609">
            <w:pPr>
              <w:numPr>
                <w:ilvl w:val="0"/>
                <w:numId w:val="1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每月完成自然人电子税务局中个人所得税申报及缴纳工作；</w:t>
            </w:r>
          </w:p>
          <w:p w14:paraId="7C51BE67">
            <w:pPr>
              <w:numPr>
                <w:ilvl w:val="0"/>
                <w:numId w:val="1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每年5月末前完成企业所得税汇算工作，并根据汇算情况完成相应的账务处理；</w:t>
            </w:r>
          </w:p>
          <w:p w14:paraId="67026E6D">
            <w:pPr>
              <w:numPr>
                <w:ilvl w:val="0"/>
                <w:numId w:val="1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每年3月底前完成个税手续费退费工作；</w:t>
            </w:r>
          </w:p>
          <w:p w14:paraId="635332EC">
            <w:pPr>
              <w:numPr>
                <w:ilvl w:val="0"/>
                <w:numId w:val="1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完成税务局提出的其他工作。</w:t>
            </w:r>
          </w:p>
        </w:tc>
        <w:tc>
          <w:tcPr>
            <w:tcW w:w="2231" w:type="dxa"/>
            <w:vAlign w:val="center"/>
          </w:tcPr>
          <w:p w14:paraId="09D57416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准确并按时完成申报纳税工作100%。</w:t>
            </w:r>
          </w:p>
        </w:tc>
      </w:tr>
      <w:tr w14:paraId="624DE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</w:trPr>
        <w:tc>
          <w:tcPr>
            <w:tcW w:w="1221" w:type="dxa"/>
            <w:shd w:val="clear" w:color="auto" w:fill="E7E6E6" w:themeFill="background2"/>
            <w:vAlign w:val="center"/>
          </w:tcPr>
          <w:p w14:paraId="2904DB4A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落地分子公司管控要求，优化合规风控</w:t>
            </w:r>
          </w:p>
        </w:tc>
        <w:tc>
          <w:tcPr>
            <w:tcW w:w="6182" w:type="dxa"/>
            <w:vAlign w:val="center"/>
          </w:tcPr>
          <w:p w14:paraId="175565C1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协助财务总监落地分子公司管控要求，优化合规风控</w:t>
            </w:r>
          </w:p>
        </w:tc>
        <w:tc>
          <w:tcPr>
            <w:tcW w:w="2231" w:type="dxa"/>
            <w:vAlign w:val="center"/>
          </w:tcPr>
          <w:p w14:paraId="422D6379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协助财务总监搭建合规风控体系并落地，持续优化</w:t>
            </w:r>
          </w:p>
        </w:tc>
      </w:tr>
      <w:tr w14:paraId="732DF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</w:trPr>
        <w:tc>
          <w:tcPr>
            <w:tcW w:w="1221" w:type="dxa"/>
            <w:shd w:val="clear" w:color="auto" w:fill="E7E6E6" w:themeFill="background2"/>
            <w:vAlign w:val="center"/>
          </w:tcPr>
          <w:p w14:paraId="60E18AE1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会计核算</w:t>
            </w:r>
          </w:p>
        </w:tc>
        <w:tc>
          <w:tcPr>
            <w:tcW w:w="6182" w:type="dxa"/>
            <w:vAlign w:val="center"/>
          </w:tcPr>
          <w:p w14:paraId="4799B9A5">
            <w:pPr>
              <w:numPr>
                <w:ilvl w:val="0"/>
                <w:numId w:val="2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对审批后的付款单及报销单下载并打印；</w:t>
            </w:r>
          </w:p>
          <w:p w14:paraId="6F73DBF6">
            <w:pPr>
              <w:numPr>
                <w:ilvl w:val="0"/>
                <w:numId w:val="2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对照银行流水完成填制凭证工作，做到及时入账；</w:t>
            </w:r>
          </w:p>
          <w:p w14:paraId="4ACA5138">
            <w:pPr>
              <w:numPr>
                <w:ilvl w:val="0"/>
                <w:numId w:val="2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对付款后收回的发票、收据等票据及时制证入账；</w:t>
            </w:r>
          </w:p>
          <w:p w14:paraId="4E9ABE10">
            <w:pPr>
              <w:numPr>
                <w:ilvl w:val="0"/>
                <w:numId w:val="2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保证日常账务处理正确，填制的各项报表准确无误；</w:t>
            </w:r>
          </w:p>
          <w:p w14:paraId="217A5B28">
            <w:pPr>
              <w:numPr>
                <w:ilvl w:val="0"/>
                <w:numId w:val="2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每月末结账后出具集团规定的财务报表，上报给集团财务部汇总，为领导决策提供真实可靠的数据支持。</w:t>
            </w:r>
          </w:p>
        </w:tc>
        <w:tc>
          <w:tcPr>
            <w:tcW w:w="2231" w:type="dxa"/>
            <w:vAlign w:val="center"/>
          </w:tcPr>
          <w:p w14:paraId="6E07E439">
            <w:pPr>
              <w:rPr>
                <w:b w:val="0"/>
                <w:bCs w:val="0"/>
              </w:rPr>
            </w:pPr>
          </w:p>
          <w:p w14:paraId="3FCB3E9E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及时入帐，报表准确率100%</w:t>
            </w:r>
          </w:p>
        </w:tc>
      </w:tr>
      <w:tr w14:paraId="006F4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1221" w:type="dxa"/>
            <w:shd w:val="clear" w:color="auto" w:fill="E7E6E6" w:themeFill="background2"/>
            <w:vAlign w:val="center"/>
          </w:tcPr>
          <w:p w14:paraId="45DECFF0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应收应付款管理</w:t>
            </w:r>
          </w:p>
        </w:tc>
        <w:tc>
          <w:tcPr>
            <w:tcW w:w="6182" w:type="dxa"/>
          </w:tcPr>
          <w:p w14:paraId="0FDC16E9">
            <w:pPr>
              <w:numPr>
                <w:ilvl w:val="0"/>
                <w:numId w:val="3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每天对开出的发票和收回的发票填制凭证，做到及时并准确无误入账；</w:t>
            </w:r>
          </w:p>
          <w:p w14:paraId="0967B1A1">
            <w:pPr>
              <w:numPr>
                <w:ilvl w:val="0"/>
                <w:numId w:val="3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每月根据账面的应收账款明细表反馈给经办人，用以催收欠款；</w:t>
            </w:r>
          </w:p>
          <w:p w14:paraId="6A161DD1">
            <w:pPr>
              <w:numPr>
                <w:ilvl w:val="0"/>
                <w:numId w:val="3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每月根据账面的预付账款明细表反馈给经办人，用以催收发票；</w:t>
            </w:r>
          </w:p>
          <w:p w14:paraId="6D82BAD5">
            <w:pPr>
              <w:numPr>
                <w:ilvl w:val="0"/>
                <w:numId w:val="3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对有疑问的往来账单位，联系经办人与对方核对账目。</w:t>
            </w:r>
          </w:p>
        </w:tc>
        <w:tc>
          <w:tcPr>
            <w:tcW w:w="2231" w:type="dxa"/>
            <w:vAlign w:val="center"/>
          </w:tcPr>
          <w:p w14:paraId="4B466A66">
            <w:pPr>
              <w:rPr>
                <w:b w:val="0"/>
                <w:bCs w:val="0"/>
              </w:rPr>
            </w:pPr>
          </w:p>
          <w:p w14:paraId="676CAFFB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入帐准确率100%</w:t>
            </w:r>
          </w:p>
          <w:p w14:paraId="4FA823B9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催收及时性100%</w:t>
            </w:r>
          </w:p>
        </w:tc>
      </w:tr>
      <w:tr w14:paraId="7C699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</w:trPr>
        <w:tc>
          <w:tcPr>
            <w:tcW w:w="1221" w:type="dxa"/>
            <w:shd w:val="clear" w:color="auto" w:fill="E7E6E6" w:themeFill="background2"/>
            <w:vAlign w:val="center"/>
          </w:tcPr>
          <w:p w14:paraId="48FCBA15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代账公司相关工作</w:t>
            </w:r>
          </w:p>
        </w:tc>
        <w:tc>
          <w:tcPr>
            <w:tcW w:w="6182" w:type="dxa"/>
            <w:vAlign w:val="center"/>
          </w:tcPr>
          <w:p w14:paraId="227B9345">
            <w:pPr>
              <w:numPr>
                <w:ilvl w:val="0"/>
                <w:numId w:val="4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每月收集</w:t>
            </w:r>
            <w:r>
              <w:rPr>
                <w:rFonts w:hint="eastAsia"/>
                <w:b w:val="0"/>
                <w:bCs w:val="0"/>
              </w:rPr>
              <w:t>整理</w:t>
            </w:r>
            <w:r>
              <w:rPr>
                <w:b w:val="0"/>
                <w:bCs w:val="0"/>
              </w:rPr>
              <w:t>当月的入账单据</w:t>
            </w:r>
            <w:r>
              <w:rPr>
                <w:rFonts w:hint="eastAsia"/>
                <w:b w:val="0"/>
                <w:bCs w:val="0"/>
              </w:rPr>
              <w:t>，电子单据压缩打包</w:t>
            </w:r>
            <w:r>
              <w:rPr>
                <w:b w:val="0"/>
                <w:bCs w:val="0"/>
              </w:rPr>
              <w:t>发送给代账公司</w:t>
            </w:r>
            <w:r>
              <w:rPr>
                <w:rFonts w:hint="eastAsia"/>
                <w:b w:val="0"/>
                <w:bCs w:val="0"/>
              </w:rPr>
              <w:t>，纸制单据收集整理后邮寄给代账公司；</w:t>
            </w:r>
          </w:p>
          <w:p w14:paraId="79CD829F">
            <w:pPr>
              <w:numPr>
                <w:ilvl w:val="0"/>
                <w:numId w:val="4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在代账公司入账后</w:t>
            </w:r>
            <w:r>
              <w:rPr>
                <w:rFonts w:hint="eastAsia"/>
                <w:b w:val="0"/>
                <w:bCs w:val="0"/>
              </w:rPr>
              <w:t>取得科目余额表等表单</w:t>
            </w:r>
            <w:r>
              <w:rPr>
                <w:b w:val="0"/>
                <w:bCs w:val="0"/>
              </w:rPr>
              <w:t>进行</w:t>
            </w:r>
            <w:r>
              <w:rPr>
                <w:rFonts w:hint="eastAsia"/>
                <w:b w:val="0"/>
                <w:bCs w:val="0"/>
              </w:rPr>
              <w:t>核对</w:t>
            </w:r>
            <w:r>
              <w:rPr>
                <w:b w:val="0"/>
                <w:bCs w:val="0"/>
              </w:rPr>
              <w:t>，</w:t>
            </w:r>
            <w:r>
              <w:rPr>
                <w:rFonts w:hint="eastAsia"/>
                <w:b w:val="0"/>
                <w:bCs w:val="0"/>
              </w:rPr>
              <w:t>核对后再通知代账公司结账，以</w:t>
            </w:r>
            <w:r>
              <w:rPr>
                <w:b w:val="0"/>
                <w:bCs w:val="0"/>
              </w:rPr>
              <w:t>防止发生</w:t>
            </w:r>
            <w:r>
              <w:rPr>
                <w:rFonts w:hint="eastAsia"/>
                <w:b w:val="0"/>
                <w:bCs w:val="0"/>
              </w:rPr>
              <w:t>账务数据</w:t>
            </w:r>
            <w:r>
              <w:rPr>
                <w:b w:val="0"/>
                <w:bCs w:val="0"/>
              </w:rPr>
              <w:t>错误</w:t>
            </w:r>
            <w:r>
              <w:rPr>
                <w:rFonts w:hint="eastAsia"/>
                <w:b w:val="0"/>
                <w:bCs w:val="0"/>
              </w:rPr>
              <w:t>；</w:t>
            </w:r>
          </w:p>
          <w:p w14:paraId="5C1915AE">
            <w:pPr>
              <w:numPr>
                <w:ilvl w:val="0"/>
                <w:numId w:val="4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每月初和代账公司要回上月财务报表留存备查（不少于三张基本报表和科目余额表）；</w:t>
            </w:r>
          </w:p>
          <w:p w14:paraId="4961A13B">
            <w:pPr>
              <w:numPr>
                <w:ilvl w:val="0"/>
                <w:numId w:val="4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每年初找代账公司要回上年度电子账簿，包括总账及各明细账留存备查。</w:t>
            </w:r>
          </w:p>
        </w:tc>
        <w:tc>
          <w:tcPr>
            <w:tcW w:w="2231" w:type="dxa"/>
            <w:vAlign w:val="center"/>
          </w:tcPr>
          <w:p w14:paraId="4173394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与代财信息交接完整性100%</w:t>
            </w:r>
          </w:p>
        </w:tc>
      </w:tr>
      <w:tr w14:paraId="57487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1221" w:type="dxa"/>
            <w:shd w:val="clear" w:color="auto" w:fill="E7E6E6" w:themeFill="background2"/>
            <w:vAlign w:val="center"/>
          </w:tcPr>
          <w:p w14:paraId="79165DC2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工商管理</w:t>
            </w:r>
          </w:p>
        </w:tc>
        <w:tc>
          <w:tcPr>
            <w:tcW w:w="6182" w:type="dxa"/>
            <w:vAlign w:val="center"/>
          </w:tcPr>
          <w:p w14:paraId="6A17E0C6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每年6月底前完成市场监督管理局要求的网上公示工作（即以前的工商年检），完成后下载打印公示表单留存保管，避免逾期未完成的罚款。</w:t>
            </w:r>
          </w:p>
        </w:tc>
        <w:tc>
          <w:tcPr>
            <w:tcW w:w="2231" w:type="dxa"/>
            <w:vAlign w:val="center"/>
          </w:tcPr>
          <w:p w14:paraId="3116EB2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无逾期罚款</w:t>
            </w:r>
          </w:p>
        </w:tc>
      </w:tr>
      <w:tr w14:paraId="35ED1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221" w:type="dxa"/>
            <w:shd w:val="clear" w:color="auto" w:fill="E7E6E6" w:themeFill="background2"/>
            <w:vAlign w:val="center"/>
          </w:tcPr>
          <w:p w14:paraId="133A2DAE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财务档案保管</w:t>
            </w:r>
          </w:p>
        </w:tc>
        <w:tc>
          <w:tcPr>
            <w:tcW w:w="6182" w:type="dxa"/>
            <w:vAlign w:val="center"/>
          </w:tcPr>
          <w:p w14:paraId="39F72F0C">
            <w:pPr>
              <w:numPr>
                <w:ilvl w:val="0"/>
                <w:numId w:val="5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凭证及时整理装订保管，凭证表皮填写正确以备方便查阅；</w:t>
            </w:r>
          </w:p>
          <w:p w14:paraId="5AD4BA19">
            <w:pPr>
              <w:numPr>
                <w:ilvl w:val="0"/>
                <w:numId w:val="5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第三方为公司所做的审计报告除提供给所需单位之外，公司留存一份备用；</w:t>
            </w:r>
          </w:p>
          <w:p w14:paraId="2DF429A6">
            <w:pPr>
              <w:numPr>
                <w:ilvl w:val="0"/>
                <w:numId w:val="5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各公司每月、每期的纳税申报表下载保管于电脑中，以备随时查阅；</w:t>
            </w:r>
          </w:p>
          <w:p w14:paraId="0AEE939C">
            <w:pPr>
              <w:numPr>
                <w:ilvl w:val="0"/>
                <w:numId w:val="5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每月编制的财务报表及代账公司提供的报表留存备查。</w:t>
            </w:r>
          </w:p>
        </w:tc>
        <w:tc>
          <w:tcPr>
            <w:tcW w:w="2231" w:type="dxa"/>
            <w:vAlign w:val="center"/>
          </w:tcPr>
          <w:p w14:paraId="7DA17407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财务档案完整性100%</w:t>
            </w:r>
          </w:p>
        </w:tc>
      </w:tr>
      <w:tr w14:paraId="41785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221" w:type="dxa"/>
            <w:shd w:val="clear" w:color="auto" w:fill="E7E6E6" w:themeFill="background2"/>
            <w:vAlign w:val="center"/>
          </w:tcPr>
          <w:p w14:paraId="64C2002B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其他工作</w:t>
            </w:r>
          </w:p>
        </w:tc>
        <w:tc>
          <w:tcPr>
            <w:tcW w:w="6182" w:type="dxa"/>
            <w:vAlign w:val="center"/>
          </w:tcPr>
          <w:p w14:paraId="018D6FF4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领导交办的其他日常工作。</w:t>
            </w:r>
          </w:p>
        </w:tc>
        <w:tc>
          <w:tcPr>
            <w:tcW w:w="2231" w:type="dxa"/>
            <w:vAlign w:val="center"/>
          </w:tcPr>
          <w:p w14:paraId="2A0CA08F">
            <w:pPr>
              <w:rPr>
                <w:b w:val="0"/>
                <w:bCs w:val="0"/>
              </w:rPr>
            </w:pPr>
          </w:p>
        </w:tc>
      </w:tr>
      <w:tr w14:paraId="157E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4" w:type="dxa"/>
            <w:gridSpan w:val="3"/>
            <w:shd w:val="clear" w:color="auto" w:fill="E7E6E6" w:themeFill="background2"/>
          </w:tcPr>
          <w:p w14:paraId="41528327">
            <w:r>
              <w:rPr>
                <w:rFonts w:hint="eastAsia"/>
              </w:rPr>
              <w:t>四、任职资格</w:t>
            </w:r>
          </w:p>
        </w:tc>
      </w:tr>
      <w:tr w14:paraId="3BBA0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</w:tcPr>
          <w:p w14:paraId="2A8CAED6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教育背景</w:t>
            </w:r>
          </w:p>
        </w:tc>
        <w:tc>
          <w:tcPr>
            <w:tcW w:w="8413" w:type="dxa"/>
            <w:gridSpan w:val="2"/>
          </w:tcPr>
          <w:p w14:paraId="721C1E0F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大专及以上学历，财务、会计电算化等相关专业，有会计职称优先；</w:t>
            </w:r>
          </w:p>
        </w:tc>
      </w:tr>
      <w:tr w14:paraId="46AD8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</w:tcPr>
          <w:p w14:paraId="6AF37B13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工作经验</w:t>
            </w:r>
          </w:p>
        </w:tc>
        <w:tc>
          <w:tcPr>
            <w:tcW w:w="8413" w:type="dxa"/>
            <w:gridSpan w:val="2"/>
          </w:tcPr>
          <w:p w14:paraId="19C571DB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有3年以上企业财务工作经验者优先；</w:t>
            </w:r>
          </w:p>
        </w:tc>
      </w:tr>
      <w:tr w14:paraId="2D9E8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</w:tcPr>
          <w:p w14:paraId="0AE23F4A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专业技能</w:t>
            </w:r>
          </w:p>
        </w:tc>
        <w:tc>
          <w:tcPr>
            <w:tcW w:w="8413" w:type="dxa"/>
            <w:gridSpan w:val="2"/>
          </w:tcPr>
          <w:p w14:paraId="24A2C3B0">
            <w:pPr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熟练使用财务软件，能够完成账务处理工作；</w:t>
            </w:r>
          </w:p>
          <w:p w14:paraId="133A0D8F">
            <w:pPr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掌握税法，完成各项税务相关工作；</w:t>
            </w:r>
          </w:p>
          <w:p w14:paraId="3526D987">
            <w:pPr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熟练使用Office办公软件；</w:t>
            </w:r>
          </w:p>
          <w:p w14:paraId="2E73DAD3">
            <w:pPr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 xml:space="preserve">持有C1驾驶证      </w:t>
            </w:r>
          </w:p>
        </w:tc>
      </w:tr>
      <w:tr w14:paraId="59071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</w:tcPr>
          <w:p w14:paraId="36D7E54C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职业素养</w:t>
            </w:r>
          </w:p>
        </w:tc>
        <w:tc>
          <w:tcPr>
            <w:tcW w:w="8413" w:type="dxa"/>
            <w:gridSpan w:val="2"/>
          </w:tcPr>
          <w:p w14:paraId="13846443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细致认真、擅于沟通，责任心强。</w:t>
            </w:r>
          </w:p>
        </w:tc>
      </w:tr>
      <w:tr w14:paraId="22505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1" w:type="dxa"/>
          </w:tcPr>
          <w:p w14:paraId="7FBEEB08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核心能力</w:t>
            </w:r>
          </w:p>
        </w:tc>
        <w:tc>
          <w:tcPr>
            <w:tcW w:w="8413" w:type="dxa"/>
            <w:gridSpan w:val="2"/>
          </w:tcPr>
          <w:p w14:paraId="5A4BA045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时间管理能力（并行事务统筹能力）、执行能力、问题解决能力、沟通协调能力</w:t>
            </w:r>
          </w:p>
        </w:tc>
      </w:tr>
      <w:tr w14:paraId="50382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4" w:type="dxa"/>
            <w:gridSpan w:val="3"/>
          </w:tcPr>
          <w:p w14:paraId="7EE91E31">
            <w:r>
              <w:rPr>
                <w:rFonts w:hint="eastAsia"/>
              </w:rPr>
              <w:t>五、管理规范</w:t>
            </w:r>
          </w:p>
        </w:tc>
      </w:tr>
      <w:tr w14:paraId="690F5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4" w:type="dxa"/>
            <w:gridSpan w:val="3"/>
          </w:tcPr>
          <w:p w14:paraId="160EDC60">
            <w:pPr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rFonts w:hint="eastAsia"/>
              </w:rPr>
              <w:t>试用期提前转正</w:t>
            </w:r>
            <w:r>
              <w:rPr>
                <w:rFonts w:hint="eastAsia"/>
                <w:b w:val="0"/>
                <w:bCs w:val="0"/>
              </w:rPr>
              <w:t>：如工作职责各达成标准完成度≥90%，可由上级提出，审批通过后提前转正；</w:t>
            </w:r>
          </w:p>
          <w:p w14:paraId="53290E1D">
            <w:pPr>
              <w:numPr>
                <w:ilvl w:val="0"/>
                <w:numId w:val="6"/>
              </w:numPr>
              <w:rPr>
                <w:b w:val="0"/>
                <w:bCs w:val="0"/>
              </w:rPr>
            </w:pPr>
            <w:r>
              <w:rPr>
                <w:rFonts w:hint="eastAsia"/>
              </w:rPr>
              <w:t>不符合录用条件</w:t>
            </w:r>
            <w:r>
              <w:rPr>
                <w:rFonts w:hint="eastAsia"/>
                <w:b w:val="0"/>
                <w:bCs w:val="0"/>
              </w:rPr>
              <w:t>：如工作职责各达成标准完成度≤70%，视为不符合录用条件，可解除劳动合同；</w:t>
            </w:r>
          </w:p>
        </w:tc>
      </w:tr>
    </w:tbl>
    <w:p w14:paraId="0C18C860">
      <w:pPr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DCBC732">
      <w:pPr>
        <w:rPr>
          <w:b w:val="0"/>
          <w:bCs w:val="0"/>
        </w:rPr>
      </w:pPr>
    </w:p>
    <w:p w14:paraId="7DA5851A">
      <w:pPr>
        <w:rPr>
          <w:b w:val="0"/>
          <w:bCs w:val="0"/>
        </w:rPr>
      </w:pPr>
    </w:p>
    <w:p w14:paraId="51F042A3">
      <w:pPr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新员工签收处：_________________      </w:t>
      </w:r>
      <w:r>
        <w:rPr>
          <w:rFonts w:hint="eastAsia"/>
          <w:b w:val="0"/>
          <w:bCs w:val="0"/>
          <w:lang w:val="en-US" w:eastAsia="zh-CN"/>
        </w:rPr>
        <w:t xml:space="preserve">                   </w:t>
      </w:r>
      <w:bookmarkStart w:id="0" w:name="_GoBack"/>
      <w:bookmarkEnd w:id="0"/>
      <w:r>
        <w:rPr>
          <w:rFonts w:hint="eastAsia"/>
          <w:b w:val="0"/>
          <w:bCs w:val="0"/>
        </w:rPr>
        <w:t xml:space="preserve">   </w:t>
      </w:r>
      <w:r>
        <w:rPr>
          <w:rFonts w:hint="eastAsia"/>
          <w:b w:val="0"/>
          <w:bCs w:val="0"/>
          <w:lang w:val="en-US" w:eastAsia="zh-CN"/>
        </w:rPr>
        <w:t>日</w:t>
      </w:r>
      <w:r>
        <w:rPr>
          <w:rFonts w:hint="eastAsia"/>
          <w:b w:val="0"/>
          <w:bCs w:val="0"/>
        </w:rPr>
        <w:t>期：</w:t>
      </w:r>
      <w:r>
        <w:rPr>
          <w:rFonts w:hint="eastAsia"/>
          <w:b w:val="0"/>
          <w:bCs w:val="0"/>
          <w:u w:val="single"/>
        </w:rPr>
        <w:t>__</w:t>
      </w:r>
      <w:r>
        <w:rPr>
          <w:rFonts w:hint="eastAsia"/>
          <w:b w:val="0"/>
          <w:bCs w:val="0"/>
          <w:u w:val="single"/>
          <w:lang w:val="en-US" w:eastAsia="zh-CN"/>
        </w:rPr>
        <w:t>20260414</w:t>
      </w:r>
      <w:r>
        <w:rPr>
          <w:rFonts w:hint="eastAsia"/>
          <w:b w:val="0"/>
          <w:bCs w:val="0"/>
          <w:u w:val="single"/>
        </w:rPr>
        <w:t>___</w:t>
      </w:r>
    </w:p>
    <w:sectPr>
      <w:headerReference r:id="rId3" w:type="default"/>
      <w:footerReference r:id="rId4" w:type="default"/>
      <w:pgSz w:w="11906" w:h="16838"/>
      <w:pgMar w:top="1440" w:right="1463" w:bottom="1440" w:left="1463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43322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A026FA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A026FA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D7730">
    <w:pPr>
      <w:pStyle w:val="3"/>
    </w:pPr>
    <w:r>
      <w:rPr>
        <w:rFonts w:hint="eastAsia"/>
      </w:rPr>
      <w:t xml:space="preserve">                                                                                        </w:t>
    </w:r>
    <w:r>
      <w:rPr>
        <w:rFonts w:hint="eastAsia" w:ascii="微软雅黑 Light" w:hAnsi="微软雅黑 Light" w:eastAsia="微软雅黑 Light" w:cs="微软雅黑 Light"/>
        <w:b w:val="0"/>
        <w:bCs w:val="0"/>
        <w:sz w:val="15"/>
        <w:szCs w:val="15"/>
      </w:rPr>
      <w:t>岗位说明书V1.0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78438"/>
    <w:multiLevelType w:val="singleLevel"/>
    <w:tmpl w:val="9497843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3874CA8"/>
    <w:multiLevelType w:val="singleLevel"/>
    <w:tmpl w:val="F3874CA8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9130AEA"/>
    <w:multiLevelType w:val="singleLevel"/>
    <w:tmpl w:val="F9130AEA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2296B54"/>
    <w:multiLevelType w:val="singleLevel"/>
    <w:tmpl w:val="02296B54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11C76C1B"/>
    <w:multiLevelType w:val="singleLevel"/>
    <w:tmpl w:val="11C76C1B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2FCB6FC7"/>
    <w:multiLevelType w:val="singleLevel"/>
    <w:tmpl w:val="2FCB6FC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817"/>
    <w:rsid w:val="000877F5"/>
    <w:rsid w:val="003B5817"/>
    <w:rsid w:val="00726300"/>
    <w:rsid w:val="00AD344F"/>
    <w:rsid w:val="00E90957"/>
    <w:rsid w:val="00EF794E"/>
    <w:rsid w:val="012F41F1"/>
    <w:rsid w:val="02217001"/>
    <w:rsid w:val="029C3B08"/>
    <w:rsid w:val="041A6357"/>
    <w:rsid w:val="045F303F"/>
    <w:rsid w:val="04714B20"/>
    <w:rsid w:val="04CB5FDF"/>
    <w:rsid w:val="04EE7F1F"/>
    <w:rsid w:val="055B3F73"/>
    <w:rsid w:val="05D45367"/>
    <w:rsid w:val="062A4F87"/>
    <w:rsid w:val="06367DD0"/>
    <w:rsid w:val="068C3E93"/>
    <w:rsid w:val="069A035E"/>
    <w:rsid w:val="06FA0DFD"/>
    <w:rsid w:val="071A5FC4"/>
    <w:rsid w:val="0767220C"/>
    <w:rsid w:val="07F92E63"/>
    <w:rsid w:val="07FC2953"/>
    <w:rsid w:val="082A5712"/>
    <w:rsid w:val="08301AA3"/>
    <w:rsid w:val="087D3A94"/>
    <w:rsid w:val="0A634F0B"/>
    <w:rsid w:val="0B3D750A"/>
    <w:rsid w:val="0B8213C1"/>
    <w:rsid w:val="0C085D6A"/>
    <w:rsid w:val="0C4274CE"/>
    <w:rsid w:val="0CA21D1B"/>
    <w:rsid w:val="0D35493D"/>
    <w:rsid w:val="0D411534"/>
    <w:rsid w:val="0D7A146F"/>
    <w:rsid w:val="0E2826F4"/>
    <w:rsid w:val="0ECC26B5"/>
    <w:rsid w:val="0F20161D"/>
    <w:rsid w:val="0FE4089C"/>
    <w:rsid w:val="0FF07241"/>
    <w:rsid w:val="10813D8D"/>
    <w:rsid w:val="10D0112F"/>
    <w:rsid w:val="11B06C88"/>
    <w:rsid w:val="12B075CE"/>
    <w:rsid w:val="13C44C6D"/>
    <w:rsid w:val="14042A4C"/>
    <w:rsid w:val="149328E5"/>
    <w:rsid w:val="14E05AD6"/>
    <w:rsid w:val="154C316C"/>
    <w:rsid w:val="16BC1C2B"/>
    <w:rsid w:val="181F06C4"/>
    <w:rsid w:val="182300F4"/>
    <w:rsid w:val="186C142F"/>
    <w:rsid w:val="18A922CF"/>
    <w:rsid w:val="18B232E6"/>
    <w:rsid w:val="1A8213DE"/>
    <w:rsid w:val="1AA66E7A"/>
    <w:rsid w:val="1AB62E35"/>
    <w:rsid w:val="1B2F4538"/>
    <w:rsid w:val="1B701236"/>
    <w:rsid w:val="1B826CAD"/>
    <w:rsid w:val="1B8D30FE"/>
    <w:rsid w:val="1C00080C"/>
    <w:rsid w:val="1CAE0268"/>
    <w:rsid w:val="1DA747F6"/>
    <w:rsid w:val="1DD04AF0"/>
    <w:rsid w:val="1DD12460"/>
    <w:rsid w:val="1F6F65CF"/>
    <w:rsid w:val="20D14525"/>
    <w:rsid w:val="22237002"/>
    <w:rsid w:val="2288155B"/>
    <w:rsid w:val="23243032"/>
    <w:rsid w:val="23333275"/>
    <w:rsid w:val="2366364A"/>
    <w:rsid w:val="2387194A"/>
    <w:rsid w:val="23E822B1"/>
    <w:rsid w:val="24915A80"/>
    <w:rsid w:val="2500655F"/>
    <w:rsid w:val="25AB7A3A"/>
    <w:rsid w:val="25D845A8"/>
    <w:rsid w:val="26211AAB"/>
    <w:rsid w:val="26622587"/>
    <w:rsid w:val="26633E71"/>
    <w:rsid w:val="269E134D"/>
    <w:rsid w:val="26D22DA5"/>
    <w:rsid w:val="280D0539"/>
    <w:rsid w:val="283E4B96"/>
    <w:rsid w:val="28C055AB"/>
    <w:rsid w:val="2916166F"/>
    <w:rsid w:val="296B4A66"/>
    <w:rsid w:val="2A094D30"/>
    <w:rsid w:val="2A202079"/>
    <w:rsid w:val="2AA64C74"/>
    <w:rsid w:val="2B7E52A9"/>
    <w:rsid w:val="2F646705"/>
    <w:rsid w:val="2FA5374C"/>
    <w:rsid w:val="300E30A0"/>
    <w:rsid w:val="30955CD4"/>
    <w:rsid w:val="30FA7AC8"/>
    <w:rsid w:val="324B1ED4"/>
    <w:rsid w:val="3422536C"/>
    <w:rsid w:val="34E5169C"/>
    <w:rsid w:val="35675DF5"/>
    <w:rsid w:val="35A561EB"/>
    <w:rsid w:val="35F5085E"/>
    <w:rsid w:val="374B6019"/>
    <w:rsid w:val="384314FF"/>
    <w:rsid w:val="38B247E4"/>
    <w:rsid w:val="38F372D7"/>
    <w:rsid w:val="38FB618B"/>
    <w:rsid w:val="39A20CFD"/>
    <w:rsid w:val="3A23599A"/>
    <w:rsid w:val="3B5961FE"/>
    <w:rsid w:val="3B9D5939"/>
    <w:rsid w:val="3CCE6CCA"/>
    <w:rsid w:val="3CCE71EB"/>
    <w:rsid w:val="3D931088"/>
    <w:rsid w:val="3E6532EA"/>
    <w:rsid w:val="3E95498C"/>
    <w:rsid w:val="3ED83AF5"/>
    <w:rsid w:val="3F0D4E6A"/>
    <w:rsid w:val="3F221A4C"/>
    <w:rsid w:val="3FC217B1"/>
    <w:rsid w:val="40696866"/>
    <w:rsid w:val="40A23390"/>
    <w:rsid w:val="40A52C9C"/>
    <w:rsid w:val="4211283C"/>
    <w:rsid w:val="4235270E"/>
    <w:rsid w:val="4441183E"/>
    <w:rsid w:val="447A6AFE"/>
    <w:rsid w:val="449556E6"/>
    <w:rsid w:val="45BB73CE"/>
    <w:rsid w:val="46F012F9"/>
    <w:rsid w:val="46FC7C9E"/>
    <w:rsid w:val="4710374A"/>
    <w:rsid w:val="472745EF"/>
    <w:rsid w:val="480E2480"/>
    <w:rsid w:val="48194880"/>
    <w:rsid w:val="487815A6"/>
    <w:rsid w:val="48EA3B26"/>
    <w:rsid w:val="49DD1A82"/>
    <w:rsid w:val="49FB423D"/>
    <w:rsid w:val="4A742241"/>
    <w:rsid w:val="4AA2290B"/>
    <w:rsid w:val="4B6D116B"/>
    <w:rsid w:val="4C7E1155"/>
    <w:rsid w:val="4DF80A94"/>
    <w:rsid w:val="4E105DDD"/>
    <w:rsid w:val="4E41068C"/>
    <w:rsid w:val="4E787F9E"/>
    <w:rsid w:val="4EE5726A"/>
    <w:rsid w:val="4F367A88"/>
    <w:rsid w:val="4F493C9D"/>
    <w:rsid w:val="501E6ED7"/>
    <w:rsid w:val="50373AF5"/>
    <w:rsid w:val="51654692"/>
    <w:rsid w:val="516A1CA8"/>
    <w:rsid w:val="51A159FE"/>
    <w:rsid w:val="51AB6549"/>
    <w:rsid w:val="52537FF0"/>
    <w:rsid w:val="52CA25D7"/>
    <w:rsid w:val="53B84F4D"/>
    <w:rsid w:val="56E46059"/>
    <w:rsid w:val="574511ED"/>
    <w:rsid w:val="57763155"/>
    <w:rsid w:val="586E207E"/>
    <w:rsid w:val="58B959EF"/>
    <w:rsid w:val="591A2160"/>
    <w:rsid w:val="595725A2"/>
    <w:rsid w:val="59E36A9C"/>
    <w:rsid w:val="5A3D61AC"/>
    <w:rsid w:val="5A61633E"/>
    <w:rsid w:val="5ABC3575"/>
    <w:rsid w:val="5ACC12DE"/>
    <w:rsid w:val="5B3B50F4"/>
    <w:rsid w:val="5D83537D"/>
    <w:rsid w:val="5DA6050C"/>
    <w:rsid w:val="5E2C6C63"/>
    <w:rsid w:val="5E513460"/>
    <w:rsid w:val="5EB86749"/>
    <w:rsid w:val="5F2269D4"/>
    <w:rsid w:val="5FFC5509"/>
    <w:rsid w:val="60CA4511"/>
    <w:rsid w:val="60D61108"/>
    <w:rsid w:val="6162474A"/>
    <w:rsid w:val="6215626A"/>
    <w:rsid w:val="623954AB"/>
    <w:rsid w:val="62CE38BD"/>
    <w:rsid w:val="643C5726"/>
    <w:rsid w:val="64836EB1"/>
    <w:rsid w:val="65932C7E"/>
    <w:rsid w:val="65D66017"/>
    <w:rsid w:val="66544FA9"/>
    <w:rsid w:val="66CC0FE3"/>
    <w:rsid w:val="66EF4CD2"/>
    <w:rsid w:val="67CE2B39"/>
    <w:rsid w:val="681A18DB"/>
    <w:rsid w:val="68774F7F"/>
    <w:rsid w:val="68790CF7"/>
    <w:rsid w:val="68925915"/>
    <w:rsid w:val="69777C99"/>
    <w:rsid w:val="6AD20B92"/>
    <w:rsid w:val="6B0220BF"/>
    <w:rsid w:val="6B533A81"/>
    <w:rsid w:val="6D4A4A10"/>
    <w:rsid w:val="6E06271B"/>
    <w:rsid w:val="6EE3336E"/>
    <w:rsid w:val="6F363EEB"/>
    <w:rsid w:val="6F742218"/>
    <w:rsid w:val="7024232C"/>
    <w:rsid w:val="7064403B"/>
    <w:rsid w:val="71755DD4"/>
    <w:rsid w:val="718A5D23"/>
    <w:rsid w:val="71997D14"/>
    <w:rsid w:val="729D3834"/>
    <w:rsid w:val="72AE3C93"/>
    <w:rsid w:val="73864FE2"/>
    <w:rsid w:val="738E67CC"/>
    <w:rsid w:val="73C179F6"/>
    <w:rsid w:val="746960C4"/>
    <w:rsid w:val="74E53270"/>
    <w:rsid w:val="750558C1"/>
    <w:rsid w:val="751F6782"/>
    <w:rsid w:val="757022A5"/>
    <w:rsid w:val="75752846"/>
    <w:rsid w:val="77A47413"/>
    <w:rsid w:val="791C31CA"/>
    <w:rsid w:val="79EA1A55"/>
    <w:rsid w:val="7BD16215"/>
    <w:rsid w:val="7C322B65"/>
    <w:rsid w:val="7C86358B"/>
    <w:rsid w:val="7C8B328D"/>
    <w:rsid w:val="7C9712F4"/>
    <w:rsid w:val="7D63324C"/>
    <w:rsid w:val="7DE44A0D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1500</Words>
  <Characters>1560</Characters>
  <Lines>12</Lines>
  <Paragraphs>3</Paragraphs>
  <TotalTime>138</TotalTime>
  <ScaleCrop>false</ScaleCrop>
  <LinksUpToDate>false</LinksUpToDate>
  <CharactersWithSpaces>1599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史颖琳Helen</cp:lastModifiedBy>
  <dcterms:modified xsi:type="dcterms:W3CDTF">2026-04-14T03:42:07Z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A2A8C086FA79411B8C80FBE74FB73FEA_12</vt:lpwstr>
  </property>
  <property fmtid="{D5CDD505-2E9C-101B-9397-08002B2CF9AE}" pid="4" name="KSOTemplateDocerSaveRecord">
    <vt:lpwstr>eyJoZGlkIjoiNjdlZGVmYjBjYjYwMTQ3YzE3OTI3YTU5MDdhZWVlZDgiLCJ1c2VySWQiOiI0NTg2NTMwNjAifQ==</vt:lpwstr>
  </property>
</Properties>
</file>