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E90B6">
      <w:pPr>
        <w:jc w:val="center"/>
        <w:rPr>
          <w:rFonts w:hint="eastAsia" w:ascii="Arial" w:hAnsi="Arial" w:eastAsia="宋体" w:cs="Arial"/>
          <w:b/>
          <w:sz w:val="52"/>
          <w:szCs w:val="52"/>
          <w:highlight w:val="none"/>
          <w:lang w:eastAsia="zh-CN"/>
        </w:rPr>
      </w:pPr>
      <w:bookmarkStart w:id="0" w:name="OLE_LINK12"/>
    </w:p>
    <w:p w14:paraId="6E8F6D53">
      <w:pPr>
        <w:jc w:val="center"/>
        <w:rPr>
          <w:rFonts w:ascii="Arial" w:hAnsi="Arial" w:cs="Arial"/>
          <w:b/>
          <w:sz w:val="52"/>
          <w:szCs w:val="52"/>
          <w:highlight w:val="none"/>
        </w:rPr>
      </w:pPr>
    </w:p>
    <w:p w14:paraId="2713E9AF">
      <w:pPr>
        <w:jc w:val="center"/>
        <w:rPr>
          <w:rFonts w:ascii="Arial" w:hAnsi="Arial" w:cs="Arial"/>
          <w:b/>
          <w:sz w:val="52"/>
          <w:szCs w:val="52"/>
          <w:highlight w:val="none"/>
        </w:rPr>
      </w:pPr>
    </w:p>
    <w:p w14:paraId="4D7F2B1F">
      <w:pPr>
        <w:jc w:val="center"/>
        <w:rPr>
          <w:rFonts w:ascii="Arial" w:hAnsi="Arial" w:cs="Arial"/>
          <w:b/>
          <w:sz w:val="52"/>
          <w:szCs w:val="52"/>
          <w:highlight w:val="none"/>
        </w:rPr>
      </w:pPr>
    </w:p>
    <w:p w14:paraId="632F3055">
      <w:pPr>
        <w:widowControl/>
        <w:jc w:val="center"/>
        <w:rPr>
          <w:rFonts w:ascii="Arial" w:hAnsi="Arial" w:cs="Arial"/>
          <w:sz w:val="28"/>
          <w:szCs w:val="28"/>
          <w:highlight w:val="none"/>
        </w:rPr>
      </w:pPr>
      <w:r>
        <w:rPr>
          <w:rFonts w:hint="eastAsia" w:ascii="Arial" w:hAnsi="Arial" w:cs="Arial"/>
          <w:b/>
          <w:sz w:val="52"/>
          <w:szCs w:val="52"/>
          <w:highlight w:val="none"/>
        </w:rPr>
        <w:t>充电桩销售合同</w:t>
      </w:r>
    </w:p>
    <w:p w14:paraId="0B566752">
      <w:pPr>
        <w:widowControl/>
        <w:spacing w:line="360" w:lineRule="auto"/>
        <w:jc w:val="left"/>
        <w:rPr>
          <w:rFonts w:ascii="Arial" w:hAnsi="Arial" w:cs="Arial"/>
          <w:sz w:val="28"/>
          <w:szCs w:val="28"/>
          <w:highlight w:val="none"/>
        </w:rPr>
      </w:pPr>
    </w:p>
    <w:p w14:paraId="253D6470">
      <w:pPr>
        <w:widowControl/>
        <w:spacing w:line="360" w:lineRule="auto"/>
        <w:jc w:val="left"/>
        <w:rPr>
          <w:rFonts w:ascii="Arial" w:hAnsi="Arial" w:cs="Arial"/>
          <w:sz w:val="28"/>
          <w:szCs w:val="28"/>
          <w:highlight w:val="none"/>
        </w:rPr>
      </w:pPr>
    </w:p>
    <w:p w14:paraId="1B33648B">
      <w:pPr>
        <w:widowControl/>
        <w:spacing w:line="360" w:lineRule="auto"/>
        <w:jc w:val="left"/>
        <w:rPr>
          <w:rFonts w:ascii="Arial" w:hAnsi="Arial" w:cs="Arial"/>
          <w:sz w:val="28"/>
          <w:szCs w:val="28"/>
          <w:highlight w:val="none"/>
        </w:rPr>
      </w:pPr>
    </w:p>
    <w:p w14:paraId="325FC895">
      <w:pPr>
        <w:widowControl/>
        <w:spacing w:line="360" w:lineRule="auto"/>
        <w:jc w:val="left"/>
        <w:rPr>
          <w:rFonts w:ascii="Arial" w:hAnsi="Arial" w:cs="Arial"/>
          <w:sz w:val="28"/>
          <w:szCs w:val="28"/>
          <w:highlight w:val="none"/>
        </w:rPr>
      </w:pPr>
    </w:p>
    <w:p w14:paraId="7797CA67">
      <w:pPr>
        <w:widowControl/>
        <w:spacing w:line="360" w:lineRule="auto"/>
        <w:ind w:firstLine="1400" w:firstLineChars="500"/>
        <w:jc w:val="left"/>
        <w:rPr>
          <w:rFonts w:hint="default" w:ascii="Arial" w:hAnsi="Arial" w:eastAsia="宋体" w:cs="Arial"/>
          <w:sz w:val="28"/>
          <w:szCs w:val="28"/>
          <w:highlight w:val="none"/>
          <w:u w:val="single"/>
          <w:lang w:val="en-US" w:eastAsia="zh-CN"/>
        </w:rPr>
      </w:pPr>
      <w:r>
        <w:rPr>
          <w:rFonts w:ascii="Arial" w:hAnsi="Arial" w:cs="Arial"/>
          <w:sz w:val="28"/>
          <w:szCs w:val="28"/>
          <w:highlight w:val="none"/>
        </w:rPr>
        <w:t>需方（甲方）：</w:t>
      </w:r>
      <w:r>
        <w:rPr>
          <w:rFonts w:hint="eastAsia" w:ascii="Arial" w:hAnsi="Arial" w:cs="Arial"/>
          <w:sz w:val="28"/>
          <w:szCs w:val="28"/>
          <w:highlight w:val="none"/>
          <w:u w:val="single"/>
          <w:lang w:val="en-US" w:eastAsia="zh-CN"/>
        </w:rPr>
        <w:t xml:space="preserve">  北京华晟经世信息技术股份有限公司   </w:t>
      </w:r>
    </w:p>
    <w:p w14:paraId="2DAB5CB5">
      <w:pPr>
        <w:widowControl/>
        <w:spacing w:line="360" w:lineRule="auto"/>
        <w:ind w:firstLine="1400" w:firstLineChars="500"/>
        <w:jc w:val="left"/>
        <w:rPr>
          <w:rFonts w:hint="default" w:ascii="Arial" w:hAnsi="Arial" w:eastAsia="宋体" w:cs="Arial"/>
          <w:sz w:val="28"/>
          <w:szCs w:val="28"/>
          <w:highlight w:val="none"/>
          <w:lang w:val="en-US" w:eastAsia="zh-CN"/>
        </w:rPr>
      </w:pPr>
      <w:r>
        <w:rPr>
          <w:rFonts w:ascii="Arial" w:hAnsi="Arial" w:cs="Arial"/>
          <w:sz w:val="28"/>
          <w:szCs w:val="28"/>
          <w:highlight w:val="none"/>
        </w:rPr>
        <w:t>供方（乙方）：</w:t>
      </w:r>
      <w:r>
        <w:rPr>
          <w:rFonts w:hint="eastAsia" w:ascii="Arial" w:hAnsi="Arial" w:cs="Arial"/>
          <w:sz w:val="28"/>
          <w:szCs w:val="28"/>
          <w:highlight w:val="none"/>
          <w:u w:val="single"/>
          <w:lang w:val="en-US" w:eastAsia="zh-CN"/>
        </w:rPr>
        <w:t xml:space="preserve">  宁家（北京）汽车服务有限公司  </w:t>
      </w:r>
    </w:p>
    <w:p w14:paraId="5C9631AB">
      <w:pPr>
        <w:widowControl/>
        <w:spacing w:line="360" w:lineRule="auto"/>
        <w:ind w:firstLine="1400" w:firstLineChars="500"/>
        <w:jc w:val="left"/>
        <w:rPr>
          <w:rFonts w:ascii="Arial" w:hAnsi="Arial" w:cs="Arial"/>
          <w:sz w:val="28"/>
          <w:szCs w:val="28"/>
          <w:highlight w:val="none"/>
        </w:rPr>
      </w:pPr>
      <w:r>
        <w:rPr>
          <w:rFonts w:ascii="Arial" w:hAnsi="Arial" w:cs="Arial"/>
          <w:sz w:val="28"/>
          <w:szCs w:val="28"/>
          <w:highlight w:val="none"/>
        </w:rPr>
        <w:t>签约时间：</w:t>
      </w:r>
      <w:r>
        <w:rPr>
          <w:rFonts w:hint="eastAsia" w:ascii="Arial" w:hAnsi="Arial" w:cs="Arial"/>
          <w:sz w:val="28"/>
          <w:szCs w:val="28"/>
          <w:highlight w:val="none"/>
        </w:rPr>
        <w:t>2025年</w:t>
      </w:r>
      <w:r>
        <w:rPr>
          <w:rFonts w:hint="eastAsia" w:ascii="Arial" w:hAnsi="Arial" w:cs="Arial"/>
          <w:sz w:val="28"/>
          <w:szCs w:val="28"/>
          <w:highlight w:val="none"/>
          <w:lang w:val="en-US" w:eastAsia="zh-CN"/>
        </w:rPr>
        <w:t xml:space="preserve"> 12 </w:t>
      </w:r>
      <w:r>
        <w:rPr>
          <w:rFonts w:hint="eastAsia" w:ascii="Arial" w:hAnsi="Arial" w:cs="Arial"/>
          <w:sz w:val="28"/>
          <w:szCs w:val="28"/>
          <w:highlight w:val="none"/>
        </w:rPr>
        <w:t>月</w:t>
      </w:r>
      <w:r>
        <w:rPr>
          <w:rFonts w:hint="eastAsia" w:ascii="Arial" w:hAnsi="Arial" w:cs="Arial"/>
          <w:sz w:val="28"/>
          <w:szCs w:val="28"/>
          <w:highlight w:val="none"/>
          <w:lang w:val="en-US" w:eastAsia="zh-CN"/>
        </w:rPr>
        <w:t xml:space="preserve"> 4 </w:t>
      </w:r>
      <w:r>
        <w:rPr>
          <w:rFonts w:hint="eastAsia" w:ascii="Arial" w:hAnsi="Arial" w:cs="Arial"/>
          <w:sz w:val="28"/>
          <w:szCs w:val="28"/>
          <w:highlight w:val="none"/>
        </w:rPr>
        <w:t>日</w:t>
      </w:r>
    </w:p>
    <w:p w14:paraId="6D250185">
      <w:pPr>
        <w:widowControl/>
        <w:spacing w:line="360" w:lineRule="auto"/>
        <w:ind w:firstLine="1400" w:firstLineChars="500"/>
        <w:jc w:val="left"/>
        <w:rPr>
          <w:rFonts w:hint="default" w:ascii="Arial" w:hAnsi="Arial" w:eastAsia="宋体" w:cs="Arial"/>
          <w:b/>
          <w:sz w:val="28"/>
          <w:szCs w:val="28"/>
          <w:highlight w:val="none"/>
          <w:lang w:val="en-US" w:eastAsia="zh-CN"/>
        </w:rPr>
      </w:pPr>
      <w:r>
        <w:rPr>
          <w:rFonts w:ascii="Arial" w:hAnsi="Arial" w:cs="Arial"/>
          <w:sz w:val="28"/>
          <w:szCs w:val="28"/>
          <w:highlight w:val="none"/>
        </w:rPr>
        <w:t>签约地点：</w:t>
      </w:r>
      <w:r>
        <w:rPr>
          <w:rFonts w:hint="eastAsia" w:ascii="Arial" w:hAnsi="Arial" w:cs="Arial"/>
          <w:b/>
          <w:sz w:val="28"/>
          <w:szCs w:val="28"/>
          <w:highlight w:val="none"/>
          <w:lang w:val="en-US" w:eastAsia="zh-CN"/>
        </w:rPr>
        <w:t>北京市大兴区</w:t>
      </w:r>
    </w:p>
    <w:p w14:paraId="16B92F9A">
      <w:pPr>
        <w:spacing w:line="360" w:lineRule="auto"/>
        <w:ind w:firstLine="1400" w:firstLineChars="500"/>
        <w:rPr>
          <w:rFonts w:hint="default" w:ascii="Arial" w:hAnsi="Arial" w:eastAsia="宋体" w:cs="Arial"/>
          <w:b/>
          <w:sz w:val="44"/>
          <w:szCs w:val="44"/>
          <w:highlight w:val="none"/>
          <w:lang w:val="en-US" w:eastAsia="zh-CN"/>
        </w:rPr>
      </w:pPr>
      <w:r>
        <w:rPr>
          <w:rFonts w:hint="eastAsia" w:ascii="Arial" w:hAnsi="Arial" w:cs="Arial"/>
          <w:sz w:val="28"/>
          <w:szCs w:val="28"/>
          <w:highlight w:val="none"/>
        </w:rPr>
        <w:t>合同编号：</w:t>
      </w:r>
      <w:r>
        <w:rPr>
          <w:rFonts w:hint="eastAsia" w:ascii="Arial" w:hAnsi="Arial" w:cs="Arial"/>
          <w:sz w:val="28"/>
          <w:szCs w:val="28"/>
          <w:highlight w:val="none"/>
          <w:lang w:val="en-US" w:eastAsia="zh-CN"/>
        </w:rPr>
        <w:t>NJFWBJ202512001</w:t>
      </w:r>
    </w:p>
    <w:bookmarkEnd w:id="0"/>
    <w:p w14:paraId="295787D9">
      <w:pPr>
        <w:tabs>
          <w:tab w:val="left" w:pos="7665"/>
        </w:tabs>
        <w:snapToGrid w:val="0"/>
        <w:spacing w:line="360" w:lineRule="auto"/>
        <w:ind w:right="1890" w:rightChars="900"/>
        <w:outlineLvl w:val="0"/>
        <w:rPr>
          <w:rFonts w:ascii="仿宋_GB2312" w:eastAsia="仿宋_GB2312"/>
          <w:b/>
          <w:bCs/>
          <w:spacing w:val="20"/>
          <w:sz w:val="32"/>
          <w:szCs w:val="32"/>
          <w:highlight w:val="none"/>
        </w:rPr>
      </w:pPr>
    </w:p>
    <w:p w14:paraId="592100EF">
      <w:pPr>
        <w:adjustRightInd w:val="0"/>
        <w:snapToGrid w:val="0"/>
        <w:spacing w:line="360" w:lineRule="auto"/>
        <w:ind w:firstLine="480" w:firstLineChars="200"/>
        <w:rPr>
          <w:rFonts w:hint="eastAsia" w:ascii="宋体" w:hAnsi="宋体"/>
          <w:sz w:val="24"/>
          <w:highlight w:val="none"/>
        </w:rPr>
      </w:pPr>
    </w:p>
    <w:p w14:paraId="4D967141">
      <w:pPr>
        <w:adjustRightInd w:val="0"/>
        <w:snapToGrid w:val="0"/>
        <w:spacing w:line="360" w:lineRule="auto"/>
        <w:ind w:firstLine="480" w:firstLineChars="200"/>
        <w:rPr>
          <w:rFonts w:hint="eastAsia" w:ascii="仿宋" w:hAnsi="仿宋" w:eastAsia="仿宋" w:cs="仿宋"/>
          <w:sz w:val="28"/>
          <w:szCs w:val="28"/>
          <w:highlight w:val="none"/>
        </w:rPr>
      </w:pPr>
      <w:r>
        <w:rPr>
          <w:rFonts w:hint="eastAsia" w:ascii="宋体" w:hAnsi="宋体"/>
          <w:sz w:val="24"/>
          <w:highlight w:val="none"/>
        </w:rPr>
        <w:br w:type="page"/>
      </w:r>
      <w:r>
        <w:rPr>
          <w:rFonts w:hint="eastAsia" w:ascii="仿宋" w:hAnsi="仿宋" w:eastAsia="仿宋" w:cs="仿宋"/>
          <w:sz w:val="28"/>
          <w:szCs w:val="28"/>
          <w:highlight w:val="none"/>
        </w:rPr>
        <w:t>双方本着平等、自愿、诚信的原则，进行友好协商，</w:t>
      </w:r>
      <w:r>
        <w:rPr>
          <w:rFonts w:hint="eastAsia" w:ascii="仿宋" w:hAnsi="仿宋" w:eastAsia="仿宋" w:cs="仿宋"/>
          <w:bCs/>
          <w:sz w:val="28"/>
          <w:szCs w:val="28"/>
          <w:highlight w:val="none"/>
        </w:rPr>
        <w:t>依照</w:t>
      </w:r>
      <w:r>
        <w:rPr>
          <w:rFonts w:hint="eastAsia" w:ascii="仿宋" w:hAnsi="仿宋" w:eastAsia="仿宋" w:cs="仿宋"/>
          <w:sz w:val="28"/>
          <w:szCs w:val="28"/>
          <w:highlight w:val="none"/>
        </w:rPr>
        <w:t>《中华人民共和国民法典》及其他相关法律法规，达成如下协议，以供双方恪守履行。</w:t>
      </w:r>
    </w:p>
    <w:p w14:paraId="284C5FE2">
      <w:pPr>
        <w:widowControl/>
        <w:numPr>
          <w:ilvl w:val="0"/>
          <w:numId w:val="1"/>
        </w:numPr>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规格、品名、数量及价格</w:t>
      </w:r>
    </w:p>
    <w:p w14:paraId="3A46C3D9">
      <w:pPr>
        <w:widowControl/>
        <w:numPr>
          <w:ilvl w:val="0"/>
          <w:numId w:val="0"/>
        </w:numPr>
        <w:adjustRightInd w:val="0"/>
        <w:snapToGrid w:val="0"/>
        <w:spacing w:line="360" w:lineRule="auto"/>
        <w:outlineLvl w:val="0"/>
        <w:rPr>
          <w:rFonts w:hint="eastAsia" w:ascii="仿宋" w:hAnsi="仿宋" w:eastAsia="仿宋" w:cs="仿宋"/>
          <w:b/>
          <w:sz w:val="28"/>
          <w:szCs w:val="28"/>
          <w:highlight w:val="none"/>
          <w:lang w:eastAsia="zh-CN"/>
        </w:rPr>
      </w:pPr>
      <w:r>
        <w:rPr>
          <w:rFonts w:hint="eastAsia" w:ascii="仿宋" w:hAnsi="仿宋" w:eastAsia="仿宋" w:cs="仿宋"/>
          <w:b/>
          <w:sz w:val="28"/>
          <w:szCs w:val="28"/>
          <w:highlight w:val="none"/>
          <w:lang w:eastAsia="zh-CN"/>
        </w:rPr>
        <w:drawing>
          <wp:inline distT="0" distB="0" distL="114300" distR="114300">
            <wp:extent cx="6179185" cy="5069205"/>
            <wp:effectExtent l="0" t="0" r="12065" b="17145"/>
            <wp:docPr id="1" name="图片 1" descr="251205-上传截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51205-上传截图-2"/>
                    <pic:cNvPicPr>
                      <a:picLocks noChangeAspect="1"/>
                    </pic:cNvPicPr>
                  </pic:nvPicPr>
                  <pic:blipFill>
                    <a:blip r:embed="rId7"/>
                    <a:stretch>
                      <a:fillRect/>
                    </a:stretch>
                  </pic:blipFill>
                  <pic:spPr>
                    <a:xfrm>
                      <a:off x="0" y="0"/>
                      <a:ext cx="6179185" cy="5069205"/>
                    </a:xfrm>
                    <a:prstGeom prst="rect">
                      <a:avLst/>
                    </a:prstGeom>
                  </pic:spPr>
                </pic:pic>
              </a:graphicData>
            </a:graphic>
          </wp:inline>
        </w:drawing>
      </w:r>
    </w:p>
    <w:p w14:paraId="43182CED">
      <w:pPr>
        <w:widowControl/>
        <w:adjustRightInd w:val="0"/>
        <w:snapToGrid w:val="0"/>
        <w:spacing w:line="360" w:lineRule="auto"/>
        <w:outlineLvl w:val="0"/>
        <w:rPr>
          <w:rFonts w:hint="eastAsia" w:ascii="仿宋" w:hAnsi="仿宋" w:eastAsia="仿宋" w:cs="仿宋"/>
          <w:sz w:val="28"/>
          <w:szCs w:val="28"/>
          <w:highlight w:val="none"/>
        </w:rPr>
      </w:pPr>
      <w:r>
        <w:rPr>
          <w:rFonts w:hint="eastAsia" w:ascii="仿宋" w:hAnsi="仿宋" w:eastAsia="仿宋" w:cs="仿宋"/>
          <w:sz w:val="28"/>
          <w:szCs w:val="28"/>
          <w:highlight w:val="none"/>
        </w:rPr>
        <w:t>注：</w:t>
      </w:r>
    </w:p>
    <w:p w14:paraId="11A18435">
      <w:pPr>
        <w:widowControl/>
        <w:adjustRightInd w:val="0"/>
        <w:snapToGrid w:val="0"/>
        <w:spacing w:line="360" w:lineRule="auto"/>
        <w:outlineLvl w:val="0"/>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1、未经乙方提前书面同意，甲方不得将产品提供或转售至合同约定交付地点以外的其它地区，否则因此引起的乙方维权的所有费用、设备风险和安全责任等均由甲方承担。</w:t>
      </w:r>
    </w:p>
    <w:p w14:paraId="78374CCF">
      <w:pPr>
        <w:widowControl/>
        <w:numPr>
          <w:ilvl w:val="0"/>
          <w:numId w:val="0"/>
        </w:numPr>
        <w:adjustRightInd w:val="0"/>
        <w:snapToGrid w:val="0"/>
        <w:spacing w:line="360" w:lineRule="auto"/>
        <w:ind w:leftChars="0"/>
        <w:outlineLvl w:val="0"/>
        <w:rPr>
          <w:rFonts w:hint="eastAsia" w:ascii="仿宋" w:hAnsi="仿宋" w:eastAsia="仿宋" w:cs="仿宋"/>
          <w:color w:val="auto"/>
          <w:sz w:val="28"/>
          <w:szCs w:val="28"/>
          <w:highlight w:val="none"/>
        </w:rPr>
      </w:pPr>
      <w:r>
        <w:rPr>
          <w:rFonts w:hint="eastAsia" w:ascii="仿宋" w:hAnsi="仿宋" w:eastAsia="仿宋" w:cs="仿宋"/>
          <w:sz w:val="28"/>
          <w:szCs w:val="28"/>
          <w:highlight w:val="none"/>
          <w:lang w:val="en-US" w:eastAsia="zh-CN"/>
        </w:rPr>
        <w:t>2、</w:t>
      </w:r>
      <w:r>
        <w:rPr>
          <w:rFonts w:hint="eastAsia" w:ascii="仿宋" w:hAnsi="仿宋" w:eastAsia="仿宋" w:cs="仿宋"/>
          <w:sz w:val="28"/>
          <w:szCs w:val="28"/>
          <w:highlight w:val="none"/>
        </w:rPr>
        <w:t>以上产品为标准产品，含设备费、包装费、运输费、调试费（远程支持）；不含现场调试与培训，如需现场调试与培训，另计费用元；不含设备安装费用和现场设备卸货费；报价不含充电桩平台使用费，如需使用充电桩运营管理平台，双方另外签运营协议。</w:t>
      </w:r>
    </w:p>
    <w:p w14:paraId="11554546">
      <w:pPr>
        <w:widowControl/>
        <w:numPr>
          <w:ilvl w:val="0"/>
          <w:numId w:val="0"/>
        </w:numPr>
        <w:adjustRightInd w:val="0"/>
        <w:snapToGrid w:val="0"/>
        <w:spacing w:line="360" w:lineRule="auto"/>
        <w:ind w:leftChars="0"/>
        <w:outlineLvl w:val="0"/>
        <w:rPr>
          <w:rFonts w:hint="eastAsia" w:ascii="仿宋" w:hAnsi="仿宋" w:eastAsia="仿宋" w:cs="仿宋"/>
          <w:color w:val="auto"/>
          <w:sz w:val="28"/>
          <w:szCs w:val="28"/>
          <w:highlight w:val="none"/>
        </w:rPr>
      </w:pPr>
    </w:p>
    <w:p w14:paraId="244350F3">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二、交付时间、地点及方式</w:t>
      </w:r>
    </w:p>
    <w:p w14:paraId="65E7D9D7">
      <w:pPr>
        <w:widowControl/>
        <w:numPr>
          <w:ilvl w:val="1"/>
          <w:numId w:val="2"/>
        </w:numPr>
        <w:adjustRightInd w:val="0"/>
        <w:snapToGrid w:val="0"/>
        <w:spacing w:line="360" w:lineRule="auto"/>
        <w:ind w:left="560" w:hanging="560" w:hangingChars="200"/>
        <w:rPr>
          <w:rFonts w:hint="eastAsia" w:ascii="仿宋" w:hAnsi="仿宋" w:eastAsia="仿宋" w:cs="仿宋"/>
          <w:sz w:val="28"/>
          <w:szCs w:val="28"/>
          <w:highlight w:val="none"/>
        </w:rPr>
      </w:pPr>
      <w:r>
        <w:rPr>
          <w:rFonts w:hint="eastAsia" w:ascii="仿宋" w:hAnsi="仿宋" w:eastAsia="仿宋" w:cs="仿宋"/>
          <w:sz w:val="28"/>
          <w:szCs w:val="28"/>
          <w:highlight w:val="none"/>
        </w:rPr>
        <w:t>交货时间为以下第</w:t>
      </w:r>
      <w:r>
        <w:rPr>
          <w:rFonts w:hint="eastAsia" w:ascii="仿宋" w:hAnsi="仿宋" w:eastAsia="仿宋" w:cs="仿宋"/>
          <w:sz w:val="28"/>
          <w:szCs w:val="28"/>
          <w:highlight w:val="none"/>
          <w:u w:val="single"/>
        </w:rPr>
        <w:t xml:space="preserve">  2  </w:t>
      </w:r>
      <w:r>
        <w:rPr>
          <w:rFonts w:hint="eastAsia" w:ascii="仿宋" w:hAnsi="仿宋" w:eastAsia="仿宋" w:cs="仿宋"/>
          <w:sz w:val="28"/>
          <w:szCs w:val="28"/>
          <w:highlight w:val="none"/>
        </w:rPr>
        <w:t>项：</w:t>
      </w:r>
    </w:p>
    <w:p w14:paraId="7BAD62AD">
      <w:pPr>
        <w:widowControl/>
        <w:numPr>
          <w:ilvl w:val="255"/>
          <w:numId w:val="0"/>
        </w:numPr>
        <w:adjustRightInd w:val="0"/>
        <w:snapToGrid w:val="0"/>
        <w:spacing w:line="360" w:lineRule="auto"/>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（1）</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年</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月</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日前；</w:t>
      </w:r>
    </w:p>
    <w:p w14:paraId="596B66B0">
      <w:pPr>
        <w:widowControl/>
        <w:numPr>
          <w:ilvl w:val="255"/>
          <w:numId w:val="0"/>
        </w:numPr>
        <w:adjustRightInd w:val="0"/>
        <w:snapToGrid w:val="0"/>
        <w:spacing w:line="360" w:lineRule="auto"/>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（2）本合同签订生效后，甲方根据项目需要，向乙方下发具体数量发货单。乙方收到发货单且收到甲方支付的预付款后</w:t>
      </w:r>
      <w:r>
        <w:rPr>
          <w:rFonts w:hint="eastAsia" w:ascii="仿宋" w:hAnsi="仿宋" w:eastAsia="仿宋" w:cs="仿宋"/>
          <w:sz w:val="28"/>
          <w:szCs w:val="28"/>
          <w:highlight w:val="none"/>
          <w:u w:val="single"/>
        </w:rPr>
        <w:t>30</w:t>
      </w:r>
      <w:r>
        <w:rPr>
          <w:rFonts w:hint="eastAsia" w:ascii="仿宋" w:hAnsi="仿宋" w:eastAsia="仿宋" w:cs="仿宋"/>
          <w:sz w:val="28"/>
          <w:szCs w:val="28"/>
          <w:highlight w:val="none"/>
        </w:rPr>
        <w:t>个工作日内安排送货至合同指定地点。</w:t>
      </w:r>
    </w:p>
    <w:p w14:paraId="23826614">
      <w:pPr>
        <w:widowControl/>
        <w:numPr>
          <w:ilvl w:val="1"/>
          <w:numId w:val="2"/>
        </w:numPr>
        <w:adjustRightInd w:val="0"/>
        <w:snapToGrid w:val="0"/>
        <w:spacing w:line="360" w:lineRule="auto"/>
        <w:ind w:left="560" w:hanging="560" w:hangingChars="200"/>
        <w:rPr>
          <w:rFonts w:hint="eastAsia" w:ascii="仿宋" w:hAnsi="仿宋" w:eastAsia="仿宋" w:cs="仿宋"/>
          <w:sz w:val="28"/>
          <w:szCs w:val="28"/>
          <w:highlight w:val="none"/>
        </w:rPr>
      </w:pPr>
      <w:r>
        <w:rPr>
          <w:rFonts w:hint="eastAsia" w:ascii="仿宋" w:hAnsi="仿宋" w:eastAsia="仿宋" w:cs="仿宋"/>
          <w:sz w:val="28"/>
          <w:szCs w:val="28"/>
          <w:highlight w:val="none"/>
        </w:rPr>
        <w:t>产品运抵合同指定交付地点视为完成交付。如无特别约定，乙方承担运输费用，不含搬运、卸车及产品就位费用，但因甲方改变本协议约定的产品交付地点产生的额外运输费用由甲方承担。交付</w:t>
      </w:r>
      <w:r>
        <w:rPr>
          <w:rFonts w:ascii="仿宋" w:hAnsi="仿宋" w:eastAsia="仿宋" w:cs="仿宋"/>
          <w:sz w:val="28"/>
          <w:szCs w:val="28"/>
          <w:highlight w:val="none"/>
        </w:rPr>
        <w:t>地点的</w:t>
      </w:r>
      <w:r>
        <w:rPr>
          <w:rFonts w:hint="eastAsia" w:ascii="仿宋" w:hAnsi="仿宋" w:eastAsia="仿宋" w:cs="仿宋"/>
          <w:sz w:val="28"/>
          <w:szCs w:val="28"/>
          <w:highlight w:val="none"/>
        </w:rPr>
        <w:t>搬运、卸车及</w:t>
      </w:r>
      <w:r>
        <w:rPr>
          <w:rFonts w:ascii="仿宋" w:hAnsi="仿宋" w:eastAsia="仿宋" w:cs="仿宋"/>
          <w:sz w:val="28"/>
          <w:szCs w:val="28"/>
          <w:highlight w:val="none"/>
        </w:rPr>
        <w:t>基础建设工作</w:t>
      </w:r>
      <w:r>
        <w:rPr>
          <w:rFonts w:hint="eastAsia" w:ascii="仿宋" w:hAnsi="仿宋" w:eastAsia="仿宋" w:cs="仿宋"/>
          <w:sz w:val="28"/>
          <w:szCs w:val="28"/>
          <w:highlight w:val="none"/>
        </w:rPr>
        <w:t>由</w:t>
      </w:r>
      <w:r>
        <w:rPr>
          <w:rFonts w:ascii="仿宋" w:hAnsi="仿宋" w:eastAsia="仿宋" w:cs="仿宋"/>
          <w:sz w:val="28"/>
          <w:szCs w:val="28"/>
          <w:highlight w:val="none"/>
        </w:rPr>
        <w:t>甲方</w:t>
      </w:r>
      <w:r>
        <w:rPr>
          <w:rFonts w:hint="eastAsia" w:ascii="仿宋" w:hAnsi="仿宋" w:eastAsia="仿宋" w:cs="仿宋"/>
          <w:sz w:val="28"/>
          <w:szCs w:val="28"/>
          <w:highlight w:val="none"/>
        </w:rPr>
        <w:t>负责</w:t>
      </w:r>
      <w:r>
        <w:rPr>
          <w:rFonts w:ascii="仿宋" w:hAnsi="仿宋" w:eastAsia="仿宋" w:cs="仿宋"/>
          <w:sz w:val="28"/>
          <w:szCs w:val="28"/>
          <w:highlight w:val="none"/>
        </w:rPr>
        <w:t>，并</w:t>
      </w:r>
      <w:r>
        <w:rPr>
          <w:rFonts w:hint="eastAsia" w:ascii="仿宋" w:hAnsi="仿宋" w:eastAsia="仿宋" w:cs="仿宋"/>
          <w:sz w:val="28"/>
          <w:szCs w:val="28"/>
          <w:highlight w:val="none"/>
        </w:rPr>
        <w:t>自行</w:t>
      </w:r>
      <w:r>
        <w:rPr>
          <w:rFonts w:ascii="仿宋" w:hAnsi="仿宋" w:eastAsia="仿宋" w:cs="仿宋"/>
          <w:sz w:val="28"/>
          <w:szCs w:val="28"/>
          <w:highlight w:val="none"/>
        </w:rPr>
        <w:t>承担所需费用。</w:t>
      </w:r>
      <w:r>
        <w:rPr>
          <w:rFonts w:hint="eastAsia" w:ascii="仿宋" w:hAnsi="仿宋" w:eastAsia="仿宋" w:cs="仿宋"/>
          <w:sz w:val="28"/>
          <w:szCs w:val="28"/>
          <w:highlight w:val="none"/>
        </w:rPr>
        <w:t>产品的全部风险（损坏、灭失等）在送达合同指定地点后由甲方承担。</w:t>
      </w:r>
    </w:p>
    <w:p w14:paraId="0723CD3C">
      <w:pPr>
        <w:adjustRightInd w:val="0"/>
        <w:snapToGrid w:val="0"/>
        <w:spacing w:line="360" w:lineRule="auto"/>
        <w:ind w:firstLine="560" w:firstLineChars="200"/>
        <w:rPr>
          <w:rFonts w:hint="eastAsia" w:ascii="仿宋" w:hAnsi="仿宋" w:eastAsia="仿宋" w:cs="仿宋"/>
          <w:sz w:val="28"/>
          <w:szCs w:val="28"/>
          <w:highlight w:val="none"/>
        </w:rPr>
      </w:pPr>
      <w:bookmarkStart w:id="1" w:name="OLE_LINK1"/>
      <w:r>
        <w:rPr>
          <w:rFonts w:hint="eastAsia" w:ascii="仿宋" w:hAnsi="仿宋" w:eastAsia="仿宋" w:cs="仿宋"/>
          <w:sz w:val="28"/>
          <w:szCs w:val="28"/>
          <w:highlight w:val="none"/>
        </w:rPr>
        <w:t>产品交付地点为</w:t>
      </w:r>
      <w:r>
        <w:rPr>
          <w:rFonts w:ascii="仿宋" w:hAnsi="仿宋" w:eastAsia="仿宋" w:cs="仿宋"/>
          <w:sz w:val="28"/>
          <w:szCs w:val="28"/>
          <w:highlight w:val="none"/>
        </w:rPr>
        <w:t>:</w:t>
      </w:r>
      <w:r>
        <w:rPr>
          <w:rFonts w:hint="eastAsia"/>
          <w:highlight w:val="none"/>
        </w:rPr>
        <w:t xml:space="preserve"> </w:t>
      </w:r>
      <w:r>
        <w:rPr>
          <w:rFonts w:hint="eastAsia" w:ascii="仿宋" w:hAnsi="仿宋" w:eastAsia="仿宋" w:cs="仿宋"/>
          <w:sz w:val="28"/>
          <w:szCs w:val="28"/>
          <w:highlight w:val="none"/>
          <w:u w:val="single"/>
          <w:lang w:val="en-US" w:eastAsia="zh-CN"/>
        </w:rPr>
        <w:t xml:space="preserve"> 山东省德州市德城区大学东路689号德州职业技术学院公共实训中心</w:t>
      </w:r>
      <w:r>
        <w:rPr>
          <w:rFonts w:hint="eastAsia"/>
          <w:highlight w:val="none"/>
          <w:u w:val="single"/>
        </w:rPr>
        <w:t xml:space="preserve">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p>
    <w:p w14:paraId="1DF6CE0C">
      <w:pPr>
        <w:widowControl/>
        <w:adjustRightInd w:val="0"/>
        <w:snapToGrid w:val="0"/>
        <w:spacing w:line="360" w:lineRule="auto"/>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收货联系人：</w:t>
      </w:r>
      <w:r>
        <w:rPr>
          <w:rFonts w:hint="eastAsia" w:ascii="仿宋" w:hAnsi="仿宋" w:eastAsia="仿宋" w:cs="仿宋"/>
          <w:sz w:val="28"/>
          <w:szCs w:val="28"/>
          <w:highlight w:val="none"/>
          <w:u w:val="single"/>
          <w:lang w:val="en-US" w:eastAsia="zh-CN"/>
        </w:rPr>
        <w:t xml:space="preserve">   黄志奇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p>
    <w:p w14:paraId="6931ED9D">
      <w:pPr>
        <w:widowControl/>
        <w:adjustRightInd w:val="0"/>
        <w:snapToGrid w:val="0"/>
        <w:spacing w:line="360" w:lineRule="auto"/>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联系电话：</w:t>
      </w:r>
      <w:r>
        <w:rPr>
          <w:rFonts w:hint="eastAsia" w:ascii="仿宋" w:hAnsi="仿宋" w:eastAsia="仿宋" w:cs="仿宋"/>
          <w:sz w:val="28"/>
          <w:szCs w:val="28"/>
          <w:highlight w:val="none"/>
          <w:u w:val="single"/>
          <w:lang w:val="en-US" w:eastAsia="zh-CN"/>
        </w:rPr>
        <w:t xml:space="preserve">  13545907093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bookmarkEnd w:id="1"/>
      <w:r>
        <w:rPr>
          <w:rFonts w:ascii="仿宋" w:hAnsi="仿宋" w:eastAsia="仿宋" w:cs="仿宋"/>
          <w:sz w:val="28"/>
          <w:szCs w:val="28"/>
          <w:highlight w:val="none"/>
        </w:rPr>
        <w:t xml:space="preserve">      </w:t>
      </w:r>
    </w:p>
    <w:p w14:paraId="713E6C43">
      <w:pPr>
        <w:widowControl/>
        <w:adjustRightInd w:val="0"/>
        <w:snapToGrid w:val="0"/>
        <w:spacing w:line="360" w:lineRule="auto"/>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指定到货验收责任人</w:t>
      </w:r>
      <w:r>
        <w:rPr>
          <w:rFonts w:ascii="仿宋" w:hAnsi="仿宋" w:eastAsia="仿宋" w:cs="仿宋"/>
          <w:sz w:val="28"/>
          <w:szCs w:val="28"/>
          <w:highlight w:val="none"/>
        </w:rPr>
        <w:t>：</w:t>
      </w:r>
      <w:r>
        <w:rPr>
          <w:rFonts w:hint="eastAsia" w:ascii="仿宋" w:hAnsi="仿宋" w:eastAsia="仿宋" w:cs="仿宋"/>
          <w:sz w:val="28"/>
          <w:szCs w:val="28"/>
          <w:highlight w:val="none"/>
          <w:u w:val="single"/>
          <w:lang w:val="en-US" w:eastAsia="zh-CN"/>
        </w:rPr>
        <w:t xml:space="preserve">  黄志奇 </w:t>
      </w:r>
      <w:r>
        <w:rPr>
          <w:rFonts w:ascii="仿宋" w:hAnsi="仿宋" w:eastAsia="仿宋" w:cs="仿宋"/>
          <w:sz w:val="28"/>
          <w:szCs w:val="28"/>
          <w:highlight w:val="none"/>
        </w:rPr>
        <w:t xml:space="preserve"> </w:t>
      </w:r>
    </w:p>
    <w:p w14:paraId="7F1835A8">
      <w:pPr>
        <w:widowControl/>
        <w:numPr>
          <w:ilvl w:val="255"/>
          <w:numId w:val="0"/>
        </w:numPr>
        <w:adjustRightInd w:val="0"/>
        <w:snapToGrid w:val="0"/>
        <w:spacing w:line="360" w:lineRule="auto"/>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联系电话：</w:t>
      </w:r>
      <w:r>
        <w:rPr>
          <w:rFonts w:hint="eastAsia" w:ascii="仿宋" w:hAnsi="仿宋" w:eastAsia="仿宋" w:cs="仿宋"/>
          <w:sz w:val="28"/>
          <w:szCs w:val="28"/>
          <w:highlight w:val="none"/>
          <w:u w:val="single"/>
          <w:lang w:val="en-US" w:eastAsia="zh-CN"/>
        </w:rPr>
        <w:t xml:space="preserve">  13545907093 </w:t>
      </w:r>
      <w:r>
        <w:rPr>
          <w:rFonts w:hint="eastAsia" w:ascii="仿宋" w:hAnsi="仿宋" w:eastAsia="仿宋" w:cs="仿宋"/>
          <w:sz w:val="28"/>
          <w:szCs w:val="28"/>
          <w:highlight w:val="none"/>
        </w:rPr>
        <w:t xml:space="preserve">           </w:t>
      </w:r>
      <w:r>
        <w:rPr>
          <w:rFonts w:ascii="仿宋" w:hAnsi="仿宋" w:eastAsia="仿宋" w:cs="仿宋"/>
          <w:sz w:val="28"/>
          <w:szCs w:val="28"/>
          <w:highlight w:val="none"/>
        </w:rPr>
        <w:t xml:space="preserve">             </w:t>
      </w:r>
    </w:p>
    <w:p w14:paraId="0116A985">
      <w:pPr>
        <w:widowControl/>
        <w:numPr>
          <w:ilvl w:val="1"/>
          <w:numId w:val="2"/>
        </w:numPr>
        <w:adjustRightInd w:val="0"/>
        <w:snapToGrid w:val="0"/>
        <w:spacing w:line="360" w:lineRule="auto"/>
        <w:ind w:left="560" w:hanging="560" w:hangingChars="200"/>
        <w:rPr>
          <w:rFonts w:hint="eastAsia" w:ascii="仿宋" w:hAnsi="仿宋" w:eastAsia="仿宋" w:cs="仿宋"/>
          <w:sz w:val="28"/>
          <w:szCs w:val="28"/>
          <w:highlight w:val="none"/>
        </w:rPr>
      </w:pPr>
      <w:r>
        <w:rPr>
          <w:rFonts w:hint="eastAsia" w:ascii="仿宋" w:hAnsi="仿宋" w:eastAsia="仿宋" w:cs="仿宋"/>
          <w:sz w:val="28"/>
          <w:szCs w:val="28"/>
          <w:highlight w:val="none"/>
        </w:rPr>
        <w:t>调试</w:t>
      </w:r>
      <w:r>
        <w:rPr>
          <w:rFonts w:ascii="仿宋" w:hAnsi="仿宋" w:eastAsia="仿宋" w:cs="仿宋"/>
          <w:sz w:val="28"/>
          <w:szCs w:val="28"/>
          <w:highlight w:val="none"/>
        </w:rPr>
        <w:t>时间：</w:t>
      </w:r>
      <w:r>
        <w:rPr>
          <w:rFonts w:hint="eastAsia" w:ascii="仿宋" w:hAnsi="仿宋" w:eastAsia="仿宋" w:cs="仿宋"/>
          <w:sz w:val="28"/>
          <w:szCs w:val="28"/>
          <w:highlight w:val="none"/>
        </w:rPr>
        <w:t>实际</w:t>
      </w:r>
      <w:r>
        <w:rPr>
          <w:rFonts w:ascii="仿宋" w:hAnsi="仿宋" w:eastAsia="仿宋" w:cs="仿宋"/>
          <w:sz w:val="28"/>
          <w:szCs w:val="28"/>
          <w:highlight w:val="none"/>
        </w:rPr>
        <w:t>调试</w:t>
      </w:r>
      <w:r>
        <w:rPr>
          <w:rFonts w:hint="eastAsia" w:ascii="仿宋" w:hAnsi="仿宋" w:eastAsia="仿宋" w:cs="仿宋"/>
          <w:sz w:val="28"/>
          <w:szCs w:val="28"/>
          <w:highlight w:val="none"/>
        </w:rPr>
        <w:t>时间</w:t>
      </w:r>
      <w:r>
        <w:rPr>
          <w:rFonts w:ascii="仿宋" w:hAnsi="仿宋" w:eastAsia="仿宋" w:cs="仿宋"/>
          <w:sz w:val="28"/>
          <w:szCs w:val="28"/>
          <w:highlight w:val="none"/>
        </w:rPr>
        <w:t>以双方</w:t>
      </w:r>
      <w:r>
        <w:rPr>
          <w:rFonts w:hint="eastAsia" w:ascii="仿宋" w:hAnsi="仿宋" w:eastAsia="仿宋" w:cs="仿宋"/>
          <w:sz w:val="28"/>
          <w:szCs w:val="28"/>
          <w:highlight w:val="none"/>
        </w:rPr>
        <w:t>沟通</w:t>
      </w:r>
      <w:r>
        <w:rPr>
          <w:rFonts w:ascii="仿宋" w:hAnsi="仿宋" w:eastAsia="仿宋" w:cs="仿宋"/>
          <w:sz w:val="28"/>
          <w:szCs w:val="28"/>
          <w:highlight w:val="none"/>
        </w:rPr>
        <w:t>确认</w:t>
      </w:r>
      <w:r>
        <w:rPr>
          <w:rFonts w:hint="eastAsia" w:ascii="仿宋" w:hAnsi="仿宋" w:eastAsia="仿宋" w:cs="仿宋"/>
          <w:sz w:val="28"/>
          <w:szCs w:val="28"/>
          <w:highlight w:val="none"/>
        </w:rPr>
        <w:t>的时间</w:t>
      </w:r>
      <w:r>
        <w:rPr>
          <w:rFonts w:ascii="仿宋" w:hAnsi="仿宋" w:eastAsia="仿宋" w:cs="仿宋"/>
          <w:sz w:val="28"/>
          <w:szCs w:val="28"/>
          <w:highlight w:val="none"/>
        </w:rPr>
        <w:t>为准</w:t>
      </w:r>
      <w:r>
        <w:rPr>
          <w:rFonts w:hint="eastAsia" w:ascii="仿宋" w:hAnsi="仿宋" w:eastAsia="仿宋" w:cs="仿宋"/>
          <w:sz w:val="28"/>
          <w:szCs w:val="28"/>
          <w:highlight w:val="none"/>
        </w:rPr>
        <w:t>，</w:t>
      </w:r>
      <w:r>
        <w:rPr>
          <w:rFonts w:ascii="仿宋" w:hAnsi="仿宋" w:eastAsia="仿宋" w:cs="仿宋"/>
          <w:sz w:val="28"/>
          <w:szCs w:val="28"/>
          <w:highlight w:val="none"/>
        </w:rPr>
        <w:t>双方无法达成协议的，</w:t>
      </w:r>
      <w:r>
        <w:rPr>
          <w:rFonts w:hint="eastAsia" w:ascii="仿宋" w:hAnsi="仿宋" w:eastAsia="仿宋" w:cs="仿宋"/>
          <w:sz w:val="28"/>
          <w:szCs w:val="28"/>
          <w:highlight w:val="none"/>
        </w:rPr>
        <w:t>按</w:t>
      </w:r>
      <w:r>
        <w:rPr>
          <w:rFonts w:ascii="仿宋" w:hAnsi="仿宋" w:eastAsia="仿宋" w:cs="仿宋"/>
          <w:sz w:val="28"/>
          <w:szCs w:val="28"/>
          <w:highlight w:val="none"/>
        </w:rPr>
        <w:t>本合同</w:t>
      </w:r>
      <w:r>
        <w:rPr>
          <w:rFonts w:hint="eastAsia" w:ascii="仿宋" w:hAnsi="仿宋" w:eastAsia="仿宋" w:cs="仿宋"/>
          <w:sz w:val="28"/>
          <w:szCs w:val="28"/>
          <w:highlight w:val="none"/>
        </w:rPr>
        <w:t>相关</w:t>
      </w:r>
      <w:r>
        <w:rPr>
          <w:rFonts w:ascii="仿宋" w:hAnsi="仿宋" w:eastAsia="仿宋" w:cs="仿宋"/>
          <w:sz w:val="28"/>
          <w:szCs w:val="28"/>
          <w:highlight w:val="none"/>
        </w:rPr>
        <w:t>约定执行</w:t>
      </w:r>
      <w:r>
        <w:rPr>
          <w:rFonts w:hint="eastAsia" w:ascii="仿宋" w:hAnsi="仿宋" w:eastAsia="仿宋" w:cs="仿宋"/>
          <w:sz w:val="28"/>
          <w:szCs w:val="28"/>
          <w:highlight w:val="none"/>
        </w:rPr>
        <w:t>。</w:t>
      </w:r>
    </w:p>
    <w:p w14:paraId="5FB68D0B">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三、验收标准、方法</w:t>
      </w:r>
    </w:p>
    <w:p w14:paraId="6F63C4DA">
      <w:pPr>
        <w:pStyle w:val="22"/>
        <w:widowControl/>
        <w:numPr>
          <w:ilvl w:val="0"/>
          <w:numId w:val="3"/>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到货验收</w:t>
      </w:r>
      <w:r>
        <w:rPr>
          <w:rFonts w:ascii="仿宋" w:hAnsi="仿宋" w:eastAsia="仿宋" w:cs="仿宋"/>
          <w:sz w:val="28"/>
          <w:szCs w:val="28"/>
          <w:highlight w:val="none"/>
        </w:rPr>
        <w:t>：</w:t>
      </w:r>
      <w:r>
        <w:rPr>
          <w:rFonts w:hint="eastAsia" w:ascii="仿宋" w:hAnsi="仿宋" w:eastAsia="仿宋" w:cs="仿宋"/>
          <w:sz w:val="28"/>
          <w:szCs w:val="28"/>
          <w:highlight w:val="none"/>
        </w:rPr>
        <w:t>自乙方将产品运送至合同约定产品交付地点之日起，甲方到货验收责任人应在3日内清点到货产品数量、确认外观无损坏后完成到货验收。验收合格的，双方填写设备到货验收单。如甲方在本合同产品运送至合同约定产品交付地点后超过3日未进行到货验收或不填写验收单的，视为到货</w:t>
      </w:r>
      <w:r>
        <w:rPr>
          <w:rFonts w:ascii="仿宋" w:hAnsi="仿宋" w:eastAsia="仿宋" w:cs="仿宋"/>
          <w:sz w:val="28"/>
          <w:szCs w:val="28"/>
          <w:highlight w:val="none"/>
        </w:rPr>
        <w:t>验收合格</w:t>
      </w:r>
      <w:r>
        <w:rPr>
          <w:rFonts w:hint="eastAsia" w:ascii="仿宋" w:hAnsi="仿宋" w:eastAsia="仿宋" w:cs="仿宋"/>
          <w:sz w:val="28"/>
          <w:szCs w:val="28"/>
          <w:highlight w:val="none"/>
        </w:rPr>
        <w:t>。</w:t>
      </w:r>
    </w:p>
    <w:p w14:paraId="5C609964">
      <w:pPr>
        <w:pStyle w:val="22"/>
        <w:widowControl/>
        <w:numPr>
          <w:ilvl w:val="0"/>
          <w:numId w:val="3"/>
        </w:numPr>
        <w:adjustRightInd w:val="0"/>
        <w:snapToGrid w:val="0"/>
        <w:spacing w:line="360" w:lineRule="auto"/>
        <w:ind w:firstLineChars="0"/>
        <w:rPr>
          <w:rFonts w:hint="eastAsia" w:ascii="仿宋" w:hAnsi="仿宋" w:eastAsia="仿宋" w:cs="仿宋"/>
          <w:sz w:val="28"/>
          <w:szCs w:val="28"/>
          <w:highlight w:val="none"/>
        </w:rPr>
      </w:pPr>
      <w:r>
        <w:rPr>
          <w:rFonts w:ascii="仿宋" w:hAnsi="仿宋" w:eastAsia="仿宋" w:cs="仿宋"/>
          <w:sz w:val="28"/>
          <w:szCs w:val="28"/>
          <w:highlight w:val="none"/>
        </w:rPr>
        <w:t>调试</w:t>
      </w:r>
      <w:r>
        <w:rPr>
          <w:rFonts w:hint="eastAsia" w:ascii="仿宋" w:hAnsi="仿宋" w:eastAsia="仿宋" w:cs="仿宋"/>
          <w:sz w:val="28"/>
          <w:szCs w:val="28"/>
          <w:highlight w:val="none"/>
        </w:rPr>
        <w:t>验收</w:t>
      </w:r>
      <w:r>
        <w:rPr>
          <w:rFonts w:ascii="仿宋" w:hAnsi="仿宋" w:eastAsia="仿宋" w:cs="仿宋"/>
          <w:sz w:val="28"/>
          <w:szCs w:val="28"/>
          <w:highlight w:val="none"/>
        </w:rPr>
        <w:t>：</w:t>
      </w:r>
    </w:p>
    <w:p w14:paraId="0CAFA0B3">
      <w:pPr>
        <w:pStyle w:val="22"/>
        <w:widowControl/>
        <w:numPr>
          <w:ilvl w:val="1"/>
          <w:numId w:val="4"/>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到货验收合格后，甲方需负责铺设设备所需电缆线材，相关辅材（如PVC管、管箍等）</w:t>
      </w:r>
      <w:r>
        <w:rPr>
          <w:rFonts w:hint="eastAsia" w:ascii="仿宋" w:hAnsi="仿宋" w:eastAsia="仿宋" w:cs="仿宋"/>
          <w:sz w:val="28"/>
          <w:szCs w:val="28"/>
          <w:highlight w:val="none"/>
          <w:lang w:val="en-US" w:eastAsia="zh-CN"/>
        </w:rPr>
        <w:t>及安装</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甲方安装完成后通知乙方</w:t>
      </w:r>
      <w:r>
        <w:rPr>
          <w:rFonts w:hint="eastAsia" w:ascii="仿宋" w:hAnsi="仿宋" w:eastAsia="仿宋" w:cs="仿宋"/>
          <w:sz w:val="28"/>
          <w:szCs w:val="28"/>
          <w:highlight w:val="none"/>
        </w:rPr>
        <w:t>进行调试，设备试运行3日未发生质量问题，则视为调试合格通过，双方应填写设备调试合格验收单并加盖公章。</w:t>
      </w:r>
    </w:p>
    <w:p w14:paraId="798F9F76">
      <w:pPr>
        <w:pStyle w:val="22"/>
        <w:widowControl/>
        <w:numPr>
          <w:ilvl w:val="1"/>
          <w:numId w:val="4"/>
        </w:numPr>
        <w:adjustRightInd w:val="0"/>
        <w:snapToGrid w:val="0"/>
        <w:spacing w:line="360" w:lineRule="auto"/>
        <w:ind w:firstLineChars="0"/>
        <w:rPr>
          <w:rFonts w:hint="eastAsia" w:ascii="仿宋" w:hAnsi="仿宋" w:eastAsia="仿宋" w:cs="仿宋"/>
          <w:sz w:val="28"/>
          <w:szCs w:val="28"/>
          <w:highlight w:val="none"/>
        </w:rPr>
      </w:pPr>
      <w:bookmarkStart w:id="2" w:name="OLE_LINK13"/>
      <w:r>
        <w:rPr>
          <w:rFonts w:hint="eastAsia" w:ascii="仿宋" w:hAnsi="仿宋" w:eastAsia="仿宋" w:cs="仿宋"/>
          <w:sz w:val="28"/>
          <w:szCs w:val="28"/>
          <w:highlight w:val="none"/>
        </w:rPr>
        <w:t>如甲方在本合同产品运送至合同约定产品交付地点后超过</w:t>
      </w:r>
      <w:r>
        <w:rPr>
          <w:rFonts w:ascii="仿宋" w:hAnsi="仿宋" w:eastAsia="仿宋" w:cs="仿宋"/>
          <w:sz w:val="28"/>
          <w:szCs w:val="28"/>
          <w:highlight w:val="none"/>
        </w:rPr>
        <w:t>30</w:t>
      </w:r>
      <w:bookmarkEnd w:id="2"/>
      <w:r>
        <w:rPr>
          <w:rFonts w:hint="eastAsia" w:ascii="仿宋" w:hAnsi="仿宋" w:eastAsia="仿宋" w:cs="仿宋"/>
          <w:sz w:val="28"/>
          <w:szCs w:val="28"/>
          <w:highlight w:val="none"/>
        </w:rPr>
        <w:t>日</w:t>
      </w:r>
      <w:r>
        <w:rPr>
          <w:rFonts w:ascii="仿宋" w:hAnsi="仿宋" w:eastAsia="仿宋" w:cs="仿宋"/>
          <w:sz w:val="28"/>
          <w:szCs w:val="28"/>
          <w:highlight w:val="none"/>
        </w:rPr>
        <w:t>仍</w:t>
      </w:r>
      <w:r>
        <w:rPr>
          <w:rFonts w:hint="eastAsia" w:ascii="仿宋" w:hAnsi="仿宋" w:eastAsia="仿宋" w:cs="仿宋"/>
          <w:sz w:val="28"/>
          <w:szCs w:val="28"/>
          <w:highlight w:val="none"/>
        </w:rPr>
        <w:t>未通知乙方</w:t>
      </w:r>
      <w:r>
        <w:rPr>
          <w:rFonts w:hint="eastAsia" w:ascii="仿宋" w:hAnsi="仿宋" w:eastAsia="仿宋" w:cs="仿宋"/>
          <w:sz w:val="28"/>
          <w:szCs w:val="28"/>
          <w:highlight w:val="none"/>
          <w:lang w:val="en-US" w:eastAsia="zh-CN"/>
        </w:rPr>
        <w:t>调试</w:t>
      </w:r>
      <w:r>
        <w:rPr>
          <w:rFonts w:ascii="仿宋" w:hAnsi="仿宋" w:eastAsia="仿宋" w:cs="仿宋"/>
          <w:sz w:val="28"/>
          <w:szCs w:val="28"/>
          <w:highlight w:val="none"/>
        </w:rPr>
        <w:t>，</w:t>
      </w:r>
      <w:r>
        <w:rPr>
          <w:rFonts w:hint="eastAsia" w:ascii="仿宋" w:hAnsi="仿宋" w:eastAsia="仿宋" w:cs="仿宋"/>
          <w:sz w:val="28"/>
          <w:szCs w:val="28"/>
          <w:highlight w:val="none"/>
        </w:rPr>
        <w:t>自第31日起视为产品已经完成调试并通过了调试验收</w:t>
      </w:r>
      <w:r>
        <w:rPr>
          <w:rFonts w:ascii="仿宋" w:hAnsi="仿宋" w:eastAsia="仿宋" w:cs="仿宋"/>
          <w:sz w:val="28"/>
          <w:szCs w:val="28"/>
          <w:highlight w:val="none"/>
        </w:rPr>
        <w:t>。</w:t>
      </w:r>
    </w:p>
    <w:p w14:paraId="367A0677">
      <w:pPr>
        <w:pStyle w:val="22"/>
        <w:widowControl/>
        <w:numPr>
          <w:ilvl w:val="1"/>
          <w:numId w:val="4"/>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如甲方收到乙方书面通知产品调试完成后</w:t>
      </w:r>
      <w:r>
        <w:rPr>
          <w:rFonts w:ascii="仿宋" w:hAnsi="仿宋" w:eastAsia="仿宋" w:cs="仿宋"/>
          <w:sz w:val="28"/>
          <w:szCs w:val="28"/>
          <w:highlight w:val="none"/>
        </w:rPr>
        <w:t xml:space="preserve"> 3 </w:t>
      </w:r>
      <w:r>
        <w:rPr>
          <w:rFonts w:hint="eastAsia" w:ascii="仿宋" w:hAnsi="仿宋" w:eastAsia="仿宋" w:cs="仿宋"/>
          <w:sz w:val="28"/>
          <w:szCs w:val="28"/>
          <w:highlight w:val="none"/>
        </w:rPr>
        <w:t>日内未组织人员进行调试验收或不签署调试合格验收单的，视为设备调试验收合格。</w:t>
      </w:r>
    </w:p>
    <w:p w14:paraId="4D3F8197">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 xml:space="preserve">3.3 </w:t>
      </w:r>
      <w:r>
        <w:rPr>
          <w:rFonts w:hint="eastAsia" w:ascii="仿宋" w:hAnsi="仿宋" w:eastAsia="仿宋" w:cs="仿宋"/>
          <w:sz w:val="28"/>
          <w:szCs w:val="28"/>
          <w:highlight w:val="none"/>
        </w:rPr>
        <w:t>验收</w:t>
      </w:r>
      <w:r>
        <w:rPr>
          <w:rFonts w:ascii="仿宋" w:hAnsi="仿宋" w:eastAsia="仿宋" w:cs="仿宋"/>
          <w:sz w:val="28"/>
          <w:szCs w:val="28"/>
          <w:highlight w:val="none"/>
        </w:rPr>
        <w:t>标准：</w:t>
      </w:r>
      <w:r>
        <w:rPr>
          <w:rFonts w:hint="eastAsia" w:ascii="仿宋" w:hAnsi="仿宋" w:eastAsia="仿宋" w:cs="仿宋"/>
          <w:sz w:val="28"/>
          <w:szCs w:val="28"/>
          <w:highlight w:val="none"/>
        </w:rPr>
        <w:t>以双方</w:t>
      </w:r>
      <w:r>
        <w:rPr>
          <w:rFonts w:ascii="仿宋" w:hAnsi="仿宋" w:eastAsia="仿宋" w:cs="仿宋"/>
          <w:sz w:val="28"/>
          <w:szCs w:val="28"/>
          <w:highlight w:val="none"/>
        </w:rPr>
        <w:t>签署的</w:t>
      </w:r>
      <w:r>
        <w:rPr>
          <w:rFonts w:hint="eastAsia" w:ascii="仿宋" w:hAnsi="仿宋" w:eastAsia="仿宋" w:cs="仿宋"/>
          <w:sz w:val="28"/>
          <w:szCs w:val="28"/>
          <w:highlight w:val="none"/>
        </w:rPr>
        <w:t>技术文件（包括但不限于技术</w:t>
      </w:r>
      <w:r>
        <w:rPr>
          <w:rFonts w:ascii="仿宋" w:hAnsi="仿宋" w:eastAsia="仿宋" w:cs="仿宋"/>
          <w:sz w:val="28"/>
          <w:szCs w:val="28"/>
          <w:highlight w:val="none"/>
        </w:rPr>
        <w:t>协议、</w:t>
      </w:r>
      <w:r>
        <w:rPr>
          <w:rFonts w:hint="eastAsia" w:ascii="仿宋" w:hAnsi="仿宋" w:eastAsia="仿宋" w:cs="仿宋"/>
          <w:sz w:val="28"/>
          <w:szCs w:val="28"/>
          <w:highlight w:val="none"/>
        </w:rPr>
        <w:t>图纸、产品</w:t>
      </w:r>
      <w:r>
        <w:rPr>
          <w:rFonts w:ascii="仿宋" w:hAnsi="仿宋" w:eastAsia="仿宋" w:cs="仿宋"/>
          <w:sz w:val="28"/>
          <w:szCs w:val="28"/>
          <w:highlight w:val="none"/>
        </w:rPr>
        <w:t>技术</w:t>
      </w:r>
      <w:r>
        <w:rPr>
          <w:rFonts w:hint="eastAsia" w:ascii="仿宋" w:hAnsi="仿宋" w:eastAsia="仿宋" w:cs="仿宋"/>
          <w:sz w:val="28"/>
          <w:szCs w:val="28"/>
          <w:highlight w:val="none"/>
        </w:rPr>
        <w:t>规格书、检验规范等）为准。</w:t>
      </w:r>
    </w:p>
    <w:p w14:paraId="4CB2F575">
      <w:pPr>
        <w:widowControl/>
        <w:adjustRightInd w:val="0"/>
        <w:snapToGrid w:val="0"/>
        <w:spacing w:line="360" w:lineRule="auto"/>
        <w:outlineLvl w:val="0"/>
        <w:rPr>
          <w:rFonts w:hint="eastAsia" w:ascii="仿宋" w:hAnsi="仿宋" w:eastAsia="仿宋" w:cs="仿宋"/>
          <w:sz w:val="28"/>
          <w:szCs w:val="28"/>
          <w:highlight w:val="none"/>
        </w:rPr>
      </w:pPr>
      <w:r>
        <w:rPr>
          <w:rFonts w:hint="eastAsia" w:ascii="仿宋" w:hAnsi="仿宋" w:eastAsia="仿宋" w:cs="仿宋"/>
          <w:b/>
          <w:sz w:val="28"/>
          <w:szCs w:val="28"/>
          <w:highlight w:val="none"/>
        </w:rPr>
        <w:t>四、付款方式</w:t>
      </w:r>
    </w:p>
    <w:p w14:paraId="09F638F8">
      <w:pPr>
        <w:pStyle w:val="22"/>
        <w:widowControl/>
        <w:numPr>
          <w:ilvl w:val="0"/>
          <w:numId w:val="5"/>
        </w:numPr>
        <w:adjustRightInd w:val="0"/>
        <w:snapToGrid w:val="0"/>
        <w:spacing w:line="360" w:lineRule="auto"/>
        <w:ind w:firstLineChars="0"/>
        <w:rPr>
          <w:rFonts w:hint="eastAsia" w:ascii="仿宋" w:hAnsi="仿宋" w:eastAsia="仿宋" w:cs="仿宋"/>
          <w:sz w:val="28"/>
          <w:szCs w:val="28"/>
          <w:highlight w:val="none"/>
        </w:rPr>
      </w:pPr>
      <w:bookmarkStart w:id="3" w:name="OLE_LINK3"/>
      <w:bookmarkStart w:id="4" w:name="OLE_LINK11"/>
      <w:r>
        <w:rPr>
          <w:rFonts w:hint="eastAsia" w:ascii="仿宋" w:hAnsi="仿宋" w:eastAsia="仿宋" w:cs="仿宋"/>
          <w:sz w:val="28"/>
          <w:szCs w:val="28"/>
          <w:highlight w:val="none"/>
        </w:rPr>
        <w:t>甲方应于本合同签署后</w:t>
      </w:r>
      <w:r>
        <w:rPr>
          <w:rFonts w:hint="eastAsia" w:ascii="仿宋" w:hAnsi="仿宋" w:eastAsia="仿宋" w:cs="仿宋"/>
          <w:sz w:val="28"/>
          <w:szCs w:val="28"/>
          <w:highlight w:val="none"/>
          <w:lang w:val="en-US" w:eastAsia="zh-CN"/>
        </w:rPr>
        <w:t>5</w:t>
      </w:r>
      <w:bookmarkEnd w:id="3"/>
      <w:r>
        <w:rPr>
          <w:rFonts w:hint="eastAsia" w:ascii="仿宋" w:hAnsi="仿宋" w:eastAsia="仿宋" w:cs="仿宋"/>
          <w:sz w:val="28"/>
          <w:szCs w:val="28"/>
          <w:highlight w:val="none"/>
          <w:lang w:val="en-US" w:eastAsia="zh-CN"/>
        </w:rPr>
        <w:t>个工作日内</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以</w:t>
      </w:r>
      <w:r>
        <w:rPr>
          <w:rFonts w:hint="eastAsia" w:ascii="仿宋" w:hAnsi="仿宋" w:eastAsia="仿宋" w:cs="仿宋"/>
          <w:sz w:val="28"/>
          <w:szCs w:val="28"/>
          <w:highlight w:val="none"/>
        </w:rPr>
        <w:t xml:space="preserve">银行转账形式支付 30%预付款，乙方在收到预付款后安排出货，所有产品到达甲方指定地点并由甲方点货无误后，甲方在 </w:t>
      </w:r>
      <w:r>
        <w:rPr>
          <w:rFonts w:hint="eastAsia" w:ascii="仿宋" w:hAnsi="仿宋" w:eastAsia="仿宋" w:cs="仿宋"/>
          <w:sz w:val="28"/>
          <w:szCs w:val="28"/>
          <w:highlight w:val="none"/>
          <w:lang w:val="en-US" w:eastAsia="zh-CN"/>
        </w:rPr>
        <w:t>3</w:t>
      </w:r>
      <w:r>
        <w:rPr>
          <w:rFonts w:hint="eastAsia" w:ascii="仿宋" w:hAnsi="仿宋" w:eastAsia="仿宋" w:cs="仿宋"/>
          <w:sz w:val="28"/>
          <w:szCs w:val="28"/>
          <w:highlight w:val="none"/>
        </w:rPr>
        <w:t>个工作日内，支付合同总价款 40%，设备安装、调试运行并验收合格后，甲方在10个工作日内结清尾款，甲方支付每笔货款前，乙方需开具等额增值税专用发票给甲方。</w:t>
      </w:r>
      <w:r>
        <w:rPr>
          <w:rFonts w:hint="eastAsia" w:ascii="仿宋" w:hAnsi="仿宋" w:eastAsia="仿宋" w:cs="仿宋"/>
          <w:sz w:val="28"/>
          <w:szCs w:val="28"/>
          <w:highlight w:val="none"/>
          <w:lang w:val="en-US" w:eastAsia="zh-CN"/>
        </w:rPr>
        <w:t>甲方逾期付款导致发货延期后期连带责任归于甲方</w:t>
      </w:r>
      <w:r>
        <w:rPr>
          <w:rFonts w:hint="eastAsia" w:ascii="仿宋" w:hAnsi="仿宋" w:eastAsia="仿宋" w:cs="仿宋"/>
          <w:sz w:val="28"/>
          <w:szCs w:val="28"/>
          <w:highlight w:val="none"/>
        </w:rPr>
        <w:t>。</w:t>
      </w:r>
    </w:p>
    <w:bookmarkEnd w:id="4"/>
    <w:p w14:paraId="18A99442">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五、质保期及质量保证</w:t>
      </w:r>
    </w:p>
    <w:p w14:paraId="0DE54674">
      <w:pPr>
        <w:pStyle w:val="22"/>
        <w:widowControl/>
        <w:numPr>
          <w:ilvl w:val="0"/>
          <w:numId w:val="6"/>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乙方</w:t>
      </w:r>
      <w:r>
        <w:rPr>
          <w:rFonts w:ascii="仿宋" w:hAnsi="仿宋" w:eastAsia="仿宋" w:cs="仿宋"/>
          <w:sz w:val="28"/>
          <w:szCs w:val="28"/>
          <w:highlight w:val="none"/>
        </w:rPr>
        <w:t>保证</w:t>
      </w:r>
      <w:r>
        <w:rPr>
          <w:rFonts w:hint="eastAsia" w:ascii="仿宋" w:hAnsi="仿宋" w:eastAsia="仿宋" w:cs="仿宋"/>
          <w:sz w:val="28"/>
          <w:szCs w:val="28"/>
          <w:highlight w:val="none"/>
        </w:rPr>
        <w:t>提供的产品应符合国家行业标准或产品企业标准，同时满足经双方确认的技术文件（包括但不限于技术</w:t>
      </w:r>
      <w:r>
        <w:rPr>
          <w:rFonts w:ascii="仿宋" w:hAnsi="仿宋" w:eastAsia="仿宋" w:cs="仿宋"/>
          <w:sz w:val="28"/>
          <w:szCs w:val="28"/>
          <w:highlight w:val="none"/>
        </w:rPr>
        <w:t>协议、</w:t>
      </w:r>
      <w:r>
        <w:rPr>
          <w:rFonts w:hint="eastAsia" w:ascii="仿宋" w:hAnsi="仿宋" w:eastAsia="仿宋" w:cs="仿宋"/>
          <w:sz w:val="28"/>
          <w:szCs w:val="28"/>
          <w:highlight w:val="none"/>
        </w:rPr>
        <w:t>图纸、产品</w:t>
      </w:r>
      <w:r>
        <w:rPr>
          <w:rFonts w:ascii="仿宋" w:hAnsi="仿宋" w:eastAsia="仿宋" w:cs="仿宋"/>
          <w:sz w:val="28"/>
          <w:szCs w:val="28"/>
          <w:highlight w:val="none"/>
        </w:rPr>
        <w:t>技术</w:t>
      </w:r>
      <w:r>
        <w:rPr>
          <w:rFonts w:hint="eastAsia" w:ascii="仿宋" w:hAnsi="仿宋" w:eastAsia="仿宋" w:cs="仿宋"/>
          <w:sz w:val="28"/>
          <w:szCs w:val="28"/>
          <w:highlight w:val="none"/>
        </w:rPr>
        <w:t>规格书、检验规范等）的要求。</w:t>
      </w:r>
    </w:p>
    <w:p w14:paraId="6D44DD36">
      <w:pPr>
        <w:pStyle w:val="22"/>
        <w:widowControl/>
        <w:numPr>
          <w:ilvl w:val="0"/>
          <w:numId w:val="6"/>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质量保证期：在本合同产品无滥用，且在正常环境中进行使用和维护的条件下，产品质保期为</w:t>
      </w:r>
      <w:r>
        <w:rPr>
          <w:rFonts w:hint="eastAsia" w:ascii="仿宋" w:hAnsi="仿宋" w:eastAsia="仿宋" w:cs="仿宋"/>
          <w:sz w:val="28"/>
          <w:szCs w:val="28"/>
          <w:highlight w:val="none"/>
          <w:u w:val="single"/>
          <w:lang w:val="en-US" w:eastAsia="zh-CN"/>
        </w:rPr>
        <w:t>3年</w:t>
      </w:r>
      <w:r>
        <w:rPr>
          <w:rFonts w:hint="eastAsia" w:ascii="仿宋" w:hAnsi="仿宋" w:eastAsia="仿宋" w:cs="仿宋"/>
          <w:sz w:val="28"/>
          <w:szCs w:val="28"/>
          <w:highlight w:val="none"/>
          <w:u w:val="none"/>
          <w:lang w:val="en-US" w:eastAsia="zh-CN"/>
        </w:rPr>
        <w:t>；</w:t>
      </w:r>
      <w:r>
        <w:rPr>
          <w:rFonts w:hint="eastAsia" w:ascii="仿宋" w:hAnsi="仿宋" w:eastAsia="仿宋" w:cs="仿宋"/>
          <w:sz w:val="28"/>
          <w:szCs w:val="28"/>
          <w:highlight w:val="none"/>
        </w:rPr>
        <w:t>自乙方向甲方交付产品之日起算。质保期内若因乙方产品自身原因出现质量问题，乙方免费进行维修。质保期满后，若</w:t>
      </w:r>
      <w:r>
        <w:rPr>
          <w:rFonts w:ascii="仿宋" w:hAnsi="仿宋" w:eastAsia="仿宋" w:cs="仿宋"/>
          <w:sz w:val="28"/>
          <w:szCs w:val="28"/>
          <w:highlight w:val="none"/>
        </w:rPr>
        <w:t>甲方</w:t>
      </w:r>
      <w:r>
        <w:rPr>
          <w:rFonts w:hint="eastAsia" w:ascii="仿宋" w:hAnsi="仿宋" w:eastAsia="仿宋" w:cs="仿宋"/>
          <w:sz w:val="28"/>
          <w:szCs w:val="28"/>
          <w:highlight w:val="none"/>
        </w:rPr>
        <w:t>对本合同产品提出</w:t>
      </w:r>
      <w:r>
        <w:rPr>
          <w:rFonts w:ascii="仿宋" w:hAnsi="仿宋" w:eastAsia="仿宋" w:cs="仿宋"/>
          <w:sz w:val="28"/>
          <w:szCs w:val="28"/>
          <w:highlight w:val="none"/>
        </w:rPr>
        <w:t>维护、维修要求的，</w:t>
      </w:r>
      <w:r>
        <w:rPr>
          <w:rFonts w:hint="eastAsia" w:ascii="仿宋" w:hAnsi="仿宋" w:eastAsia="仿宋" w:cs="仿宋"/>
          <w:sz w:val="28"/>
          <w:szCs w:val="28"/>
          <w:highlight w:val="none"/>
        </w:rPr>
        <w:t>甲方</w:t>
      </w:r>
      <w:r>
        <w:rPr>
          <w:rFonts w:ascii="仿宋" w:hAnsi="仿宋" w:eastAsia="仿宋" w:cs="仿宋"/>
          <w:sz w:val="28"/>
          <w:szCs w:val="28"/>
          <w:highlight w:val="none"/>
        </w:rPr>
        <w:t>应支付合理费用</w:t>
      </w:r>
      <w:r>
        <w:rPr>
          <w:rFonts w:hint="eastAsia" w:ascii="仿宋" w:hAnsi="仿宋" w:eastAsia="仿宋" w:cs="仿宋"/>
          <w:sz w:val="28"/>
          <w:szCs w:val="28"/>
          <w:highlight w:val="none"/>
        </w:rPr>
        <w:t>，</w:t>
      </w:r>
      <w:r>
        <w:rPr>
          <w:rFonts w:ascii="仿宋" w:hAnsi="仿宋" w:eastAsia="仿宋" w:cs="仿宋"/>
          <w:sz w:val="28"/>
          <w:szCs w:val="28"/>
          <w:highlight w:val="none"/>
        </w:rPr>
        <w:t>具体费用以双方签订的售后服务协议为准。</w:t>
      </w:r>
    </w:p>
    <w:p w14:paraId="2A2DFED8">
      <w:pPr>
        <w:pStyle w:val="22"/>
        <w:widowControl/>
        <w:numPr>
          <w:ilvl w:val="0"/>
          <w:numId w:val="6"/>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本合同</w:t>
      </w:r>
      <w:r>
        <w:rPr>
          <w:rFonts w:ascii="仿宋" w:hAnsi="仿宋" w:eastAsia="仿宋" w:cs="仿宋"/>
          <w:sz w:val="28"/>
          <w:szCs w:val="28"/>
          <w:highlight w:val="none"/>
        </w:rPr>
        <w:t>质保</w:t>
      </w:r>
      <w:r>
        <w:rPr>
          <w:rFonts w:hint="eastAsia" w:ascii="仿宋" w:hAnsi="仿宋" w:eastAsia="仿宋" w:cs="仿宋"/>
          <w:sz w:val="28"/>
          <w:szCs w:val="28"/>
          <w:highlight w:val="none"/>
        </w:rPr>
        <w:t>条款仅适用于未签订质量协议的产品，如有签订质量协议，则产品的质量保证相关事项以双方签订的质量协议为准。</w:t>
      </w:r>
    </w:p>
    <w:p w14:paraId="0DFB4ED8">
      <w:pPr>
        <w:pStyle w:val="22"/>
        <w:widowControl/>
        <w:numPr>
          <w:ilvl w:val="0"/>
          <w:numId w:val="6"/>
        </w:numPr>
        <w:adjustRightInd w:val="0"/>
        <w:snapToGrid w:val="0"/>
        <w:spacing w:line="360" w:lineRule="auto"/>
        <w:ind w:firstLineChars="0"/>
        <w:rPr>
          <w:rFonts w:hint="eastAsia" w:ascii="仿宋" w:hAnsi="仿宋" w:eastAsia="仿宋" w:cs="仿宋"/>
          <w:sz w:val="28"/>
          <w:szCs w:val="28"/>
          <w:highlight w:val="none"/>
        </w:rPr>
      </w:pPr>
      <w:r>
        <w:rPr>
          <w:rFonts w:hint="eastAsia" w:ascii="仿宋" w:hAnsi="仿宋" w:eastAsia="仿宋" w:cs="仿宋"/>
          <w:sz w:val="28"/>
          <w:szCs w:val="28"/>
          <w:highlight w:val="none"/>
        </w:rPr>
        <w:t>有下列情形之一者，不属于质保范围，但可实行有偿维修：</w:t>
      </w:r>
    </w:p>
    <w:p w14:paraId="7B7DA502">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 xml:space="preserve">5.4.1 </w:t>
      </w:r>
      <w:r>
        <w:rPr>
          <w:rFonts w:hint="eastAsia" w:ascii="仿宋" w:hAnsi="仿宋" w:eastAsia="仿宋" w:cs="仿宋"/>
          <w:sz w:val="28"/>
          <w:szCs w:val="28"/>
          <w:highlight w:val="none"/>
        </w:rPr>
        <w:t>超出质保期限的；</w:t>
      </w:r>
    </w:p>
    <w:p w14:paraId="0CE5EE49">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5.4.</w:t>
      </w:r>
      <w:r>
        <w:rPr>
          <w:rFonts w:hint="eastAsia" w:ascii="仿宋" w:hAnsi="仿宋" w:eastAsia="仿宋" w:cs="仿宋"/>
          <w:sz w:val="28"/>
          <w:szCs w:val="28"/>
          <w:highlight w:val="none"/>
          <w:lang w:val="en-US" w:eastAsia="zh-CN"/>
        </w:rPr>
        <w:t>2</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甲方未按产品说明书要求及产品性质进行的错误安装、保管及使用造成的故障或损坏；</w:t>
      </w:r>
    </w:p>
    <w:p w14:paraId="0CC5F4A9">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5.4.</w:t>
      </w:r>
      <w:r>
        <w:rPr>
          <w:rFonts w:hint="eastAsia" w:ascii="仿宋" w:hAnsi="仿宋" w:eastAsia="仿宋" w:cs="仿宋"/>
          <w:sz w:val="28"/>
          <w:szCs w:val="28"/>
          <w:highlight w:val="none"/>
          <w:lang w:val="en-US" w:eastAsia="zh-CN"/>
        </w:rPr>
        <w:t>3</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因自然灾害，如雷击、地震、水灾、火灾等造成的产品故障或损坏；</w:t>
      </w:r>
    </w:p>
    <w:p w14:paraId="31CF230F">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5.4.</w:t>
      </w:r>
      <w:r>
        <w:rPr>
          <w:rFonts w:hint="eastAsia" w:ascii="仿宋" w:hAnsi="仿宋" w:eastAsia="仿宋" w:cs="仿宋"/>
          <w:sz w:val="28"/>
          <w:szCs w:val="28"/>
          <w:highlight w:val="none"/>
          <w:lang w:val="en-US" w:eastAsia="zh-CN"/>
        </w:rPr>
        <w:t>4</w:t>
      </w:r>
      <w:r>
        <w:rPr>
          <w:rFonts w:ascii="仿宋" w:hAnsi="仿宋" w:eastAsia="仿宋" w:cs="仿宋"/>
          <w:sz w:val="28"/>
          <w:szCs w:val="28"/>
          <w:highlight w:val="none"/>
        </w:rPr>
        <w:t xml:space="preserve"> </w:t>
      </w:r>
      <w:r>
        <w:rPr>
          <w:rFonts w:hint="eastAsia" w:ascii="仿宋" w:hAnsi="仿宋" w:eastAsia="仿宋" w:cs="仿宋"/>
          <w:sz w:val="28"/>
          <w:szCs w:val="28"/>
          <w:highlight w:val="none"/>
        </w:rPr>
        <w:t>其他非因产品设计、技术、制造、材质等原因而导致的产品故障或损坏。</w:t>
      </w:r>
    </w:p>
    <w:p w14:paraId="7EB8BDE8">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5.5本产品仅适用于国内销售。本产品的质保等相关责任仅限于中华人民共和国</w:t>
      </w:r>
      <w:r>
        <w:rPr>
          <w:rFonts w:hint="eastAsia" w:ascii="仿宋" w:hAnsi="仿宋" w:eastAsia="仿宋" w:cs="仿宋"/>
          <w:sz w:val="28"/>
          <w:szCs w:val="28"/>
          <w:highlight w:val="none"/>
        </w:rPr>
        <w:t>大陆地区</w:t>
      </w:r>
      <w:r>
        <w:rPr>
          <w:rFonts w:ascii="仿宋" w:hAnsi="仿宋" w:eastAsia="仿宋" w:cs="仿宋"/>
          <w:sz w:val="28"/>
          <w:szCs w:val="28"/>
          <w:highlight w:val="none"/>
        </w:rPr>
        <w:t>（不包含</w:t>
      </w:r>
      <w:r>
        <w:rPr>
          <w:rFonts w:hint="eastAsia" w:ascii="仿宋" w:hAnsi="仿宋" w:eastAsia="仿宋" w:cs="仿宋"/>
          <w:sz w:val="28"/>
          <w:szCs w:val="28"/>
          <w:highlight w:val="none"/>
        </w:rPr>
        <w:t>中国</w:t>
      </w:r>
      <w:r>
        <w:rPr>
          <w:rFonts w:ascii="仿宋" w:hAnsi="仿宋" w:eastAsia="仿宋" w:cs="仿宋"/>
          <w:sz w:val="28"/>
          <w:szCs w:val="28"/>
          <w:highlight w:val="none"/>
        </w:rPr>
        <w:t>香港、</w:t>
      </w:r>
      <w:r>
        <w:rPr>
          <w:rFonts w:hint="eastAsia" w:ascii="仿宋" w:hAnsi="仿宋" w:eastAsia="仿宋" w:cs="仿宋"/>
          <w:sz w:val="28"/>
          <w:szCs w:val="28"/>
          <w:highlight w:val="none"/>
        </w:rPr>
        <w:t>中国</w:t>
      </w:r>
      <w:r>
        <w:rPr>
          <w:rFonts w:ascii="仿宋" w:hAnsi="仿宋" w:eastAsia="仿宋" w:cs="仿宋"/>
          <w:sz w:val="28"/>
          <w:szCs w:val="28"/>
          <w:highlight w:val="none"/>
        </w:rPr>
        <w:t>澳门和</w:t>
      </w:r>
      <w:r>
        <w:rPr>
          <w:rFonts w:hint="eastAsia" w:ascii="仿宋" w:hAnsi="仿宋" w:eastAsia="仿宋" w:cs="仿宋"/>
          <w:sz w:val="28"/>
          <w:szCs w:val="28"/>
          <w:highlight w:val="none"/>
        </w:rPr>
        <w:t>中国</w:t>
      </w:r>
      <w:r>
        <w:rPr>
          <w:rFonts w:ascii="仿宋" w:hAnsi="仿宋" w:eastAsia="仿宋" w:cs="仿宋"/>
          <w:sz w:val="28"/>
          <w:szCs w:val="28"/>
          <w:highlight w:val="none"/>
        </w:rPr>
        <w:t>台湾）。</w:t>
      </w:r>
    </w:p>
    <w:p w14:paraId="30A23D73">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六、违约与索赔</w:t>
      </w:r>
    </w:p>
    <w:p w14:paraId="31AF896D">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6.1甲方无法律规定的事由及本合同约定的事由不履行合同的，如有支付预付款的，无权要求返还预付款，如预付款不足以弥补乙方遭受的直接损失的，应继续赔偿乙方直接损失；乙方无法律规定的事由及合同约定的事由不履行合同的，如有收受预付款的，应当返还预付款，如因此给甲方造成其它直接损失的，应赔偿甲方直接损失。</w:t>
      </w:r>
    </w:p>
    <w:p w14:paraId="74B05AD5">
      <w:pPr>
        <w:widowControl/>
        <w:adjustRightInd w:val="0"/>
        <w:snapToGrid w:val="0"/>
        <w:spacing w:line="360" w:lineRule="auto"/>
        <w:ind w:left="560" w:hanging="560" w:hangingChars="200"/>
        <w:rPr>
          <w:rFonts w:hint="eastAsia" w:ascii="仿宋" w:hAnsi="仿宋" w:eastAsia="仿宋" w:cs="仿宋"/>
          <w:sz w:val="28"/>
          <w:szCs w:val="28"/>
          <w:highlight w:val="none"/>
          <w:lang w:eastAsia="zh-CN"/>
        </w:rPr>
      </w:pPr>
      <w:r>
        <w:rPr>
          <w:rFonts w:ascii="仿宋" w:hAnsi="仿宋" w:eastAsia="仿宋" w:cs="仿宋"/>
          <w:sz w:val="28"/>
          <w:szCs w:val="28"/>
          <w:highlight w:val="none"/>
        </w:rPr>
        <w:t>6.</w:t>
      </w:r>
      <w:r>
        <w:rPr>
          <w:rFonts w:hint="eastAsia" w:ascii="仿宋" w:hAnsi="仿宋" w:eastAsia="仿宋" w:cs="仿宋"/>
          <w:sz w:val="28"/>
          <w:szCs w:val="28"/>
          <w:highlight w:val="none"/>
        </w:rPr>
        <w:t>2</w:t>
      </w:r>
      <w:r>
        <w:rPr>
          <w:rFonts w:ascii="仿宋" w:hAnsi="仿宋" w:eastAsia="仿宋" w:cs="仿宋"/>
          <w:sz w:val="28"/>
          <w:szCs w:val="28"/>
          <w:highlight w:val="none"/>
        </w:rPr>
        <w:t>甲方延迟付款的</w:t>
      </w:r>
      <w:r>
        <w:rPr>
          <w:rFonts w:hint="eastAsia" w:ascii="仿宋" w:hAnsi="仿宋" w:eastAsia="仿宋" w:cs="仿宋"/>
          <w:sz w:val="28"/>
          <w:szCs w:val="28"/>
          <w:highlight w:val="none"/>
          <w:lang w:eastAsia="zh-CN"/>
        </w:rPr>
        <w:t>：</w:t>
      </w:r>
    </w:p>
    <w:p w14:paraId="6502CE29">
      <w:pPr>
        <w:widowControl/>
        <w:adjustRightInd w:val="0"/>
        <w:snapToGrid w:val="0"/>
        <w:spacing w:line="360" w:lineRule="auto"/>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 xml:space="preserve">6.2.1 </w:t>
      </w:r>
      <w:r>
        <w:rPr>
          <w:rFonts w:ascii="仿宋" w:hAnsi="仿宋" w:eastAsia="仿宋" w:cs="仿宋"/>
          <w:sz w:val="28"/>
          <w:szCs w:val="28"/>
          <w:highlight w:val="none"/>
        </w:rPr>
        <w:t>按延期天数每天向乙方支付货款总额的</w:t>
      </w:r>
      <w:r>
        <w:rPr>
          <w:rFonts w:hint="eastAsia" w:ascii="仿宋" w:hAnsi="仿宋" w:eastAsia="仿宋" w:cs="仿宋"/>
          <w:sz w:val="28"/>
          <w:szCs w:val="28"/>
          <w:highlight w:val="none"/>
        </w:rPr>
        <w:t>万分之五作为滞纳金；延期付款超过</w:t>
      </w:r>
      <w:r>
        <w:rPr>
          <w:rFonts w:ascii="仿宋" w:hAnsi="仿宋" w:eastAsia="仿宋" w:cs="仿宋"/>
          <w:sz w:val="28"/>
          <w:szCs w:val="28"/>
          <w:highlight w:val="none"/>
        </w:rPr>
        <w:t>30日的，乙方可以单方面解除合同并要求甲方赔偿损失</w:t>
      </w:r>
      <w:r>
        <w:rPr>
          <w:rFonts w:hint="eastAsia" w:ascii="仿宋" w:hAnsi="仿宋" w:eastAsia="仿宋" w:cs="仿宋"/>
          <w:sz w:val="28"/>
          <w:szCs w:val="28"/>
          <w:highlight w:val="none"/>
          <w:lang w:eastAsia="zh-CN"/>
        </w:rPr>
        <w:t>。</w:t>
      </w:r>
    </w:p>
    <w:p w14:paraId="3EFE27A4">
      <w:pPr>
        <w:widowControl/>
        <w:adjustRightInd w:val="0"/>
        <w:snapToGrid w:val="0"/>
        <w:spacing w:line="360" w:lineRule="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 xml:space="preserve">6.2.2 </w:t>
      </w:r>
      <w:r>
        <w:rPr>
          <w:rFonts w:hint="eastAsia" w:ascii="仿宋" w:hAnsi="仿宋" w:eastAsia="仿宋" w:cs="仿宋"/>
          <w:sz w:val="28"/>
          <w:szCs w:val="28"/>
          <w:highlight w:val="none"/>
        </w:rPr>
        <w:t>因该付款延迟直接或间接导致的任何损失（包括但不限于项目进度延误、乙方为应对延误产生的额外成本、第三方对乙方的索赔、乙方预期收益减少等），均由甲方自行承担，乙方对此不承担任何赔偿责任、违约责任或其他相关法律责任。</w:t>
      </w:r>
    </w:p>
    <w:p w14:paraId="1DFBE050">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3</w:t>
      </w:r>
      <w:r>
        <w:rPr>
          <w:rFonts w:ascii="仿宋" w:hAnsi="仿宋" w:eastAsia="仿宋" w:cs="仿宋"/>
          <w:sz w:val="28"/>
          <w:szCs w:val="28"/>
          <w:highlight w:val="none"/>
        </w:rPr>
        <w:t>任何一方违反本合同其它义务和责任的，应当按约定向对方支付违约金并承担赔偿责任。</w:t>
      </w:r>
    </w:p>
    <w:p w14:paraId="612442D1">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4双方同意对因下列原因致产品侵犯甲方及</w:t>
      </w:r>
      <w:r>
        <w:rPr>
          <w:rFonts w:ascii="仿宋" w:hAnsi="仿宋" w:eastAsia="仿宋" w:cs="仿宋"/>
          <w:sz w:val="28"/>
          <w:szCs w:val="28"/>
          <w:highlight w:val="none"/>
        </w:rPr>
        <w:t>/或第三人权利或权益的情况，乙方无须承担任何责任：</w:t>
      </w:r>
    </w:p>
    <w:p w14:paraId="2800C959">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w:t>
      </w:r>
      <w:r>
        <w:rPr>
          <w:rFonts w:ascii="仿宋" w:hAnsi="仿宋" w:eastAsia="仿宋" w:cs="仿宋"/>
          <w:sz w:val="28"/>
          <w:szCs w:val="28"/>
          <w:highlight w:val="none"/>
        </w:rPr>
        <w:t>.1依甲方之规格、指示的设计；</w:t>
      </w:r>
    </w:p>
    <w:p w14:paraId="20A57BB4">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w:t>
      </w:r>
      <w:r>
        <w:rPr>
          <w:rFonts w:ascii="仿宋" w:hAnsi="仿宋" w:eastAsia="仿宋" w:cs="仿宋"/>
          <w:sz w:val="28"/>
          <w:szCs w:val="28"/>
          <w:highlight w:val="none"/>
        </w:rPr>
        <w:t>.2非乙方作出的或未经乙方授权(包括甲方或第三人)而对产品进行的修改；</w:t>
      </w:r>
    </w:p>
    <w:p w14:paraId="57A7121A">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w:t>
      </w:r>
      <w:r>
        <w:rPr>
          <w:rFonts w:ascii="仿宋" w:hAnsi="仿宋" w:eastAsia="仿宋" w:cs="仿宋"/>
          <w:sz w:val="28"/>
          <w:szCs w:val="28"/>
          <w:highlight w:val="none"/>
        </w:rPr>
        <w:t>.3甲方使用不当（包括但不限于甲方未依据双方确认的技术协议书、超出双方确认的产品使用范围对产品进行使用等）或未按照双方确定标准对产品进</w:t>
      </w:r>
      <w:bookmarkStart w:id="5" w:name="_GoBack"/>
      <w:bookmarkEnd w:id="5"/>
      <w:r>
        <w:rPr>
          <w:rFonts w:ascii="仿宋" w:hAnsi="仿宋" w:eastAsia="仿宋" w:cs="仿宋"/>
          <w:sz w:val="28"/>
          <w:szCs w:val="28"/>
          <w:highlight w:val="none"/>
        </w:rPr>
        <w:t>行安置、贮存、处理；</w:t>
      </w:r>
    </w:p>
    <w:p w14:paraId="0B4ADCB1">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w:t>
      </w:r>
      <w:r>
        <w:rPr>
          <w:rFonts w:ascii="仿宋" w:hAnsi="仿宋" w:eastAsia="仿宋" w:cs="仿宋"/>
          <w:sz w:val="28"/>
          <w:szCs w:val="28"/>
          <w:highlight w:val="none"/>
        </w:rPr>
        <w:t>.4甲方将本合同产品与非乙方提供或确认的其他产品或服务(包括但不限于软件、硬件、韧件或其他任何技术、组件或设计)结合，若非此种结合，产品不会侵权；</w:t>
      </w:r>
    </w:p>
    <w:p w14:paraId="6BA27BA7">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w:t>
      </w:r>
      <w:r>
        <w:rPr>
          <w:rFonts w:ascii="仿宋" w:hAnsi="仿宋" w:eastAsia="仿宋" w:cs="仿宋"/>
          <w:sz w:val="28"/>
          <w:szCs w:val="28"/>
          <w:highlight w:val="none"/>
        </w:rPr>
        <w:t xml:space="preserve">.5 </w:t>
      </w:r>
      <w:r>
        <w:rPr>
          <w:rFonts w:hint="eastAsia" w:ascii="仿宋" w:hAnsi="仿宋" w:eastAsia="仿宋" w:cs="仿宋"/>
          <w:sz w:val="28"/>
          <w:szCs w:val="28"/>
          <w:highlight w:val="none"/>
        </w:rPr>
        <w:t>未经乙方书面同意，甲方或第三人擅自对产品进行维修或售后服务；</w:t>
      </w:r>
    </w:p>
    <w:p w14:paraId="5E7442DE">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6.</w:t>
      </w:r>
      <w:r>
        <w:rPr>
          <w:rFonts w:hint="eastAsia" w:ascii="仿宋" w:hAnsi="仿宋" w:eastAsia="仿宋" w:cs="仿宋"/>
          <w:sz w:val="28"/>
          <w:szCs w:val="28"/>
          <w:highlight w:val="none"/>
        </w:rPr>
        <w:t>4</w:t>
      </w:r>
      <w:r>
        <w:rPr>
          <w:rFonts w:ascii="仿宋" w:hAnsi="仿宋" w:eastAsia="仿宋" w:cs="仿宋"/>
          <w:sz w:val="28"/>
          <w:szCs w:val="28"/>
          <w:highlight w:val="none"/>
        </w:rPr>
        <w:t xml:space="preserve">.6 </w:t>
      </w:r>
      <w:r>
        <w:rPr>
          <w:rFonts w:hint="eastAsia" w:ascii="仿宋" w:hAnsi="仿宋" w:eastAsia="仿宋" w:cs="仿宋"/>
          <w:sz w:val="28"/>
          <w:szCs w:val="28"/>
          <w:highlight w:val="none"/>
        </w:rPr>
        <w:t>其他不可归责于乙方的原因或于现有技术条件下无法发现、无法克服的原因。</w:t>
      </w:r>
    </w:p>
    <w:p w14:paraId="39225925">
      <w:pPr>
        <w:widowControl/>
        <w:adjustRightInd w:val="0"/>
        <w:snapToGrid w:val="0"/>
        <w:spacing w:line="360" w:lineRule="auto"/>
        <w:ind w:left="560" w:hanging="560" w:hangingChars="200"/>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6.5乙方仅负责按本合同约定向甲方提供符合质量标准的产品，并对该产品本身的质量问题（以本合同约定的质量标准及质保期限为限）承担相应责任。除产品本身质量问题外，产生的任何问题、损失或责任，均与乙方无关。</w:t>
      </w:r>
    </w:p>
    <w:p w14:paraId="111DCE7F">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七、知识产权</w:t>
      </w:r>
      <w:r>
        <w:rPr>
          <w:rFonts w:ascii="仿宋" w:hAnsi="仿宋" w:eastAsia="仿宋" w:cs="仿宋"/>
          <w:b/>
          <w:sz w:val="28"/>
          <w:szCs w:val="28"/>
          <w:highlight w:val="none"/>
        </w:rPr>
        <w:t xml:space="preserve"> </w:t>
      </w:r>
    </w:p>
    <w:p w14:paraId="1A5D2273">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7.1除非双方另有约定，乙方向甲方销售本合同产品并不构成乙方对甲方任何知识产权的转让、授权或许可。</w:t>
      </w:r>
    </w:p>
    <w:p w14:paraId="2C99A6A0">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7.2甲方维护乙方作为知识产权权利人的合法权利，承诺不因双方的交易行为而对专属于乙方的知识产权造成任何侵害。</w:t>
      </w:r>
    </w:p>
    <w:p w14:paraId="02FB0EBC">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rPr>
        <w:t>八、保密</w:t>
      </w:r>
    </w:p>
    <w:p w14:paraId="15473603">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8.1在对方商业信息及其它保密信息未公开前，甲、乙双方有义务就知悉的相对方的商业信息尽到妥善的保密保管责任，保密范围包括但不限于产品价格、销售计划、客户清单、财务信息、技术资料等，未经对方书面许可，任何一方不得使用或向第三方泄露。</w:t>
      </w:r>
    </w:p>
    <w:p w14:paraId="5FAFA02D">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8.2任何一方如泄露对方的商业秘密或以任何方式使对方商业秘密权受到侵害的，应当按照本保密条款、双方订立的保密协议约定及法律规定承担责任。</w:t>
      </w:r>
    </w:p>
    <w:p w14:paraId="60E5C374">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8.3</w:t>
      </w:r>
      <w:r>
        <w:rPr>
          <w:rFonts w:hint="eastAsia" w:ascii="仿宋" w:hAnsi="仿宋" w:eastAsia="仿宋" w:cs="仿宋"/>
          <w:sz w:val="28"/>
          <w:szCs w:val="28"/>
          <w:highlight w:val="none"/>
        </w:rPr>
        <w:t>未经乙方书面同意，甲方不得将产品向任何第三方提供或销售，不得对产品采取反编译、拆解、反向工程等措施，也不得以任何方式侵犯乙方对产品享有的知识产权。如有违反，甲方应当立即停止违约或侵权行为，并向乙方支付合同金额</w:t>
      </w:r>
      <w:r>
        <w:rPr>
          <w:rFonts w:ascii="仿宋" w:hAnsi="仿宋" w:eastAsia="仿宋" w:cs="仿宋"/>
          <w:sz w:val="28"/>
          <w:szCs w:val="28"/>
          <w:highlight w:val="none"/>
        </w:rPr>
        <w:t>20%的违约金，支付违约金后仍不能弥补乙方损失的，还应赔偿乙方损失。</w:t>
      </w:r>
    </w:p>
    <w:p w14:paraId="1196688A">
      <w:pPr>
        <w:pStyle w:val="20"/>
        <w:adjustRightInd w:val="0"/>
        <w:snapToGrid w:val="0"/>
        <w:spacing w:line="360" w:lineRule="auto"/>
        <w:ind w:firstLine="0" w:firstLineChars="0"/>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lang w:val="en-US" w:eastAsia="zh-CN"/>
        </w:rPr>
        <w:t>九</w:t>
      </w:r>
      <w:r>
        <w:rPr>
          <w:rFonts w:hint="eastAsia" w:ascii="仿宋" w:hAnsi="仿宋" w:eastAsia="仿宋" w:cs="仿宋"/>
          <w:b/>
          <w:sz w:val="28"/>
          <w:szCs w:val="28"/>
          <w:highlight w:val="none"/>
        </w:rPr>
        <w:t>、不可抗力</w:t>
      </w:r>
    </w:p>
    <w:p w14:paraId="0435B708">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9</w:t>
      </w:r>
      <w:r>
        <w:rPr>
          <w:rFonts w:ascii="仿宋" w:hAnsi="仿宋" w:eastAsia="仿宋" w:cs="仿宋"/>
          <w:sz w:val="28"/>
          <w:szCs w:val="28"/>
          <w:highlight w:val="none"/>
        </w:rPr>
        <w:t>.1任何一方对因不可抗力原因（包括火灾、台风、地震、海啸、山洪暴发、政府禁令、战争等）造成本合同不能履行或迟延履行</w:t>
      </w:r>
      <w:r>
        <w:rPr>
          <w:rFonts w:hint="eastAsia" w:ascii="仿宋" w:hAnsi="仿宋" w:eastAsia="仿宋" w:cs="仿宋"/>
          <w:sz w:val="28"/>
          <w:szCs w:val="28"/>
          <w:highlight w:val="none"/>
        </w:rPr>
        <w:t>的不承担违约责任。</w:t>
      </w:r>
    </w:p>
    <w:p w14:paraId="754F49D5">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9</w:t>
      </w:r>
      <w:r>
        <w:rPr>
          <w:rFonts w:ascii="仿宋" w:hAnsi="仿宋" w:eastAsia="仿宋" w:cs="仿宋"/>
          <w:sz w:val="28"/>
          <w:szCs w:val="28"/>
          <w:highlight w:val="none"/>
        </w:rPr>
        <w:t xml:space="preserve">.2遭受不可抗力的一方应及时通知另一方并尽量减少损失，且须于10日内，提供不可抗力事故之详情及合同全部或部分不能履行或需延迟履行的理由的有效证明。 </w:t>
      </w:r>
    </w:p>
    <w:p w14:paraId="77C95149">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9</w:t>
      </w:r>
      <w:r>
        <w:rPr>
          <w:rFonts w:ascii="仿宋" w:hAnsi="仿宋" w:eastAsia="仿宋" w:cs="仿宋"/>
          <w:sz w:val="28"/>
          <w:szCs w:val="28"/>
          <w:highlight w:val="none"/>
        </w:rPr>
        <w:t>.3因不可抗力事件致使一方迟延或不能履行其义务的，该</w:t>
      </w:r>
      <w:r>
        <w:rPr>
          <w:rFonts w:hint="eastAsia" w:ascii="仿宋" w:hAnsi="仿宋" w:eastAsia="仿宋" w:cs="仿宋"/>
          <w:sz w:val="28"/>
          <w:szCs w:val="28"/>
          <w:highlight w:val="none"/>
        </w:rPr>
        <w:t>方</w:t>
      </w:r>
      <w:r>
        <w:rPr>
          <w:rFonts w:ascii="仿宋" w:hAnsi="仿宋" w:eastAsia="仿宋" w:cs="仿宋"/>
          <w:sz w:val="28"/>
          <w:szCs w:val="28"/>
          <w:highlight w:val="none"/>
        </w:rPr>
        <w:t>不负违约责任。双方可以根据不可抗力事件对本合同履行的影响程度，协商决定是否终止本合同、全部或部分免除履行本合同的责任，或者延期履行本合同。</w:t>
      </w:r>
    </w:p>
    <w:p w14:paraId="32CECD97">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lang w:val="en-US" w:eastAsia="zh-CN"/>
        </w:rPr>
        <w:t>十</w:t>
      </w:r>
      <w:r>
        <w:rPr>
          <w:rFonts w:hint="eastAsia" w:ascii="仿宋" w:hAnsi="仿宋" w:eastAsia="仿宋" w:cs="仿宋"/>
          <w:b/>
          <w:sz w:val="28"/>
          <w:szCs w:val="28"/>
          <w:highlight w:val="none"/>
          <w:lang w:eastAsia="zh-CN"/>
        </w:rPr>
        <w:t>、</w:t>
      </w:r>
      <w:r>
        <w:rPr>
          <w:rFonts w:hint="eastAsia" w:ascii="仿宋" w:hAnsi="仿宋" w:eastAsia="仿宋" w:cs="仿宋"/>
          <w:b/>
          <w:sz w:val="28"/>
          <w:szCs w:val="28"/>
          <w:highlight w:val="none"/>
        </w:rPr>
        <w:t>合同解除</w:t>
      </w:r>
    </w:p>
    <w:p w14:paraId="46FF57B0">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0</w:t>
      </w:r>
      <w:r>
        <w:rPr>
          <w:rFonts w:ascii="仿宋" w:hAnsi="仿宋" w:eastAsia="仿宋" w:cs="仿宋"/>
          <w:sz w:val="28"/>
          <w:szCs w:val="28"/>
          <w:highlight w:val="none"/>
        </w:rPr>
        <w:t>.1在履行期限届满前，甲、乙双方协商一致，可以解除本合同。</w:t>
      </w:r>
    </w:p>
    <w:p w14:paraId="3E095636">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0</w:t>
      </w:r>
      <w:r>
        <w:rPr>
          <w:rFonts w:ascii="仿宋" w:hAnsi="仿宋" w:eastAsia="仿宋" w:cs="仿宋"/>
          <w:sz w:val="28"/>
          <w:szCs w:val="28"/>
          <w:highlight w:val="none"/>
        </w:rPr>
        <w:t>.2在履行期限届满前，任何一方明确表示或以自己的行为表示不履行合同主要义务的，对方有权解除本合同，</w:t>
      </w:r>
      <w:r>
        <w:rPr>
          <w:rFonts w:hint="eastAsia" w:ascii="仿宋" w:hAnsi="仿宋" w:eastAsia="仿宋" w:cs="仿宋"/>
          <w:sz w:val="28"/>
          <w:szCs w:val="28"/>
          <w:highlight w:val="none"/>
        </w:rPr>
        <w:t>守约方有权要求违约方</w:t>
      </w:r>
      <w:r>
        <w:rPr>
          <w:rFonts w:ascii="仿宋" w:hAnsi="仿宋" w:eastAsia="仿宋" w:cs="仿宋"/>
          <w:sz w:val="28"/>
          <w:szCs w:val="28"/>
          <w:highlight w:val="none"/>
        </w:rPr>
        <w:t>按本合同约定</w:t>
      </w:r>
      <w:r>
        <w:rPr>
          <w:rFonts w:hint="eastAsia" w:ascii="仿宋" w:hAnsi="仿宋" w:eastAsia="仿宋" w:cs="仿宋"/>
          <w:sz w:val="28"/>
          <w:szCs w:val="28"/>
          <w:highlight w:val="none"/>
        </w:rPr>
        <w:t>承担违约责任并承担守约方的所有经济损失</w:t>
      </w:r>
      <w:r>
        <w:rPr>
          <w:rFonts w:ascii="仿宋" w:hAnsi="仿宋" w:eastAsia="仿宋" w:cs="仿宋"/>
          <w:sz w:val="28"/>
          <w:szCs w:val="28"/>
          <w:highlight w:val="none"/>
        </w:rPr>
        <w:t>。</w:t>
      </w:r>
    </w:p>
    <w:p w14:paraId="7133AB61">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0</w:t>
      </w:r>
      <w:r>
        <w:rPr>
          <w:rFonts w:ascii="仿宋" w:hAnsi="仿宋" w:eastAsia="仿宋" w:cs="仿宋"/>
          <w:sz w:val="28"/>
          <w:szCs w:val="28"/>
          <w:highlight w:val="none"/>
        </w:rPr>
        <w:t xml:space="preserve">.3本合同签订后，一方单方面要求解除合同的，应赔偿因合同解除对另一方造成的损失。 </w:t>
      </w:r>
    </w:p>
    <w:p w14:paraId="3F391329">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0</w:t>
      </w:r>
      <w:r>
        <w:rPr>
          <w:rFonts w:ascii="仿宋" w:hAnsi="仿宋" w:eastAsia="仿宋" w:cs="仿宋"/>
          <w:sz w:val="28"/>
          <w:szCs w:val="28"/>
          <w:highlight w:val="none"/>
        </w:rPr>
        <w:t>.</w:t>
      </w:r>
      <w:r>
        <w:rPr>
          <w:rFonts w:hint="eastAsia" w:ascii="仿宋" w:hAnsi="仿宋" w:eastAsia="仿宋" w:cs="仿宋"/>
          <w:sz w:val="28"/>
          <w:szCs w:val="28"/>
          <w:highlight w:val="none"/>
          <w:lang w:val="en-US" w:eastAsia="zh-CN"/>
        </w:rPr>
        <w:t>4</w:t>
      </w:r>
      <w:r>
        <w:rPr>
          <w:rFonts w:ascii="仿宋" w:hAnsi="仿宋" w:eastAsia="仿宋" w:cs="仿宋"/>
          <w:sz w:val="28"/>
          <w:szCs w:val="28"/>
          <w:highlight w:val="none"/>
        </w:rPr>
        <w:t>合同解除后，尚未履行的，终止履行，已经履行的，根据履行情况及合同性质，任何一方可以要求恢复原状，采取其它补救措施，守约方有权要求违约方赔偿直接损失。</w:t>
      </w:r>
    </w:p>
    <w:p w14:paraId="3DF8DED6">
      <w:pPr>
        <w:widowControl/>
        <w:adjustRightInd w:val="0"/>
        <w:snapToGrid w:val="0"/>
        <w:spacing w:line="360" w:lineRule="auto"/>
        <w:outlineLvl w:val="0"/>
        <w:rPr>
          <w:rFonts w:hint="eastAsia" w:ascii="仿宋" w:hAnsi="仿宋" w:eastAsia="仿宋" w:cs="仿宋"/>
          <w:b/>
          <w:sz w:val="28"/>
          <w:szCs w:val="28"/>
          <w:highlight w:val="none"/>
        </w:rPr>
      </w:pPr>
      <w:r>
        <w:rPr>
          <w:rFonts w:hint="eastAsia" w:ascii="仿宋" w:hAnsi="仿宋" w:eastAsia="仿宋" w:cs="仿宋"/>
          <w:b/>
          <w:sz w:val="28"/>
          <w:szCs w:val="28"/>
          <w:highlight w:val="none"/>
          <w:lang w:val="en-US" w:eastAsia="zh-CN"/>
        </w:rPr>
        <w:t>十一</w:t>
      </w:r>
      <w:r>
        <w:rPr>
          <w:rFonts w:hint="eastAsia" w:ascii="仿宋" w:hAnsi="仿宋" w:eastAsia="仿宋" w:cs="仿宋"/>
          <w:b/>
          <w:sz w:val="28"/>
          <w:szCs w:val="28"/>
          <w:highlight w:val="none"/>
          <w:lang w:eastAsia="zh-CN"/>
        </w:rPr>
        <w:t>、</w:t>
      </w:r>
      <w:r>
        <w:rPr>
          <w:rFonts w:ascii="仿宋" w:hAnsi="仿宋" w:eastAsia="仿宋" w:cs="仿宋"/>
          <w:b/>
          <w:sz w:val="28"/>
          <w:szCs w:val="28"/>
          <w:highlight w:val="none"/>
        </w:rPr>
        <w:t>其它</w:t>
      </w:r>
    </w:p>
    <w:p w14:paraId="088E7264">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1</w:t>
      </w:r>
      <w:r>
        <w:rPr>
          <w:rFonts w:ascii="仿宋" w:hAnsi="仿宋" w:eastAsia="仿宋" w:cs="仿宋"/>
          <w:sz w:val="28"/>
          <w:szCs w:val="28"/>
          <w:highlight w:val="none"/>
        </w:rPr>
        <w:t>.1</w:t>
      </w:r>
      <w:r>
        <w:rPr>
          <w:rFonts w:hint="eastAsia" w:ascii="仿宋" w:hAnsi="仿宋" w:eastAsia="仿宋" w:cs="仿宋"/>
          <w:sz w:val="28"/>
          <w:szCs w:val="28"/>
          <w:highlight w:val="none"/>
        </w:rPr>
        <w:t>因执行本合同条款所发生的或与本合同条款有关的争议，双方应通过协商解决，协商不成的，双方均有权向乙方所在地人民法院提起诉讼。</w:t>
      </w:r>
    </w:p>
    <w:p w14:paraId="4D9CBB32">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1</w:t>
      </w:r>
      <w:r>
        <w:rPr>
          <w:rFonts w:ascii="仿宋" w:hAnsi="仿宋" w:eastAsia="仿宋" w:cs="仿宋"/>
          <w:sz w:val="28"/>
          <w:szCs w:val="28"/>
          <w:highlight w:val="none"/>
        </w:rPr>
        <w:t>.2</w:t>
      </w:r>
      <w:r>
        <w:rPr>
          <w:rFonts w:hint="eastAsia" w:ascii="仿宋" w:hAnsi="仿宋" w:eastAsia="仿宋" w:cs="仿宋"/>
          <w:sz w:val="28"/>
          <w:szCs w:val="28"/>
          <w:highlight w:val="none"/>
        </w:rPr>
        <w:t>任何一方联系地址、电话等基本信息发生变更的，应当及时通知对方。在变更的通知到达对方前，对方按本合同列明的方式无法与变更方联系的，因此产生的风险和责任由变更方承担。</w:t>
      </w:r>
    </w:p>
    <w:p w14:paraId="63014E6A">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1</w:t>
      </w:r>
      <w:r>
        <w:rPr>
          <w:rFonts w:ascii="仿宋" w:hAnsi="仿宋" w:eastAsia="仿宋" w:cs="仿宋"/>
          <w:sz w:val="28"/>
          <w:szCs w:val="28"/>
          <w:highlight w:val="none"/>
        </w:rPr>
        <w:t>.3</w:t>
      </w:r>
      <w:r>
        <w:rPr>
          <w:rFonts w:hint="eastAsia" w:ascii="仿宋" w:hAnsi="仿宋" w:eastAsia="仿宋" w:cs="仿宋"/>
          <w:sz w:val="28"/>
          <w:szCs w:val="28"/>
          <w:highlight w:val="none"/>
        </w:rPr>
        <w:t>经双方确认的合同附件（如有）为本合同的组成部分，附件与本合同条款约定不一致的，具有优先于本合同适用的效力。</w:t>
      </w:r>
    </w:p>
    <w:p w14:paraId="24C737DA">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1</w:t>
      </w:r>
      <w:r>
        <w:rPr>
          <w:rFonts w:ascii="仿宋" w:hAnsi="仿宋" w:eastAsia="仿宋" w:cs="仿宋"/>
          <w:sz w:val="28"/>
          <w:szCs w:val="28"/>
          <w:highlight w:val="none"/>
        </w:rPr>
        <w:t>.4</w:t>
      </w:r>
      <w:r>
        <w:rPr>
          <w:rFonts w:hint="eastAsia" w:ascii="仿宋" w:hAnsi="仿宋" w:eastAsia="仿宋" w:cs="仿宋"/>
          <w:sz w:val="28"/>
          <w:szCs w:val="28"/>
          <w:highlight w:val="none"/>
        </w:rPr>
        <w:t>对本合同正文或附件（如有）的任何更改，均应另行签订补充协议，并应由双方授权代表签字并盖章。</w:t>
      </w:r>
    </w:p>
    <w:p w14:paraId="19E6F1C1">
      <w:pPr>
        <w:widowControl/>
        <w:adjustRightInd w:val="0"/>
        <w:snapToGrid w:val="0"/>
        <w:spacing w:line="360" w:lineRule="auto"/>
        <w:ind w:left="560" w:hanging="560" w:hangingChars="200"/>
        <w:rPr>
          <w:rFonts w:hint="eastAsia" w:ascii="仿宋" w:hAnsi="仿宋" w:eastAsia="仿宋" w:cs="仿宋"/>
          <w:sz w:val="28"/>
          <w:szCs w:val="28"/>
          <w:highlight w:val="none"/>
        </w:rPr>
      </w:pPr>
      <w:r>
        <w:rPr>
          <w:rFonts w:ascii="仿宋" w:hAnsi="仿宋" w:eastAsia="仿宋" w:cs="仿宋"/>
          <w:sz w:val="28"/>
          <w:szCs w:val="28"/>
          <w:highlight w:val="none"/>
        </w:rPr>
        <w:t>1</w:t>
      </w:r>
      <w:r>
        <w:rPr>
          <w:rFonts w:hint="eastAsia" w:ascii="仿宋" w:hAnsi="仿宋" w:eastAsia="仿宋" w:cs="仿宋"/>
          <w:sz w:val="28"/>
          <w:szCs w:val="28"/>
          <w:highlight w:val="none"/>
          <w:lang w:val="en-US" w:eastAsia="zh-CN"/>
        </w:rPr>
        <w:t>1</w:t>
      </w:r>
      <w:r>
        <w:rPr>
          <w:rFonts w:ascii="仿宋" w:hAnsi="仿宋" w:eastAsia="仿宋" w:cs="仿宋"/>
          <w:sz w:val="28"/>
          <w:szCs w:val="28"/>
          <w:highlight w:val="none"/>
        </w:rPr>
        <w:t>.5</w:t>
      </w:r>
      <w:r>
        <w:rPr>
          <w:rFonts w:hint="eastAsia" w:ascii="仿宋" w:hAnsi="仿宋" w:eastAsia="仿宋" w:cs="仿宋"/>
          <w:sz w:val="28"/>
          <w:szCs w:val="28"/>
          <w:highlight w:val="none"/>
        </w:rPr>
        <w:t>本合同自双方签字盖章之日起生效。本合同一式贰份，甲、乙双方各执壹份，且具同等效力。</w:t>
      </w:r>
    </w:p>
    <w:p w14:paraId="366E0B9B">
      <w:pPr>
        <w:spacing w:line="360" w:lineRule="auto"/>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（本页以下无正文）</w:t>
      </w:r>
    </w:p>
    <w:p w14:paraId="321B968A">
      <w:pPr>
        <w:widowControl/>
        <w:jc w:val="left"/>
        <w:rPr>
          <w:rFonts w:hint="eastAsia" w:ascii="仿宋" w:hAnsi="仿宋" w:eastAsia="仿宋" w:cs="仿宋"/>
          <w:sz w:val="28"/>
          <w:szCs w:val="28"/>
          <w:highlight w:val="none"/>
        </w:rPr>
      </w:pPr>
      <w:r>
        <w:rPr>
          <w:rFonts w:ascii="仿宋" w:hAnsi="仿宋" w:eastAsia="仿宋" w:cs="仿宋"/>
          <w:sz w:val="28"/>
          <w:szCs w:val="28"/>
          <w:highlight w:val="none"/>
        </w:rPr>
        <w:br w:type="page"/>
      </w:r>
    </w:p>
    <w:p w14:paraId="4D48E0A7">
      <w:pPr>
        <w:widowControl/>
        <w:adjustRightInd w:val="0"/>
        <w:snapToGrid w:val="0"/>
        <w:spacing w:line="360" w:lineRule="auto"/>
        <w:ind w:left="560" w:hanging="560" w:hangingChars="2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（本页无正文，为本《充电桩销售合同》签署页）</w:t>
      </w:r>
    </w:p>
    <w:tbl>
      <w:tblPr>
        <w:tblStyle w:val="8"/>
        <w:tblpPr w:leftFromText="180" w:rightFromText="180" w:vertAnchor="text" w:horzAnchor="page" w:tblpX="1350" w:tblpY="3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7"/>
        <w:gridCol w:w="4898"/>
      </w:tblGrid>
      <w:tr w14:paraId="1526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3F3BAB09">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甲方：北京华晟经世信息技术股份有限公司</w:t>
            </w:r>
          </w:p>
        </w:tc>
        <w:tc>
          <w:tcPr>
            <w:tcW w:w="4898" w:type="dxa"/>
          </w:tcPr>
          <w:p w14:paraId="556E6872">
            <w:pPr>
              <w:widowControl/>
              <w:spacing w:line="432" w:lineRule="auto"/>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rPr>
              <w:t>乙方：</w:t>
            </w:r>
            <w:r>
              <w:rPr>
                <w:rFonts w:hint="eastAsia" w:ascii="仿宋" w:hAnsi="仿宋" w:eastAsia="仿宋" w:cs="仿宋"/>
                <w:sz w:val="28"/>
                <w:szCs w:val="28"/>
                <w:highlight w:val="none"/>
                <w:lang w:val="en-US" w:eastAsia="zh-CN"/>
              </w:rPr>
              <w:t>宁家（北京）汽车服务有限公司</w:t>
            </w:r>
          </w:p>
        </w:tc>
      </w:tr>
      <w:tr w14:paraId="5126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090B8815">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地址：北京市通州区经海五路3号院15号楼3层6-101     </w:t>
            </w:r>
          </w:p>
        </w:tc>
        <w:tc>
          <w:tcPr>
            <w:tcW w:w="4898" w:type="dxa"/>
          </w:tcPr>
          <w:p w14:paraId="4E53CFD0">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地址：北京市大兴区金盛大街2号院12号楼4层401-13（集群注册）</w:t>
            </w:r>
          </w:p>
        </w:tc>
      </w:tr>
      <w:tr w14:paraId="0B89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193080D2">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法定（委托）代表（理）人： </w:t>
            </w:r>
          </w:p>
        </w:tc>
        <w:tc>
          <w:tcPr>
            <w:tcW w:w="4898" w:type="dxa"/>
          </w:tcPr>
          <w:p w14:paraId="3867670B">
            <w:pPr>
              <w:widowControl/>
              <w:spacing w:line="432" w:lineRule="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rPr>
              <w:t>法定（委托）代表（理）人：</w:t>
            </w:r>
          </w:p>
        </w:tc>
      </w:tr>
      <w:tr w14:paraId="2FC8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01F1C976">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联系人：010-67861968</w:t>
            </w:r>
          </w:p>
        </w:tc>
        <w:tc>
          <w:tcPr>
            <w:tcW w:w="4898" w:type="dxa"/>
          </w:tcPr>
          <w:p w14:paraId="76A1E9E8">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联系人：张玲玲</w:t>
            </w:r>
          </w:p>
        </w:tc>
      </w:tr>
      <w:tr w14:paraId="4C78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7727CB1A">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联系方式：</w:t>
            </w:r>
          </w:p>
        </w:tc>
        <w:tc>
          <w:tcPr>
            <w:tcW w:w="4898" w:type="dxa"/>
          </w:tcPr>
          <w:p w14:paraId="25B9D785">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联系方式：18514666789</w:t>
            </w:r>
          </w:p>
        </w:tc>
      </w:tr>
      <w:tr w14:paraId="7782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2BF40A3E">
            <w:pPr>
              <w:widowControl/>
              <w:spacing w:line="432" w:lineRule="auto"/>
              <w:rPr>
                <w:rFonts w:hint="eastAsia" w:ascii="仿宋" w:hAnsi="仿宋" w:eastAsia="仿宋" w:cs="仿宋"/>
                <w:sz w:val="28"/>
                <w:szCs w:val="28"/>
                <w:highlight w:val="none"/>
              </w:rPr>
            </w:pPr>
            <w:r>
              <w:rPr>
                <w:rFonts w:hint="eastAsia" w:ascii="仿宋" w:hAnsi="仿宋" w:eastAsia="仿宋" w:cs="仿宋"/>
                <w:kern w:val="0"/>
                <w:sz w:val="28"/>
                <w:szCs w:val="28"/>
                <w:highlight w:val="none"/>
              </w:rPr>
              <w:t>税号：91110108758708299Y</w:t>
            </w:r>
          </w:p>
        </w:tc>
        <w:tc>
          <w:tcPr>
            <w:tcW w:w="4898" w:type="dxa"/>
          </w:tcPr>
          <w:p w14:paraId="2D9E8A16">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税号：91110107MAD88A6FXJ</w:t>
            </w:r>
          </w:p>
        </w:tc>
      </w:tr>
      <w:tr w14:paraId="1879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5971A06D">
            <w:pPr>
              <w:widowControl/>
              <w:spacing w:line="432" w:lineRule="auto"/>
              <w:rPr>
                <w:rFonts w:hint="eastAsia" w:ascii="仿宋" w:hAnsi="仿宋" w:eastAsia="仿宋" w:cs="仿宋"/>
                <w:sz w:val="28"/>
                <w:szCs w:val="28"/>
                <w:highlight w:val="none"/>
              </w:rPr>
            </w:pPr>
            <w:r>
              <w:rPr>
                <w:rFonts w:hint="eastAsia" w:ascii="仿宋" w:hAnsi="仿宋" w:eastAsia="仿宋" w:cs="仿宋"/>
                <w:kern w:val="0"/>
                <w:sz w:val="28"/>
                <w:szCs w:val="28"/>
                <w:highlight w:val="none"/>
              </w:rPr>
              <w:t>开户行：北京银行上地支行</w:t>
            </w:r>
          </w:p>
        </w:tc>
        <w:tc>
          <w:tcPr>
            <w:tcW w:w="4898" w:type="dxa"/>
          </w:tcPr>
          <w:p w14:paraId="0083858B">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开户行：中国建设银行股份有限公司北京丰盛支行</w:t>
            </w:r>
          </w:p>
        </w:tc>
      </w:tr>
      <w:tr w14:paraId="54FD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1EADCF8C">
            <w:pPr>
              <w:widowControl/>
              <w:spacing w:line="432" w:lineRule="auto"/>
              <w:rPr>
                <w:rFonts w:hint="eastAsia" w:ascii="仿宋" w:hAnsi="仿宋" w:eastAsia="仿宋" w:cs="仿宋"/>
                <w:sz w:val="28"/>
                <w:szCs w:val="28"/>
                <w:highlight w:val="none"/>
              </w:rPr>
            </w:pPr>
            <w:r>
              <w:rPr>
                <w:rFonts w:hint="eastAsia" w:ascii="仿宋" w:hAnsi="仿宋" w:eastAsia="仿宋" w:cs="仿宋"/>
                <w:kern w:val="0"/>
                <w:sz w:val="28"/>
                <w:szCs w:val="28"/>
                <w:highlight w:val="none"/>
              </w:rPr>
              <w:t>账号：01090946300120101003569</w:t>
            </w:r>
          </w:p>
        </w:tc>
        <w:tc>
          <w:tcPr>
            <w:tcW w:w="4898" w:type="dxa"/>
          </w:tcPr>
          <w:p w14:paraId="6ED2F3FD">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账号： 11050161610000000322</w:t>
            </w:r>
          </w:p>
        </w:tc>
      </w:tr>
      <w:tr w14:paraId="6C0B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7" w:type="dxa"/>
          </w:tcPr>
          <w:p w14:paraId="13BCA0E6">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日期：   年   月   日 </w:t>
            </w:r>
          </w:p>
        </w:tc>
        <w:tc>
          <w:tcPr>
            <w:tcW w:w="4898" w:type="dxa"/>
          </w:tcPr>
          <w:p w14:paraId="5B9FD407">
            <w:pPr>
              <w:widowControl/>
              <w:spacing w:line="432" w:lineRule="auto"/>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日期： </w:t>
            </w:r>
            <w:r>
              <w:rPr>
                <w:rFonts w:hint="eastAsia" w:ascii="仿宋" w:hAnsi="仿宋" w:eastAsia="仿宋" w:cs="仿宋"/>
                <w:sz w:val="28"/>
                <w:szCs w:val="28"/>
                <w:highlight w:val="none"/>
                <w:lang w:val="en-US" w:eastAsia="zh-CN"/>
              </w:rPr>
              <w:t>2025</w:t>
            </w:r>
            <w:r>
              <w:rPr>
                <w:rFonts w:hint="eastAsia" w:ascii="仿宋" w:hAnsi="仿宋" w:eastAsia="仿宋" w:cs="仿宋"/>
                <w:sz w:val="28"/>
                <w:szCs w:val="28"/>
                <w:highlight w:val="none"/>
              </w:rPr>
              <w:t xml:space="preserve">  年  </w:t>
            </w:r>
            <w:r>
              <w:rPr>
                <w:rFonts w:hint="eastAsia" w:ascii="仿宋" w:hAnsi="仿宋" w:eastAsia="仿宋" w:cs="仿宋"/>
                <w:sz w:val="28"/>
                <w:szCs w:val="28"/>
                <w:highlight w:val="none"/>
                <w:lang w:val="en-US" w:eastAsia="zh-CN"/>
              </w:rPr>
              <w:t>12</w:t>
            </w:r>
            <w:r>
              <w:rPr>
                <w:rFonts w:hint="eastAsia" w:ascii="仿宋" w:hAnsi="仿宋" w:eastAsia="仿宋" w:cs="仿宋"/>
                <w:sz w:val="28"/>
                <w:szCs w:val="28"/>
                <w:highlight w:val="none"/>
              </w:rPr>
              <w:t xml:space="preserve"> 月  </w:t>
            </w:r>
            <w:r>
              <w:rPr>
                <w:rFonts w:hint="eastAsia" w:ascii="仿宋" w:hAnsi="仿宋" w:eastAsia="仿宋" w:cs="仿宋"/>
                <w:sz w:val="28"/>
                <w:szCs w:val="28"/>
                <w:highlight w:val="none"/>
                <w:lang w:val="en-US" w:eastAsia="zh-CN"/>
              </w:rPr>
              <w:t>4</w:t>
            </w:r>
            <w:r>
              <w:rPr>
                <w:rFonts w:hint="eastAsia" w:ascii="仿宋" w:hAnsi="仿宋" w:eastAsia="仿宋" w:cs="仿宋"/>
                <w:sz w:val="28"/>
                <w:szCs w:val="28"/>
                <w:highlight w:val="none"/>
              </w:rPr>
              <w:t xml:space="preserve"> 日 </w:t>
            </w:r>
          </w:p>
        </w:tc>
      </w:tr>
    </w:tbl>
    <w:p w14:paraId="7196D8F0">
      <w:pPr>
        <w:adjustRightInd w:val="0"/>
        <w:snapToGrid w:val="0"/>
        <w:spacing w:line="360" w:lineRule="auto"/>
        <w:ind w:firstLine="560" w:firstLineChars="200"/>
        <w:rPr>
          <w:rFonts w:hint="eastAsia" w:ascii="宋体" w:hAnsi="宋体"/>
          <w:sz w:val="24"/>
          <w:highlight w:val="none"/>
        </w:rPr>
      </w:pPr>
      <w:r>
        <w:rPr>
          <w:rFonts w:hint="eastAsia" w:ascii="仿宋" w:hAnsi="仿宋" w:eastAsia="仿宋" w:cs="仿宋"/>
          <w:sz w:val="28"/>
          <w:szCs w:val="28"/>
          <w:highlight w:val="none"/>
        </w:rPr>
        <w:t>（以下无正文）</w:t>
      </w:r>
    </w:p>
    <w:sectPr>
      <w:headerReference r:id="rId3" w:type="default"/>
      <w:footerReference r:id="rId4" w:type="default"/>
      <w:footerReference r:id="rId5" w:type="even"/>
      <w:pgSz w:w="11906" w:h="16838"/>
      <w:pgMar w:top="1440" w:right="1083" w:bottom="1440" w:left="1083" w:header="51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E5184">
    <w:pPr>
      <w:pStyle w:val="4"/>
      <w:jc w:val="center"/>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p w14:paraId="71023151">
    <w:pPr>
      <w:pStyle w:val="4"/>
      <w:ind w:right="990"/>
      <w:jc w:val="right"/>
      <w:rPr>
        <w:rFonts w:eastAsia="隶书"/>
        <w:color w:val="0000FF"/>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DA805">
    <w:pPr>
      <w:pStyle w:val="4"/>
      <w:framePr w:wrap="around" w:vAnchor="text" w:hAnchor="margin" w:xAlign="right" w:y="1"/>
      <w:rPr>
        <w:rStyle w:val="11"/>
      </w:rPr>
    </w:pPr>
    <w:r>
      <w:fldChar w:fldCharType="begin"/>
    </w:r>
    <w:r>
      <w:rPr>
        <w:rStyle w:val="11"/>
      </w:rPr>
      <w:instrText xml:space="preserve">PAGE  </w:instrText>
    </w:r>
    <w:r>
      <w:fldChar w:fldCharType="end"/>
    </w:r>
  </w:p>
  <w:p w14:paraId="26D972E0">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28E0E">
    <w:pPr>
      <w:pStyle w:val="5"/>
      <w:tabs>
        <w:tab w:val="left" w:pos="7560"/>
      </w:tabs>
      <w:jc w:val="both"/>
      <w:rPr>
        <w:rFonts w:hint="eastAsia" w:ascii="宋体" w:hAnsi="宋体"/>
        <w:sz w:val="20"/>
        <w:szCs w:val="20"/>
      </w:rPr>
    </w:pPr>
    <w:r>
      <w:rPr>
        <w:rFonts w:hint="eastAsia" w:ascii="Arial" w:hAnsi="Arial" w:eastAsia="宋体" w:cs="Arial"/>
        <w:b/>
        <w:sz w:val="52"/>
        <w:szCs w:val="52"/>
        <w:highlight w:val="none"/>
        <w:lang w:eastAsia="zh-CN"/>
      </w:rPr>
      <w:drawing>
        <wp:inline distT="0" distB="0" distL="114300" distR="114300">
          <wp:extent cx="1343025" cy="514350"/>
          <wp:effectExtent l="0" t="0" r="9525" b="0"/>
          <wp:docPr id="4" name="图片 4" descr="宁家服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宁家服务logo"/>
                  <pic:cNvPicPr>
                    <a:picLocks noChangeAspect="1"/>
                  </pic:cNvPicPr>
                </pic:nvPicPr>
                <pic:blipFill>
                  <a:blip r:embed="rId1"/>
                  <a:stretch>
                    <a:fillRect/>
                  </a:stretch>
                </pic:blipFill>
                <pic:spPr>
                  <a:xfrm>
                    <a:off x="0" y="0"/>
                    <a:ext cx="1343025" cy="514350"/>
                  </a:xfrm>
                  <a:prstGeom prst="rect">
                    <a:avLst/>
                  </a:prstGeom>
                </pic:spPr>
              </pic:pic>
            </a:graphicData>
          </a:graphic>
        </wp:inline>
      </w:drawing>
    </w:r>
    <w:r>
      <w:rPr>
        <w:rFonts w:hint="eastAsia" w:ascii="宋体" w:hAnsi="宋体"/>
        <w:b/>
        <w:sz w:val="28"/>
        <w:szCs w:val="2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A4FDA"/>
    <w:multiLevelType w:val="multilevel"/>
    <w:tmpl w:val="035A4FDA"/>
    <w:lvl w:ilvl="0" w:tentative="0">
      <w:start w:val="1"/>
      <w:numFmt w:val="decimal"/>
      <w:lvlText w:val="5.%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CB42C3F"/>
    <w:multiLevelType w:val="multilevel"/>
    <w:tmpl w:val="2CB42C3F"/>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F0703A9"/>
    <w:multiLevelType w:val="multilevel"/>
    <w:tmpl w:val="4F0703A9"/>
    <w:lvl w:ilvl="0" w:tentative="0">
      <w:start w:val="2"/>
      <w:numFmt w:val="decimal"/>
      <w:lvlText w:val="%1"/>
      <w:lvlJc w:val="left"/>
      <w:pPr>
        <w:ind w:left="360" w:hanging="360"/>
      </w:pPr>
      <w:rPr>
        <w:rFonts w:hint="default"/>
      </w:rPr>
    </w:lvl>
    <w:lvl w:ilvl="1" w:tentative="0">
      <w:start w:val="1"/>
      <w:numFmt w:val="decimal"/>
      <w:lvlText w:val="%1.%2"/>
      <w:lvlJc w:val="left"/>
      <w:pPr>
        <w:ind w:left="851" w:hanging="851"/>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3">
    <w:nsid w:val="5F353128"/>
    <w:multiLevelType w:val="multilevel"/>
    <w:tmpl w:val="5F353128"/>
    <w:lvl w:ilvl="0" w:tentative="0">
      <w:start w:val="1"/>
      <w:numFmt w:val="decimal"/>
      <w:lvlText w:val="4.%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FEC2FCC"/>
    <w:multiLevelType w:val="multilevel"/>
    <w:tmpl w:val="5FEC2FCC"/>
    <w:lvl w:ilvl="0" w:tentative="0">
      <w:start w:val="1"/>
      <w:numFmt w:val="decimal"/>
      <w:lvlText w:val="3.2.%1."/>
      <w:lvlJc w:val="left"/>
      <w:pPr>
        <w:ind w:left="1000" w:hanging="440"/>
      </w:pPr>
      <w:rPr>
        <w:rFonts w:hint="eastAsia"/>
      </w:rPr>
    </w:lvl>
    <w:lvl w:ilvl="1" w:tentative="0">
      <w:start w:val="1"/>
      <w:numFmt w:val="decimal"/>
      <w:lvlText w:val="3.2.%2."/>
      <w:lvlJc w:val="left"/>
      <w:pPr>
        <w:ind w:left="440" w:hanging="440"/>
      </w:pPr>
      <w:rPr>
        <w:rFonts w:hint="eastAsia"/>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6370822"/>
    <w:multiLevelType w:val="singleLevel"/>
    <w:tmpl w:val="76370822"/>
    <w:lvl w:ilvl="0" w:tentative="0">
      <w:start w:val="1"/>
      <w:numFmt w:val="chineseCounting"/>
      <w:suff w:val="nothing"/>
      <w:lvlText w:val="%1、"/>
      <w:lvlJc w:val="left"/>
      <w:rPr>
        <w:rFonts w:hint="eastAsia"/>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057"/>
    <w:rsid w:val="000071EC"/>
    <w:rsid w:val="0002237E"/>
    <w:rsid w:val="00025F76"/>
    <w:rsid w:val="00026394"/>
    <w:rsid w:val="000317C9"/>
    <w:rsid w:val="0003779D"/>
    <w:rsid w:val="000406CE"/>
    <w:rsid w:val="00040FF1"/>
    <w:rsid w:val="00044173"/>
    <w:rsid w:val="000453E5"/>
    <w:rsid w:val="00055E0F"/>
    <w:rsid w:val="00057F57"/>
    <w:rsid w:val="0006184B"/>
    <w:rsid w:val="000626D6"/>
    <w:rsid w:val="00063F02"/>
    <w:rsid w:val="00074BF0"/>
    <w:rsid w:val="00075567"/>
    <w:rsid w:val="00076EBF"/>
    <w:rsid w:val="00085CDB"/>
    <w:rsid w:val="000955C0"/>
    <w:rsid w:val="000A5D2B"/>
    <w:rsid w:val="000B0829"/>
    <w:rsid w:val="000B4C6D"/>
    <w:rsid w:val="000B4E78"/>
    <w:rsid w:val="000B57AD"/>
    <w:rsid w:val="000C346D"/>
    <w:rsid w:val="000C7A3D"/>
    <w:rsid w:val="000D37DA"/>
    <w:rsid w:val="000F01FF"/>
    <w:rsid w:val="000F299E"/>
    <w:rsid w:val="000F6755"/>
    <w:rsid w:val="00100895"/>
    <w:rsid w:val="00105744"/>
    <w:rsid w:val="001057EA"/>
    <w:rsid w:val="0011496D"/>
    <w:rsid w:val="00121AD6"/>
    <w:rsid w:val="00123AEB"/>
    <w:rsid w:val="00123F7B"/>
    <w:rsid w:val="0012570C"/>
    <w:rsid w:val="00126170"/>
    <w:rsid w:val="0013433B"/>
    <w:rsid w:val="001347CE"/>
    <w:rsid w:val="00134CE8"/>
    <w:rsid w:val="00140578"/>
    <w:rsid w:val="00141593"/>
    <w:rsid w:val="001479C5"/>
    <w:rsid w:val="00147EC8"/>
    <w:rsid w:val="001529A1"/>
    <w:rsid w:val="00154FD9"/>
    <w:rsid w:val="00155403"/>
    <w:rsid w:val="00160D1C"/>
    <w:rsid w:val="00164FFA"/>
    <w:rsid w:val="00165018"/>
    <w:rsid w:val="00170107"/>
    <w:rsid w:val="0017708C"/>
    <w:rsid w:val="00181776"/>
    <w:rsid w:val="00181A80"/>
    <w:rsid w:val="00186303"/>
    <w:rsid w:val="00192003"/>
    <w:rsid w:val="00192418"/>
    <w:rsid w:val="00192EAF"/>
    <w:rsid w:val="001978D9"/>
    <w:rsid w:val="001A05BB"/>
    <w:rsid w:val="001A788F"/>
    <w:rsid w:val="001B0FFE"/>
    <w:rsid w:val="001B171A"/>
    <w:rsid w:val="001B6188"/>
    <w:rsid w:val="001C28AE"/>
    <w:rsid w:val="001D01B0"/>
    <w:rsid w:val="001D56DF"/>
    <w:rsid w:val="001D5F29"/>
    <w:rsid w:val="001E0868"/>
    <w:rsid w:val="001E1F25"/>
    <w:rsid w:val="001F0CDA"/>
    <w:rsid w:val="001F24D1"/>
    <w:rsid w:val="001F3601"/>
    <w:rsid w:val="00200475"/>
    <w:rsid w:val="00205226"/>
    <w:rsid w:val="0020792B"/>
    <w:rsid w:val="00221F15"/>
    <w:rsid w:val="00221FA4"/>
    <w:rsid w:val="00222437"/>
    <w:rsid w:val="00223449"/>
    <w:rsid w:val="002262E1"/>
    <w:rsid w:val="00256B3E"/>
    <w:rsid w:val="00257215"/>
    <w:rsid w:val="0026264C"/>
    <w:rsid w:val="00265118"/>
    <w:rsid w:val="002802BD"/>
    <w:rsid w:val="002805CA"/>
    <w:rsid w:val="00282E78"/>
    <w:rsid w:val="002977DC"/>
    <w:rsid w:val="00297FAF"/>
    <w:rsid w:val="002A28E4"/>
    <w:rsid w:val="002B1807"/>
    <w:rsid w:val="002C0F3A"/>
    <w:rsid w:val="002C132E"/>
    <w:rsid w:val="002C1842"/>
    <w:rsid w:val="002C5547"/>
    <w:rsid w:val="002D2896"/>
    <w:rsid w:val="002E10BA"/>
    <w:rsid w:val="002E2916"/>
    <w:rsid w:val="002E60B3"/>
    <w:rsid w:val="002F18AC"/>
    <w:rsid w:val="002F3DB4"/>
    <w:rsid w:val="002F3FE8"/>
    <w:rsid w:val="002F4C3B"/>
    <w:rsid w:val="002F6F9D"/>
    <w:rsid w:val="00302015"/>
    <w:rsid w:val="00304F23"/>
    <w:rsid w:val="00307D1A"/>
    <w:rsid w:val="00311C52"/>
    <w:rsid w:val="00313797"/>
    <w:rsid w:val="0031551B"/>
    <w:rsid w:val="00320FB4"/>
    <w:rsid w:val="0032127B"/>
    <w:rsid w:val="00327D5A"/>
    <w:rsid w:val="00337F8E"/>
    <w:rsid w:val="00341473"/>
    <w:rsid w:val="003430C1"/>
    <w:rsid w:val="003438A8"/>
    <w:rsid w:val="00344122"/>
    <w:rsid w:val="00344F82"/>
    <w:rsid w:val="003532A1"/>
    <w:rsid w:val="0035739C"/>
    <w:rsid w:val="00360782"/>
    <w:rsid w:val="003639BA"/>
    <w:rsid w:val="00364D01"/>
    <w:rsid w:val="003679A4"/>
    <w:rsid w:val="0037044C"/>
    <w:rsid w:val="00373730"/>
    <w:rsid w:val="00377E44"/>
    <w:rsid w:val="0038046E"/>
    <w:rsid w:val="0038067F"/>
    <w:rsid w:val="00382487"/>
    <w:rsid w:val="00384DDE"/>
    <w:rsid w:val="003875E3"/>
    <w:rsid w:val="003948D9"/>
    <w:rsid w:val="00394FC1"/>
    <w:rsid w:val="003A11D5"/>
    <w:rsid w:val="003A5885"/>
    <w:rsid w:val="003A653E"/>
    <w:rsid w:val="003B083F"/>
    <w:rsid w:val="003B609D"/>
    <w:rsid w:val="003B6D9D"/>
    <w:rsid w:val="003B758C"/>
    <w:rsid w:val="003C292E"/>
    <w:rsid w:val="003C3B10"/>
    <w:rsid w:val="003C5C38"/>
    <w:rsid w:val="003C646D"/>
    <w:rsid w:val="003C6665"/>
    <w:rsid w:val="003D1B48"/>
    <w:rsid w:val="003D7A6C"/>
    <w:rsid w:val="003E12D5"/>
    <w:rsid w:val="003E4EDC"/>
    <w:rsid w:val="003E50BD"/>
    <w:rsid w:val="003E583C"/>
    <w:rsid w:val="003E6BE9"/>
    <w:rsid w:val="003F04CA"/>
    <w:rsid w:val="003F437B"/>
    <w:rsid w:val="003F4D05"/>
    <w:rsid w:val="00420DE0"/>
    <w:rsid w:val="004230B8"/>
    <w:rsid w:val="00426A5F"/>
    <w:rsid w:val="0044486E"/>
    <w:rsid w:val="00446894"/>
    <w:rsid w:val="004514B6"/>
    <w:rsid w:val="00452B08"/>
    <w:rsid w:val="0045306F"/>
    <w:rsid w:val="0045358B"/>
    <w:rsid w:val="00456356"/>
    <w:rsid w:val="0045753E"/>
    <w:rsid w:val="004630EF"/>
    <w:rsid w:val="004632AD"/>
    <w:rsid w:val="00464187"/>
    <w:rsid w:val="00472227"/>
    <w:rsid w:val="0047351B"/>
    <w:rsid w:val="0047567B"/>
    <w:rsid w:val="004778AA"/>
    <w:rsid w:val="004800A0"/>
    <w:rsid w:val="0048042E"/>
    <w:rsid w:val="00481731"/>
    <w:rsid w:val="0049089A"/>
    <w:rsid w:val="00490A3D"/>
    <w:rsid w:val="00493156"/>
    <w:rsid w:val="00494ED0"/>
    <w:rsid w:val="004A04C0"/>
    <w:rsid w:val="004A6950"/>
    <w:rsid w:val="004B3BCD"/>
    <w:rsid w:val="004C42C8"/>
    <w:rsid w:val="004C5B2C"/>
    <w:rsid w:val="004D45F8"/>
    <w:rsid w:val="004F2D60"/>
    <w:rsid w:val="004F5E69"/>
    <w:rsid w:val="004F7DE0"/>
    <w:rsid w:val="00503084"/>
    <w:rsid w:val="00506FFC"/>
    <w:rsid w:val="00512CA2"/>
    <w:rsid w:val="00517D19"/>
    <w:rsid w:val="005206D6"/>
    <w:rsid w:val="00520DD8"/>
    <w:rsid w:val="00521396"/>
    <w:rsid w:val="00523A66"/>
    <w:rsid w:val="00523AD8"/>
    <w:rsid w:val="00534650"/>
    <w:rsid w:val="0053693F"/>
    <w:rsid w:val="00544693"/>
    <w:rsid w:val="00546BA0"/>
    <w:rsid w:val="00561EBA"/>
    <w:rsid w:val="0057090C"/>
    <w:rsid w:val="00571403"/>
    <w:rsid w:val="005716DC"/>
    <w:rsid w:val="005762A0"/>
    <w:rsid w:val="005769C1"/>
    <w:rsid w:val="005774A6"/>
    <w:rsid w:val="005A495F"/>
    <w:rsid w:val="005A791B"/>
    <w:rsid w:val="005B70B1"/>
    <w:rsid w:val="005B7410"/>
    <w:rsid w:val="005C6444"/>
    <w:rsid w:val="005D10F5"/>
    <w:rsid w:val="005D7891"/>
    <w:rsid w:val="005E02EB"/>
    <w:rsid w:val="005E0D2D"/>
    <w:rsid w:val="005E0F98"/>
    <w:rsid w:val="005E1FEC"/>
    <w:rsid w:val="005E55EF"/>
    <w:rsid w:val="005F09A0"/>
    <w:rsid w:val="005F2886"/>
    <w:rsid w:val="005F75D6"/>
    <w:rsid w:val="005F7CFE"/>
    <w:rsid w:val="00601416"/>
    <w:rsid w:val="00612782"/>
    <w:rsid w:val="0063554A"/>
    <w:rsid w:val="00636338"/>
    <w:rsid w:val="0063759B"/>
    <w:rsid w:val="0064493E"/>
    <w:rsid w:val="0064665F"/>
    <w:rsid w:val="006469F1"/>
    <w:rsid w:val="00647D4E"/>
    <w:rsid w:val="0065093F"/>
    <w:rsid w:val="0065400D"/>
    <w:rsid w:val="006543EE"/>
    <w:rsid w:val="00662611"/>
    <w:rsid w:val="00662698"/>
    <w:rsid w:val="00665191"/>
    <w:rsid w:val="006662C5"/>
    <w:rsid w:val="00671641"/>
    <w:rsid w:val="0067278D"/>
    <w:rsid w:val="0067309E"/>
    <w:rsid w:val="00674AEF"/>
    <w:rsid w:val="0069582B"/>
    <w:rsid w:val="006970A0"/>
    <w:rsid w:val="006A1F88"/>
    <w:rsid w:val="006A2AFC"/>
    <w:rsid w:val="006A3B35"/>
    <w:rsid w:val="006A4069"/>
    <w:rsid w:val="006A5BF0"/>
    <w:rsid w:val="006A7E55"/>
    <w:rsid w:val="006B086B"/>
    <w:rsid w:val="006B7754"/>
    <w:rsid w:val="006D1E5F"/>
    <w:rsid w:val="006D27BC"/>
    <w:rsid w:val="006D320F"/>
    <w:rsid w:val="006D4E84"/>
    <w:rsid w:val="006D5C86"/>
    <w:rsid w:val="006D6FBC"/>
    <w:rsid w:val="006E1342"/>
    <w:rsid w:val="006E2B4C"/>
    <w:rsid w:val="006E3CB6"/>
    <w:rsid w:val="006E462B"/>
    <w:rsid w:val="006E51D9"/>
    <w:rsid w:val="006E6408"/>
    <w:rsid w:val="006E7A0B"/>
    <w:rsid w:val="00701394"/>
    <w:rsid w:val="007041AD"/>
    <w:rsid w:val="00707917"/>
    <w:rsid w:val="00712740"/>
    <w:rsid w:val="007141A9"/>
    <w:rsid w:val="007174A1"/>
    <w:rsid w:val="00746B68"/>
    <w:rsid w:val="00750231"/>
    <w:rsid w:val="0076335C"/>
    <w:rsid w:val="0077310B"/>
    <w:rsid w:val="0077602C"/>
    <w:rsid w:val="007779AD"/>
    <w:rsid w:val="00782EE6"/>
    <w:rsid w:val="007834B6"/>
    <w:rsid w:val="007952D5"/>
    <w:rsid w:val="007957C2"/>
    <w:rsid w:val="007964E8"/>
    <w:rsid w:val="007A6D54"/>
    <w:rsid w:val="007A6DC2"/>
    <w:rsid w:val="007A6EF2"/>
    <w:rsid w:val="007B22F8"/>
    <w:rsid w:val="007B2946"/>
    <w:rsid w:val="007B6903"/>
    <w:rsid w:val="007C0057"/>
    <w:rsid w:val="007C2AA9"/>
    <w:rsid w:val="007C69ED"/>
    <w:rsid w:val="007C6B89"/>
    <w:rsid w:val="007D3DB1"/>
    <w:rsid w:val="007D4D2F"/>
    <w:rsid w:val="007E1790"/>
    <w:rsid w:val="007E21B8"/>
    <w:rsid w:val="007E58EA"/>
    <w:rsid w:val="007E5C34"/>
    <w:rsid w:val="008039DA"/>
    <w:rsid w:val="00805F18"/>
    <w:rsid w:val="008067E3"/>
    <w:rsid w:val="00806E61"/>
    <w:rsid w:val="00810357"/>
    <w:rsid w:val="00811DCD"/>
    <w:rsid w:val="00812087"/>
    <w:rsid w:val="00814D21"/>
    <w:rsid w:val="00816C79"/>
    <w:rsid w:val="0082325B"/>
    <w:rsid w:val="00830799"/>
    <w:rsid w:val="00830B2F"/>
    <w:rsid w:val="00830B6D"/>
    <w:rsid w:val="00835051"/>
    <w:rsid w:val="0084069B"/>
    <w:rsid w:val="00840E6E"/>
    <w:rsid w:val="0085214C"/>
    <w:rsid w:val="008532AC"/>
    <w:rsid w:val="00857D08"/>
    <w:rsid w:val="00862479"/>
    <w:rsid w:val="00862B38"/>
    <w:rsid w:val="00863B91"/>
    <w:rsid w:val="00877612"/>
    <w:rsid w:val="00884148"/>
    <w:rsid w:val="00890C1F"/>
    <w:rsid w:val="00892A93"/>
    <w:rsid w:val="00894BCC"/>
    <w:rsid w:val="00894F23"/>
    <w:rsid w:val="008A1420"/>
    <w:rsid w:val="008A335F"/>
    <w:rsid w:val="008A4611"/>
    <w:rsid w:val="008A4DA8"/>
    <w:rsid w:val="008A7D61"/>
    <w:rsid w:val="008A7EA2"/>
    <w:rsid w:val="008B213A"/>
    <w:rsid w:val="008B3E12"/>
    <w:rsid w:val="008B4F12"/>
    <w:rsid w:val="008C60DD"/>
    <w:rsid w:val="008C7F96"/>
    <w:rsid w:val="008D0091"/>
    <w:rsid w:val="008E78A2"/>
    <w:rsid w:val="008F3295"/>
    <w:rsid w:val="008F5FE2"/>
    <w:rsid w:val="008F7185"/>
    <w:rsid w:val="008F72C7"/>
    <w:rsid w:val="009037F8"/>
    <w:rsid w:val="009054A4"/>
    <w:rsid w:val="009055DA"/>
    <w:rsid w:val="009167EF"/>
    <w:rsid w:val="009219DE"/>
    <w:rsid w:val="00921ADD"/>
    <w:rsid w:val="009247A4"/>
    <w:rsid w:val="009258D1"/>
    <w:rsid w:val="00926392"/>
    <w:rsid w:val="00932FFF"/>
    <w:rsid w:val="00935F1E"/>
    <w:rsid w:val="00942D8F"/>
    <w:rsid w:val="00945A9E"/>
    <w:rsid w:val="009511DD"/>
    <w:rsid w:val="00960248"/>
    <w:rsid w:val="00961C65"/>
    <w:rsid w:val="0096248B"/>
    <w:rsid w:val="0096384D"/>
    <w:rsid w:val="00964601"/>
    <w:rsid w:val="00964625"/>
    <w:rsid w:val="00972A49"/>
    <w:rsid w:val="00975F98"/>
    <w:rsid w:val="00977818"/>
    <w:rsid w:val="00981F06"/>
    <w:rsid w:val="00982EA1"/>
    <w:rsid w:val="00983503"/>
    <w:rsid w:val="009840B7"/>
    <w:rsid w:val="009940AF"/>
    <w:rsid w:val="009949A9"/>
    <w:rsid w:val="009A3FDF"/>
    <w:rsid w:val="009A4F27"/>
    <w:rsid w:val="009A5B4B"/>
    <w:rsid w:val="009A642F"/>
    <w:rsid w:val="009A6DA7"/>
    <w:rsid w:val="009A7056"/>
    <w:rsid w:val="009B0FA6"/>
    <w:rsid w:val="009B1378"/>
    <w:rsid w:val="009C4CC8"/>
    <w:rsid w:val="009C6E54"/>
    <w:rsid w:val="009C6EF3"/>
    <w:rsid w:val="009C7CEB"/>
    <w:rsid w:val="009D05E0"/>
    <w:rsid w:val="009D0668"/>
    <w:rsid w:val="009D0C6B"/>
    <w:rsid w:val="009E7DBE"/>
    <w:rsid w:val="009F7C7A"/>
    <w:rsid w:val="00A003FB"/>
    <w:rsid w:val="00A010AC"/>
    <w:rsid w:val="00A04867"/>
    <w:rsid w:val="00A12859"/>
    <w:rsid w:val="00A1420C"/>
    <w:rsid w:val="00A1557D"/>
    <w:rsid w:val="00A16418"/>
    <w:rsid w:val="00A21406"/>
    <w:rsid w:val="00A22655"/>
    <w:rsid w:val="00A3000C"/>
    <w:rsid w:val="00A308DB"/>
    <w:rsid w:val="00A331FB"/>
    <w:rsid w:val="00A332ED"/>
    <w:rsid w:val="00A47B97"/>
    <w:rsid w:val="00A513DA"/>
    <w:rsid w:val="00A60020"/>
    <w:rsid w:val="00A723C8"/>
    <w:rsid w:val="00A74AC6"/>
    <w:rsid w:val="00A7585A"/>
    <w:rsid w:val="00A7769B"/>
    <w:rsid w:val="00A81951"/>
    <w:rsid w:val="00A83848"/>
    <w:rsid w:val="00A84172"/>
    <w:rsid w:val="00A9045E"/>
    <w:rsid w:val="00A93840"/>
    <w:rsid w:val="00A954B1"/>
    <w:rsid w:val="00AA1692"/>
    <w:rsid w:val="00AA4095"/>
    <w:rsid w:val="00AA41FB"/>
    <w:rsid w:val="00AA5024"/>
    <w:rsid w:val="00AA7305"/>
    <w:rsid w:val="00AB2A3B"/>
    <w:rsid w:val="00AC06F1"/>
    <w:rsid w:val="00AD11E3"/>
    <w:rsid w:val="00AD2125"/>
    <w:rsid w:val="00AD7900"/>
    <w:rsid w:val="00AD7F72"/>
    <w:rsid w:val="00AE1246"/>
    <w:rsid w:val="00AF2192"/>
    <w:rsid w:val="00AF5BC3"/>
    <w:rsid w:val="00AF74E2"/>
    <w:rsid w:val="00B06748"/>
    <w:rsid w:val="00B06A51"/>
    <w:rsid w:val="00B11EB4"/>
    <w:rsid w:val="00B153E2"/>
    <w:rsid w:val="00B21024"/>
    <w:rsid w:val="00B2142A"/>
    <w:rsid w:val="00B21647"/>
    <w:rsid w:val="00B22106"/>
    <w:rsid w:val="00B24253"/>
    <w:rsid w:val="00B27BFA"/>
    <w:rsid w:val="00B30758"/>
    <w:rsid w:val="00B3165E"/>
    <w:rsid w:val="00B316C9"/>
    <w:rsid w:val="00B32578"/>
    <w:rsid w:val="00B37119"/>
    <w:rsid w:val="00B37566"/>
    <w:rsid w:val="00B42990"/>
    <w:rsid w:val="00B459EE"/>
    <w:rsid w:val="00B50848"/>
    <w:rsid w:val="00B5375B"/>
    <w:rsid w:val="00B63171"/>
    <w:rsid w:val="00B818DD"/>
    <w:rsid w:val="00B81BA6"/>
    <w:rsid w:val="00B83172"/>
    <w:rsid w:val="00B86C15"/>
    <w:rsid w:val="00B8721E"/>
    <w:rsid w:val="00B914D3"/>
    <w:rsid w:val="00B92E37"/>
    <w:rsid w:val="00B9378A"/>
    <w:rsid w:val="00B9610B"/>
    <w:rsid w:val="00B975E9"/>
    <w:rsid w:val="00BA3539"/>
    <w:rsid w:val="00BA465A"/>
    <w:rsid w:val="00BB1F54"/>
    <w:rsid w:val="00BB574B"/>
    <w:rsid w:val="00BC2379"/>
    <w:rsid w:val="00BC4CAC"/>
    <w:rsid w:val="00BD510D"/>
    <w:rsid w:val="00BD51A4"/>
    <w:rsid w:val="00BD7243"/>
    <w:rsid w:val="00BE02BD"/>
    <w:rsid w:val="00BE473B"/>
    <w:rsid w:val="00BE5DD0"/>
    <w:rsid w:val="00BF24F3"/>
    <w:rsid w:val="00BF7D4E"/>
    <w:rsid w:val="00C0439B"/>
    <w:rsid w:val="00C051D0"/>
    <w:rsid w:val="00C06688"/>
    <w:rsid w:val="00C06F5B"/>
    <w:rsid w:val="00C163E9"/>
    <w:rsid w:val="00C171F0"/>
    <w:rsid w:val="00C20BE4"/>
    <w:rsid w:val="00C22494"/>
    <w:rsid w:val="00C23AE1"/>
    <w:rsid w:val="00C306D5"/>
    <w:rsid w:val="00C32607"/>
    <w:rsid w:val="00C35DF1"/>
    <w:rsid w:val="00C40272"/>
    <w:rsid w:val="00C407C1"/>
    <w:rsid w:val="00C45D74"/>
    <w:rsid w:val="00C4602C"/>
    <w:rsid w:val="00C4624D"/>
    <w:rsid w:val="00C635A0"/>
    <w:rsid w:val="00C63694"/>
    <w:rsid w:val="00C63711"/>
    <w:rsid w:val="00C6593B"/>
    <w:rsid w:val="00C67FC9"/>
    <w:rsid w:val="00C72667"/>
    <w:rsid w:val="00C75246"/>
    <w:rsid w:val="00C7698B"/>
    <w:rsid w:val="00C80488"/>
    <w:rsid w:val="00C845C6"/>
    <w:rsid w:val="00C85CB4"/>
    <w:rsid w:val="00C87B35"/>
    <w:rsid w:val="00CA1F08"/>
    <w:rsid w:val="00CA73EB"/>
    <w:rsid w:val="00CB0E95"/>
    <w:rsid w:val="00CB4A31"/>
    <w:rsid w:val="00CC04C4"/>
    <w:rsid w:val="00CD07E4"/>
    <w:rsid w:val="00CD6A58"/>
    <w:rsid w:val="00CE3ADF"/>
    <w:rsid w:val="00CE3B06"/>
    <w:rsid w:val="00CF0BEB"/>
    <w:rsid w:val="00CF1268"/>
    <w:rsid w:val="00CF1529"/>
    <w:rsid w:val="00CF57FE"/>
    <w:rsid w:val="00D007D6"/>
    <w:rsid w:val="00D16868"/>
    <w:rsid w:val="00D210A2"/>
    <w:rsid w:val="00D22493"/>
    <w:rsid w:val="00D25236"/>
    <w:rsid w:val="00D25568"/>
    <w:rsid w:val="00D31B36"/>
    <w:rsid w:val="00D31C50"/>
    <w:rsid w:val="00D35C34"/>
    <w:rsid w:val="00D478A1"/>
    <w:rsid w:val="00D5039A"/>
    <w:rsid w:val="00D5177E"/>
    <w:rsid w:val="00D605BF"/>
    <w:rsid w:val="00D63D23"/>
    <w:rsid w:val="00D66BCE"/>
    <w:rsid w:val="00D73137"/>
    <w:rsid w:val="00D75CFE"/>
    <w:rsid w:val="00D8619D"/>
    <w:rsid w:val="00D86FA5"/>
    <w:rsid w:val="00D905CC"/>
    <w:rsid w:val="00D919BC"/>
    <w:rsid w:val="00D920AA"/>
    <w:rsid w:val="00D94F55"/>
    <w:rsid w:val="00DA4828"/>
    <w:rsid w:val="00DA4C6F"/>
    <w:rsid w:val="00DA6653"/>
    <w:rsid w:val="00DB089F"/>
    <w:rsid w:val="00DB5F6F"/>
    <w:rsid w:val="00DB69D5"/>
    <w:rsid w:val="00DC0F6D"/>
    <w:rsid w:val="00DC198A"/>
    <w:rsid w:val="00DC2CE7"/>
    <w:rsid w:val="00DD0601"/>
    <w:rsid w:val="00DD2338"/>
    <w:rsid w:val="00DD25E8"/>
    <w:rsid w:val="00DD375D"/>
    <w:rsid w:val="00DD7B8D"/>
    <w:rsid w:val="00DE257D"/>
    <w:rsid w:val="00DE48E4"/>
    <w:rsid w:val="00DF12FC"/>
    <w:rsid w:val="00DF25EB"/>
    <w:rsid w:val="00DF278D"/>
    <w:rsid w:val="00DF5BAB"/>
    <w:rsid w:val="00DF6E68"/>
    <w:rsid w:val="00E04289"/>
    <w:rsid w:val="00E0517D"/>
    <w:rsid w:val="00E13506"/>
    <w:rsid w:val="00E20C0B"/>
    <w:rsid w:val="00E2259F"/>
    <w:rsid w:val="00E231A1"/>
    <w:rsid w:val="00E306A1"/>
    <w:rsid w:val="00E32286"/>
    <w:rsid w:val="00E32648"/>
    <w:rsid w:val="00E35549"/>
    <w:rsid w:val="00E35561"/>
    <w:rsid w:val="00E404D7"/>
    <w:rsid w:val="00E42A7C"/>
    <w:rsid w:val="00E4326B"/>
    <w:rsid w:val="00E44893"/>
    <w:rsid w:val="00E46D54"/>
    <w:rsid w:val="00E47AE6"/>
    <w:rsid w:val="00E53EE0"/>
    <w:rsid w:val="00E6051E"/>
    <w:rsid w:val="00E625C7"/>
    <w:rsid w:val="00E62BE9"/>
    <w:rsid w:val="00E62C61"/>
    <w:rsid w:val="00E70F28"/>
    <w:rsid w:val="00E7112C"/>
    <w:rsid w:val="00E712A9"/>
    <w:rsid w:val="00E726C2"/>
    <w:rsid w:val="00E732F8"/>
    <w:rsid w:val="00E73C07"/>
    <w:rsid w:val="00E747C5"/>
    <w:rsid w:val="00E75494"/>
    <w:rsid w:val="00E77033"/>
    <w:rsid w:val="00E81B0C"/>
    <w:rsid w:val="00E8235D"/>
    <w:rsid w:val="00E83BA6"/>
    <w:rsid w:val="00E868E8"/>
    <w:rsid w:val="00E91A99"/>
    <w:rsid w:val="00E95B47"/>
    <w:rsid w:val="00E9622A"/>
    <w:rsid w:val="00E9664D"/>
    <w:rsid w:val="00EA1E4F"/>
    <w:rsid w:val="00EA2CD1"/>
    <w:rsid w:val="00EA4D58"/>
    <w:rsid w:val="00EA7403"/>
    <w:rsid w:val="00EB0BA0"/>
    <w:rsid w:val="00EB3241"/>
    <w:rsid w:val="00EC2E01"/>
    <w:rsid w:val="00EC5A7F"/>
    <w:rsid w:val="00ED03F4"/>
    <w:rsid w:val="00ED09E3"/>
    <w:rsid w:val="00ED1135"/>
    <w:rsid w:val="00ED61AB"/>
    <w:rsid w:val="00ED6CCA"/>
    <w:rsid w:val="00EE1DC0"/>
    <w:rsid w:val="00EE6CED"/>
    <w:rsid w:val="00EF066C"/>
    <w:rsid w:val="00EF0ABE"/>
    <w:rsid w:val="00EF0E62"/>
    <w:rsid w:val="00EF2C00"/>
    <w:rsid w:val="00EF4B5C"/>
    <w:rsid w:val="00F02076"/>
    <w:rsid w:val="00F0533C"/>
    <w:rsid w:val="00F10A99"/>
    <w:rsid w:val="00F1135D"/>
    <w:rsid w:val="00F15AA0"/>
    <w:rsid w:val="00F16B82"/>
    <w:rsid w:val="00F17CFC"/>
    <w:rsid w:val="00F21100"/>
    <w:rsid w:val="00F2174A"/>
    <w:rsid w:val="00F2305B"/>
    <w:rsid w:val="00F2380F"/>
    <w:rsid w:val="00F25772"/>
    <w:rsid w:val="00F306F3"/>
    <w:rsid w:val="00F30E3C"/>
    <w:rsid w:val="00F3545D"/>
    <w:rsid w:val="00F35D4E"/>
    <w:rsid w:val="00F46D27"/>
    <w:rsid w:val="00F479BD"/>
    <w:rsid w:val="00F54EA8"/>
    <w:rsid w:val="00F55054"/>
    <w:rsid w:val="00F62836"/>
    <w:rsid w:val="00F63B70"/>
    <w:rsid w:val="00F7051C"/>
    <w:rsid w:val="00F710E0"/>
    <w:rsid w:val="00F825C8"/>
    <w:rsid w:val="00F83F5C"/>
    <w:rsid w:val="00F84BFB"/>
    <w:rsid w:val="00F84D3C"/>
    <w:rsid w:val="00F84E3D"/>
    <w:rsid w:val="00F86732"/>
    <w:rsid w:val="00F97228"/>
    <w:rsid w:val="00FA637A"/>
    <w:rsid w:val="00FB0527"/>
    <w:rsid w:val="00FB5CDF"/>
    <w:rsid w:val="00FC3BCB"/>
    <w:rsid w:val="00FC6536"/>
    <w:rsid w:val="00FC6938"/>
    <w:rsid w:val="00FD22C0"/>
    <w:rsid w:val="00FD3A3D"/>
    <w:rsid w:val="00FE0A00"/>
    <w:rsid w:val="00FE2B79"/>
    <w:rsid w:val="00FE5390"/>
    <w:rsid w:val="00FE6D9D"/>
    <w:rsid w:val="00FE7461"/>
    <w:rsid w:val="00FF0330"/>
    <w:rsid w:val="00FF2D09"/>
    <w:rsid w:val="00FF5567"/>
    <w:rsid w:val="04BC36E3"/>
    <w:rsid w:val="065105BB"/>
    <w:rsid w:val="07805F5A"/>
    <w:rsid w:val="0D993917"/>
    <w:rsid w:val="0F7705F5"/>
    <w:rsid w:val="103F10FB"/>
    <w:rsid w:val="11193587"/>
    <w:rsid w:val="12323B41"/>
    <w:rsid w:val="136C20DF"/>
    <w:rsid w:val="13B63692"/>
    <w:rsid w:val="145D5ECD"/>
    <w:rsid w:val="1758146E"/>
    <w:rsid w:val="1FFB69C4"/>
    <w:rsid w:val="20765D31"/>
    <w:rsid w:val="225A2389"/>
    <w:rsid w:val="238552A5"/>
    <w:rsid w:val="23CB09A8"/>
    <w:rsid w:val="2B4A74AB"/>
    <w:rsid w:val="2DF65DFC"/>
    <w:rsid w:val="2F477761"/>
    <w:rsid w:val="2F743A4A"/>
    <w:rsid w:val="3013272E"/>
    <w:rsid w:val="354F3741"/>
    <w:rsid w:val="370E728D"/>
    <w:rsid w:val="3B030BCF"/>
    <w:rsid w:val="3D863B0C"/>
    <w:rsid w:val="3DAE5988"/>
    <w:rsid w:val="3E9020CC"/>
    <w:rsid w:val="3F744EE9"/>
    <w:rsid w:val="3FCE059A"/>
    <w:rsid w:val="42A247E0"/>
    <w:rsid w:val="43EE4EAE"/>
    <w:rsid w:val="499D659C"/>
    <w:rsid w:val="4AC42881"/>
    <w:rsid w:val="4FAB5A89"/>
    <w:rsid w:val="542251BD"/>
    <w:rsid w:val="55B53003"/>
    <w:rsid w:val="55BD2A1B"/>
    <w:rsid w:val="56F36DC2"/>
    <w:rsid w:val="5CA5048A"/>
    <w:rsid w:val="5D9B2AAA"/>
    <w:rsid w:val="5FE8503C"/>
    <w:rsid w:val="60AF4A72"/>
    <w:rsid w:val="61CE62C9"/>
    <w:rsid w:val="649B411C"/>
    <w:rsid w:val="6998275F"/>
    <w:rsid w:val="6B4D1D1D"/>
    <w:rsid w:val="6BAD7DE1"/>
    <w:rsid w:val="6BF025D5"/>
    <w:rsid w:val="6EDB08FC"/>
    <w:rsid w:val="6F900749"/>
    <w:rsid w:val="729F36A6"/>
    <w:rsid w:val="7585596C"/>
    <w:rsid w:val="774A3E9E"/>
    <w:rsid w:val="78A61C03"/>
    <w:rsid w:val="78D80884"/>
    <w:rsid w:val="7C5D0EFE"/>
    <w:rsid w:val="7C8F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link w:val="15"/>
    <w:qFormat/>
    <w:uiPriority w:val="0"/>
    <w:rPr>
      <w:sz w:val="18"/>
      <w:szCs w:val="18"/>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7"/>
    <w:qFormat/>
    <w:uiPriority w:val="99"/>
    <w:pP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7">
    <w:name w:val="annotation subject"/>
    <w:basedOn w:val="2"/>
    <w:next w:val="2"/>
    <w:link w:val="18"/>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qFormat/>
    <w:uiPriority w:val="0"/>
    <w:rPr>
      <w:color w:val="0000FF"/>
      <w:u w:val="single"/>
    </w:rPr>
  </w:style>
  <w:style w:type="character" w:styleId="13">
    <w:name w:val="annotation reference"/>
    <w:qFormat/>
    <w:uiPriority w:val="0"/>
    <w:rPr>
      <w:sz w:val="21"/>
      <w:szCs w:val="21"/>
    </w:rPr>
  </w:style>
  <w:style w:type="character" w:customStyle="1" w:styleId="14">
    <w:name w:val="批注文字 字符1"/>
    <w:link w:val="2"/>
    <w:qFormat/>
    <w:uiPriority w:val="0"/>
    <w:rPr>
      <w:kern w:val="2"/>
      <w:sz w:val="21"/>
      <w:szCs w:val="24"/>
    </w:rPr>
  </w:style>
  <w:style w:type="character" w:customStyle="1" w:styleId="15">
    <w:name w:val="批注框文本 字符"/>
    <w:link w:val="3"/>
    <w:qFormat/>
    <w:uiPriority w:val="0"/>
    <w:rPr>
      <w:kern w:val="2"/>
      <w:sz w:val="18"/>
      <w:szCs w:val="18"/>
    </w:rPr>
  </w:style>
  <w:style w:type="character" w:customStyle="1" w:styleId="16">
    <w:name w:val="页脚 字符"/>
    <w:link w:val="4"/>
    <w:qFormat/>
    <w:uiPriority w:val="99"/>
    <w:rPr>
      <w:kern w:val="2"/>
      <w:sz w:val="18"/>
      <w:szCs w:val="18"/>
    </w:rPr>
  </w:style>
  <w:style w:type="character" w:customStyle="1" w:styleId="17">
    <w:name w:val="页眉 字符"/>
    <w:link w:val="5"/>
    <w:qFormat/>
    <w:uiPriority w:val="99"/>
    <w:rPr>
      <w:kern w:val="2"/>
      <w:sz w:val="18"/>
      <w:szCs w:val="18"/>
    </w:rPr>
  </w:style>
  <w:style w:type="character" w:customStyle="1" w:styleId="18">
    <w:name w:val="批注主题 字符"/>
    <w:link w:val="7"/>
    <w:qFormat/>
    <w:uiPriority w:val="0"/>
    <w:rPr>
      <w:b/>
      <w:bCs/>
      <w:kern w:val="2"/>
      <w:sz w:val="21"/>
      <w:szCs w:val="24"/>
    </w:rPr>
  </w:style>
  <w:style w:type="character" w:customStyle="1" w:styleId="19">
    <w:name w:val="批注文字 字符"/>
    <w:qFormat/>
    <w:uiPriority w:val="0"/>
    <w:rPr>
      <w:kern w:val="2"/>
      <w:sz w:val="21"/>
      <w:szCs w:val="24"/>
    </w:rPr>
  </w:style>
  <w:style w:type="paragraph" w:customStyle="1" w:styleId="20">
    <w:name w:val="列出段落1"/>
    <w:basedOn w:val="1"/>
    <w:qFormat/>
    <w:uiPriority w:val="34"/>
    <w:pPr>
      <w:ind w:firstLine="420" w:firstLineChars="200"/>
    </w:pPr>
    <w:rPr>
      <w:rFonts w:ascii="Calibri" w:hAnsi="Calibri"/>
      <w:szCs w:val="22"/>
    </w:rPr>
  </w:style>
  <w:style w:type="paragraph" w:customStyle="1" w:styleId="21">
    <w:name w:val="修订1"/>
    <w:hidden/>
    <w:semiHidden/>
    <w:qFormat/>
    <w:uiPriority w:val="99"/>
    <w:rPr>
      <w:rFonts w:ascii="Times New Roman" w:hAnsi="Times New Roman" w:eastAsia="宋体" w:cs="Times New Roman"/>
      <w:kern w:val="2"/>
      <w:sz w:val="21"/>
      <w:szCs w:val="24"/>
      <w:lang w:val="en-US" w:eastAsia="zh-CN" w:bidi="ar-SA"/>
    </w:rPr>
  </w:style>
  <w:style w:type="paragraph" w:styleId="22">
    <w:name w:val="List Paragraph"/>
    <w:basedOn w:val="1"/>
    <w:qFormat/>
    <w:uiPriority w:val="99"/>
    <w:pPr>
      <w:ind w:firstLine="420" w:firstLineChars="200"/>
    </w:pPr>
  </w:style>
  <w:style w:type="paragraph" w:customStyle="1" w:styleId="23">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24">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ATL</Company>
  <Pages>9</Pages>
  <Words>3976</Words>
  <Characters>4246</Characters>
  <Lines>164</Lines>
  <Paragraphs>153</Paragraphs>
  <TotalTime>17</TotalTime>
  <ScaleCrop>false</ScaleCrop>
  <LinksUpToDate>false</LinksUpToDate>
  <CharactersWithSpaces>4423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2025-07-11T04:48:00Z</dcterms:created>
  <dc:creator>nd-dc</dc:creator>
  <cp:lastModifiedBy>WPS_1651196735</cp:lastModifiedBy>
  <cp:lastPrinted>2012-11-20T06:56:00Z</cp:lastPrinted>
  <dcterms:modified xsi:type="dcterms:W3CDTF">2025-12-05T06:32:51Z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英文描述">
    <vt:lpwstr>Environmental System Instructio</vt:lpwstr>
  </property>
  <property fmtid="{D5CDD505-2E9C-101B-9397-08002B2CF9AE}" pid="3" name="责任发行部门">
    <vt:lpwstr>QA/EHS</vt:lpwstr>
  </property>
  <property fmtid="{D5CDD505-2E9C-101B-9397-08002B2CF9AE}" pid="4" name="ContentType">
    <vt:lpwstr>文档</vt:lpwstr>
  </property>
  <property fmtid="{D5CDD505-2E9C-101B-9397-08002B2CF9AE}" pid="5" name="等级">
    <vt:lpwstr>3</vt:lpwstr>
  </property>
  <property fmtid="{D5CDD505-2E9C-101B-9397-08002B2CF9AE}" pid="6" name="中文描述">
    <vt:lpwstr>环境系统工作指示</vt:lpwstr>
  </property>
  <property fmtid="{D5CDD505-2E9C-101B-9397-08002B2CF9AE}" pid="7" name="_dlc_DocId">
    <vt:lpwstr>DMXSXD6E3VUJ-451-587</vt:lpwstr>
  </property>
  <property fmtid="{D5CDD505-2E9C-101B-9397-08002B2CF9AE}" pid="8" name="_dlc_DocIdItemGuid">
    <vt:lpwstr>996f1445-df73-4887-bd1d-8bfe70332cfc</vt:lpwstr>
  </property>
  <property fmtid="{D5CDD505-2E9C-101B-9397-08002B2CF9AE}" pid="9" name="_dlc_DocIdUrl">
    <vt:lpwstr>http://www.catlinfo.com:83/Depts/SLS/_layouts/15/DocIdRedir.aspx?ID=DMXSXD6E3VUJ-451-587, DMXSXD6E3VUJ-451-587</vt:lpwstr>
  </property>
  <property fmtid="{D5CDD505-2E9C-101B-9397-08002B2CF9AE}" pid="10" name="KSOProductBuildVer">
    <vt:lpwstr>2052-12.1.0.23542</vt:lpwstr>
  </property>
  <property fmtid="{D5CDD505-2E9C-101B-9397-08002B2CF9AE}" pid="11" name="ICV">
    <vt:lpwstr>CA8EBB74FD154D559E62368BDBF62A82_13</vt:lpwstr>
  </property>
  <property fmtid="{D5CDD505-2E9C-101B-9397-08002B2CF9AE}" pid="12" name="KSOTemplateDocerSaveRecord">
    <vt:lpwstr>eyJoZGlkIjoiNzAwOWVjMzI3YWQwMzZjZTdlZTk5ZTU0MjE3NjdmN2YiLCJ1c2VySWQiOiIxMzYyODUzMDA3In0=</vt:lpwstr>
  </property>
</Properties>
</file>