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88F57">
      <w:pPr>
        <w:spacing w:line="242" w:lineRule="auto"/>
        <w:rPr>
          <w:rFonts w:ascii="Arial"/>
          <w:sz w:val="21"/>
        </w:rPr>
      </w:pPr>
    </w:p>
    <w:p w14:paraId="3FB260BA">
      <w:pPr>
        <w:spacing w:line="243" w:lineRule="auto"/>
        <w:rPr>
          <w:rFonts w:ascii="Arial"/>
          <w:sz w:val="21"/>
        </w:rPr>
      </w:pPr>
    </w:p>
    <w:p w14:paraId="2934238F">
      <w:pPr>
        <w:pStyle w:val="2"/>
        <w:spacing w:before="84" w:line="219" w:lineRule="auto"/>
        <w:ind w:left="4186"/>
        <w:rPr>
          <w:sz w:val="26"/>
          <w:szCs w:val="26"/>
        </w:rPr>
      </w:pPr>
      <w:r>
        <w:rPr>
          <w:sz w:val="26"/>
          <w:szCs w:val="26"/>
        </w:rPr>
        <w:t>签订日期：2026年</w:t>
      </w:r>
      <w:r>
        <w:rPr>
          <w:rFonts w:hint="eastAsia"/>
          <w:sz w:val="26"/>
          <w:szCs w:val="26"/>
          <w:lang w:val="en-US" w:eastAsia="zh-CN"/>
        </w:rPr>
        <w:t xml:space="preserve"> </w:t>
      </w:r>
      <w:r>
        <w:rPr>
          <w:rFonts w:hint="eastAsia"/>
          <w:spacing w:val="61"/>
          <w:sz w:val="26"/>
          <w:szCs w:val="26"/>
          <w:u w:val="dotted" w:color="auto"/>
          <w:lang w:val="en-US" w:eastAsia="zh-CN"/>
        </w:rPr>
        <w:t>5</w:t>
      </w:r>
      <w:r>
        <w:rPr>
          <w:spacing w:val="-120"/>
          <w:sz w:val="26"/>
          <w:szCs w:val="26"/>
        </w:rPr>
        <w:t xml:space="preserve"> </w:t>
      </w:r>
      <w:r>
        <w:rPr>
          <w:sz w:val="26"/>
          <w:szCs w:val="26"/>
        </w:rPr>
        <w:t>月</w:t>
      </w:r>
      <w:r>
        <w:rPr>
          <w:spacing w:val="-43"/>
          <w:sz w:val="26"/>
          <w:szCs w:val="26"/>
        </w:rPr>
        <w:t xml:space="preserve"> </w:t>
      </w:r>
      <w:r>
        <w:rPr>
          <w:rFonts w:hint="eastAsia"/>
          <w:sz w:val="26"/>
          <w:szCs w:val="26"/>
          <w:u w:val="dotted" w:color="auto"/>
          <w:lang w:val="en-US" w:eastAsia="zh-CN"/>
        </w:rPr>
        <w:t>14</w:t>
      </w:r>
      <w:r>
        <w:rPr>
          <w:sz w:val="26"/>
          <w:szCs w:val="26"/>
        </w:rPr>
        <w:t>日</w:t>
      </w:r>
    </w:p>
    <w:p w14:paraId="09D8F0E1">
      <w:pPr>
        <w:pStyle w:val="2"/>
        <w:spacing w:before="164" w:line="220" w:lineRule="auto"/>
        <w:ind w:left="2182"/>
        <w:rPr>
          <w:sz w:val="48"/>
          <w:szCs w:val="48"/>
        </w:rPr>
      </w:pPr>
      <w:r>
        <w:rPr>
          <w:b/>
          <w:bCs/>
          <w:spacing w:val="-47"/>
          <w:sz w:val="48"/>
          <w:szCs w:val="48"/>
        </w:rPr>
        <w:t>危险废物处置合同</w:t>
      </w:r>
    </w:p>
    <w:p w14:paraId="4364C6DC">
      <w:pPr>
        <w:pStyle w:val="2"/>
        <w:spacing w:before="22" w:line="219" w:lineRule="auto"/>
        <w:ind w:left="686"/>
        <w:rPr>
          <w:sz w:val="26"/>
          <w:szCs w:val="26"/>
        </w:rPr>
      </w:pPr>
      <w:r>
        <w:rPr>
          <w:spacing w:val="-15"/>
          <w:sz w:val="26"/>
          <w:szCs w:val="26"/>
        </w:rPr>
        <w:t>甲方：吉林省高深环保科技有限公司</w:t>
      </w:r>
    </w:p>
    <w:p w14:paraId="617A815A">
      <w:pPr>
        <w:spacing w:line="272" w:lineRule="auto"/>
        <w:rPr>
          <w:rFonts w:ascii="Arial"/>
          <w:sz w:val="21"/>
        </w:rPr>
      </w:pPr>
    </w:p>
    <w:p w14:paraId="30F689FD">
      <w:pPr>
        <w:pStyle w:val="2"/>
        <w:spacing w:before="22" w:line="219" w:lineRule="auto"/>
        <w:ind w:left="686"/>
        <w:rPr>
          <w:rFonts w:hint="default"/>
          <w:spacing w:val="-15"/>
          <w:sz w:val="26"/>
          <w:szCs w:val="26"/>
          <w:lang w:val="en-US" w:eastAsia="zh-CN"/>
        </w:rPr>
      </w:pPr>
      <w:r>
        <w:rPr>
          <w:spacing w:val="-15"/>
          <w:sz w:val="26"/>
          <w:szCs w:val="26"/>
        </w:rPr>
        <w:t>乙方：</w:t>
      </w:r>
      <w:r>
        <w:rPr>
          <w:rFonts w:hint="eastAsia"/>
          <w:spacing w:val="-15"/>
          <w:sz w:val="26"/>
          <w:szCs w:val="26"/>
          <w:lang w:val="en-US" w:eastAsia="zh-CN"/>
        </w:rPr>
        <w:t>宁家（长春）汽车服务有限公司</w:t>
      </w:r>
    </w:p>
    <w:p w14:paraId="3B1EE34B">
      <w:pPr>
        <w:pStyle w:val="2"/>
        <w:spacing w:before="70" w:line="314" w:lineRule="auto"/>
        <w:ind w:left="156" w:right="624" w:firstLine="420"/>
        <w:rPr>
          <w:sz w:val="23"/>
          <w:szCs w:val="23"/>
        </w:rPr>
      </w:pPr>
      <w:r>
        <w:rPr>
          <w:spacing w:val="-15"/>
          <w:sz w:val="23"/>
          <w:szCs w:val="23"/>
        </w:rPr>
        <w:t>一、根据《中华人民共和国民法典》《中华人民共和国环境保护法》及相关</w:t>
      </w:r>
      <w:r>
        <w:rPr>
          <w:spacing w:val="14"/>
          <w:sz w:val="23"/>
          <w:szCs w:val="23"/>
        </w:rPr>
        <w:t xml:space="preserve"> </w:t>
      </w:r>
      <w:r>
        <w:rPr>
          <w:spacing w:val="-15"/>
          <w:sz w:val="23"/>
          <w:szCs w:val="23"/>
        </w:rPr>
        <w:t>配套法律规定，甲方接受乙方委托负责处置乙方在生产、经营过程中所产生的固</w:t>
      </w:r>
      <w:r>
        <w:rPr>
          <w:spacing w:val="16"/>
          <w:sz w:val="23"/>
          <w:szCs w:val="23"/>
        </w:rPr>
        <w:t xml:space="preserve"> </w:t>
      </w:r>
      <w:r>
        <w:rPr>
          <w:spacing w:val="-15"/>
          <w:sz w:val="23"/>
          <w:szCs w:val="23"/>
        </w:rPr>
        <w:t>体、液体危险废物，甲、乙双方为了明确各自所负责任及义务，在符合法律法规</w:t>
      </w:r>
      <w:r>
        <w:rPr>
          <w:spacing w:val="3"/>
          <w:sz w:val="23"/>
          <w:szCs w:val="23"/>
        </w:rPr>
        <w:t xml:space="preserve"> </w:t>
      </w:r>
      <w:r>
        <w:rPr>
          <w:spacing w:val="-14"/>
          <w:sz w:val="23"/>
          <w:szCs w:val="23"/>
        </w:rPr>
        <w:t>的基础上达成如下协议，以兹双方共同遵守：</w:t>
      </w:r>
    </w:p>
    <w:p w14:paraId="11EA82AE">
      <w:pPr>
        <w:pStyle w:val="2"/>
        <w:spacing w:before="97" w:line="225" w:lineRule="auto"/>
        <w:ind w:left="156" w:right="635" w:firstLine="423"/>
        <w:rPr>
          <w:sz w:val="24"/>
          <w:szCs w:val="24"/>
        </w:rPr>
      </w:pPr>
      <w:r>
        <w:rPr>
          <w:b/>
          <w:bCs/>
          <w:spacing w:val="-31"/>
          <w:sz w:val="24"/>
          <w:szCs w:val="24"/>
        </w:rPr>
        <w:t>二、</w:t>
      </w:r>
      <w:r>
        <w:rPr>
          <w:spacing w:val="-31"/>
          <w:sz w:val="24"/>
          <w:szCs w:val="24"/>
        </w:rPr>
        <w:t>甲乙方均应向对方提供“营业执照”、“税务登记证”、“组</w:t>
      </w:r>
      <w:r>
        <w:rPr>
          <w:spacing w:val="-32"/>
          <w:sz w:val="24"/>
          <w:szCs w:val="24"/>
        </w:rPr>
        <w:t>织机构代码</w:t>
      </w:r>
      <w:r>
        <w:rPr>
          <w:sz w:val="24"/>
          <w:szCs w:val="24"/>
        </w:rPr>
        <w:t xml:space="preserve"> </w:t>
      </w:r>
      <w:r>
        <w:rPr>
          <w:spacing w:val="-38"/>
          <w:sz w:val="24"/>
          <w:szCs w:val="24"/>
        </w:rPr>
        <w:t>证”复印件，。</w:t>
      </w:r>
    </w:p>
    <w:p w14:paraId="38F54E44">
      <w:pPr>
        <w:pStyle w:val="2"/>
        <w:spacing w:before="14" w:line="219" w:lineRule="auto"/>
        <w:ind w:left="576"/>
      </w:pPr>
      <w:r>
        <w:rPr>
          <w:spacing w:val="-3"/>
        </w:rPr>
        <w:t>三、回收办法</w:t>
      </w:r>
    </w:p>
    <w:p w14:paraId="6BF8309E">
      <w:pPr>
        <w:pStyle w:val="2"/>
        <w:spacing w:before="20" w:line="243" w:lineRule="auto"/>
        <w:ind w:left="156" w:right="636" w:firstLine="420"/>
        <w:jc w:val="both"/>
      </w:pPr>
      <w:r>
        <w:rPr>
          <w:spacing w:val="-5"/>
        </w:rPr>
        <w:t>经过甲乙双方确定危险废物运输时间，甲方派车去乙方院内，乙方须给予叉</w:t>
      </w:r>
      <w:r>
        <w:rPr>
          <w:spacing w:val="13"/>
        </w:rPr>
        <w:t xml:space="preserve"> </w:t>
      </w:r>
      <w:r>
        <w:rPr>
          <w:spacing w:val="-2"/>
        </w:rPr>
        <w:t>车配合通过危险废物运输车转运到甲方处置单位(长春市绿园经济开发区西景路</w:t>
      </w:r>
      <w:r>
        <w:rPr>
          <w:spacing w:val="7"/>
        </w:rPr>
        <w:t xml:space="preserve"> </w:t>
      </w:r>
      <w:r>
        <w:rPr>
          <w:spacing w:val="14"/>
        </w:rPr>
        <w:t>101号)厂区内。</w:t>
      </w:r>
    </w:p>
    <w:p w14:paraId="1FA41981">
      <w:pPr>
        <w:pStyle w:val="2"/>
        <w:spacing w:before="1" w:line="219" w:lineRule="auto"/>
        <w:ind w:left="576"/>
      </w:pPr>
      <w:r>
        <w:t>三、危险废物明细</w:t>
      </w:r>
    </w:p>
    <w:p w14:paraId="2C368413">
      <w:pPr>
        <w:spacing w:before="13"/>
      </w:pPr>
    </w:p>
    <w:tbl>
      <w:tblPr>
        <w:tblStyle w:val="5"/>
        <w:tblW w:w="7430" w:type="dxa"/>
        <w:tblInd w:w="2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2277"/>
        <w:gridCol w:w="1178"/>
        <w:gridCol w:w="1818"/>
        <w:gridCol w:w="1453"/>
      </w:tblGrid>
      <w:tr w14:paraId="73007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04" w:type="dxa"/>
            <w:vAlign w:val="top"/>
          </w:tcPr>
          <w:p w14:paraId="16829EDC">
            <w:pPr>
              <w:spacing w:before="145" w:line="221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序号</w:t>
            </w:r>
          </w:p>
        </w:tc>
        <w:tc>
          <w:tcPr>
            <w:tcW w:w="2277" w:type="dxa"/>
            <w:vAlign w:val="top"/>
          </w:tcPr>
          <w:p w14:paraId="236FB7D7">
            <w:pPr>
              <w:spacing w:before="144" w:line="220" w:lineRule="auto"/>
              <w:ind w:left="7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废物名称</w:t>
            </w:r>
          </w:p>
        </w:tc>
        <w:tc>
          <w:tcPr>
            <w:tcW w:w="1178" w:type="dxa"/>
            <w:vAlign w:val="top"/>
          </w:tcPr>
          <w:p w14:paraId="50C7FABA">
            <w:pPr>
              <w:spacing w:before="144" w:line="219" w:lineRule="auto"/>
              <w:ind w:left="1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废物类别</w:t>
            </w:r>
          </w:p>
        </w:tc>
        <w:tc>
          <w:tcPr>
            <w:tcW w:w="1818" w:type="dxa"/>
            <w:vAlign w:val="top"/>
          </w:tcPr>
          <w:p w14:paraId="4C2268B0">
            <w:pPr>
              <w:spacing w:before="144" w:line="219" w:lineRule="auto"/>
              <w:ind w:left="4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废物代码</w:t>
            </w:r>
          </w:p>
        </w:tc>
        <w:tc>
          <w:tcPr>
            <w:tcW w:w="1453" w:type="dxa"/>
            <w:vAlign w:val="top"/>
          </w:tcPr>
          <w:p w14:paraId="02FDEB73">
            <w:pPr>
              <w:spacing w:before="150" w:line="225" w:lineRule="auto"/>
              <w:ind w:left="50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重量</w:t>
            </w:r>
          </w:p>
        </w:tc>
      </w:tr>
      <w:tr w14:paraId="7CD3BA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704" w:type="dxa"/>
            <w:vAlign w:val="top"/>
          </w:tcPr>
          <w:p w14:paraId="7504D323">
            <w:pPr>
              <w:spacing w:before="123" w:line="239" w:lineRule="auto"/>
              <w:ind w:left="2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2277" w:type="dxa"/>
            <w:vAlign w:val="top"/>
          </w:tcPr>
          <w:p w14:paraId="21AE889B">
            <w:pPr>
              <w:pStyle w:val="6"/>
            </w:pPr>
          </w:p>
        </w:tc>
        <w:tc>
          <w:tcPr>
            <w:tcW w:w="1178" w:type="dxa"/>
            <w:vAlign w:val="top"/>
          </w:tcPr>
          <w:p w14:paraId="48F2624E">
            <w:pPr>
              <w:pStyle w:val="6"/>
            </w:pPr>
          </w:p>
        </w:tc>
        <w:tc>
          <w:tcPr>
            <w:tcW w:w="1818" w:type="dxa"/>
            <w:vAlign w:val="top"/>
          </w:tcPr>
          <w:p w14:paraId="26FED09B">
            <w:pPr>
              <w:pStyle w:val="6"/>
            </w:pPr>
          </w:p>
        </w:tc>
        <w:tc>
          <w:tcPr>
            <w:tcW w:w="1453" w:type="dxa"/>
            <w:vAlign w:val="top"/>
          </w:tcPr>
          <w:p w14:paraId="6998145D">
            <w:pPr>
              <w:pStyle w:val="6"/>
            </w:pPr>
          </w:p>
        </w:tc>
      </w:tr>
      <w:tr w14:paraId="0BDFE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04" w:type="dxa"/>
            <w:vAlign w:val="top"/>
          </w:tcPr>
          <w:p w14:paraId="300CDC95">
            <w:pPr>
              <w:spacing w:before="134" w:line="241" w:lineRule="auto"/>
              <w:ind w:left="2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2277" w:type="dxa"/>
            <w:vAlign w:val="top"/>
          </w:tcPr>
          <w:p w14:paraId="385B990C">
            <w:pPr>
              <w:pStyle w:val="6"/>
            </w:pPr>
          </w:p>
        </w:tc>
        <w:tc>
          <w:tcPr>
            <w:tcW w:w="1178" w:type="dxa"/>
            <w:vAlign w:val="top"/>
          </w:tcPr>
          <w:p w14:paraId="6CC7FAD9">
            <w:pPr>
              <w:pStyle w:val="6"/>
            </w:pPr>
          </w:p>
        </w:tc>
        <w:tc>
          <w:tcPr>
            <w:tcW w:w="1818" w:type="dxa"/>
            <w:vAlign w:val="top"/>
          </w:tcPr>
          <w:p w14:paraId="3CD32392">
            <w:pPr>
              <w:pStyle w:val="6"/>
            </w:pPr>
          </w:p>
        </w:tc>
        <w:tc>
          <w:tcPr>
            <w:tcW w:w="1453" w:type="dxa"/>
            <w:vAlign w:val="top"/>
          </w:tcPr>
          <w:p w14:paraId="43CE1FB9">
            <w:pPr>
              <w:pStyle w:val="6"/>
            </w:pPr>
          </w:p>
        </w:tc>
      </w:tr>
      <w:tr w14:paraId="74D7F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704" w:type="dxa"/>
            <w:vAlign w:val="top"/>
          </w:tcPr>
          <w:p w14:paraId="626F2730">
            <w:pPr>
              <w:spacing w:before="136" w:line="237" w:lineRule="auto"/>
              <w:ind w:left="2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3</w:t>
            </w:r>
          </w:p>
        </w:tc>
        <w:tc>
          <w:tcPr>
            <w:tcW w:w="2277" w:type="dxa"/>
            <w:vAlign w:val="top"/>
          </w:tcPr>
          <w:p w14:paraId="3BBADF04">
            <w:pPr>
              <w:pStyle w:val="6"/>
            </w:pPr>
          </w:p>
        </w:tc>
        <w:tc>
          <w:tcPr>
            <w:tcW w:w="1178" w:type="dxa"/>
            <w:vAlign w:val="top"/>
          </w:tcPr>
          <w:p w14:paraId="14A33D28">
            <w:pPr>
              <w:pStyle w:val="6"/>
            </w:pPr>
          </w:p>
        </w:tc>
        <w:tc>
          <w:tcPr>
            <w:tcW w:w="1818" w:type="dxa"/>
            <w:vAlign w:val="top"/>
          </w:tcPr>
          <w:p w14:paraId="60F488E6">
            <w:pPr>
              <w:pStyle w:val="6"/>
            </w:pPr>
          </w:p>
        </w:tc>
        <w:tc>
          <w:tcPr>
            <w:tcW w:w="1453" w:type="dxa"/>
            <w:vAlign w:val="top"/>
          </w:tcPr>
          <w:p w14:paraId="487BD2C9">
            <w:pPr>
              <w:pStyle w:val="6"/>
            </w:pPr>
          </w:p>
        </w:tc>
      </w:tr>
      <w:tr w14:paraId="51267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704" w:type="dxa"/>
            <w:vAlign w:val="top"/>
          </w:tcPr>
          <w:p w14:paraId="04CD698D">
            <w:pPr>
              <w:spacing w:before="137" w:line="235" w:lineRule="auto"/>
              <w:ind w:left="2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4</w:t>
            </w:r>
          </w:p>
        </w:tc>
        <w:tc>
          <w:tcPr>
            <w:tcW w:w="2277" w:type="dxa"/>
            <w:vAlign w:val="top"/>
          </w:tcPr>
          <w:p w14:paraId="61B169CA">
            <w:pPr>
              <w:pStyle w:val="6"/>
            </w:pPr>
          </w:p>
        </w:tc>
        <w:tc>
          <w:tcPr>
            <w:tcW w:w="1178" w:type="dxa"/>
            <w:vAlign w:val="top"/>
          </w:tcPr>
          <w:p w14:paraId="1DFD1E04">
            <w:pPr>
              <w:pStyle w:val="6"/>
            </w:pPr>
          </w:p>
        </w:tc>
        <w:tc>
          <w:tcPr>
            <w:tcW w:w="1818" w:type="dxa"/>
            <w:vAlign w:val="top"/>
          </w:tcPr>
          <w:p w14:paraId="4DC0A2B1">
            <w:pPr>
              <w:pStyle w:val="6"/>
            </w:pPr>
          </w:p>
        </w:tc>
        <w:tc>
          <w:tcPr>
            <w:tcW w:w="1453" w:type="dxa"/>
            <w:vAlign w:val="top"/>
          </w:tcPr>
          <w:p w14:paraId="34B37967">
            <w:pPr>
              <w:pStyle w:val="6"/>
            </w:pPr>
          </w:p>
        </w:tc>
      </w:tr>
      <w:tr w14:paraId="0EDEA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704" w:type="dxa"/>
            <w:vAlign w:val="top"/>
          </w:tcPr>
          <w:p w14:paraId="62963267">
            <w:pPr>
              <w:spacing w:before="139" w:line="238" w:lineRule="auto"/>
              <w:ind w:left="2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2277" w:type="dxa"/>
            <w:vAlign w:val="top"/>
          </w:tcPr>
          <w:p w14:paraId="476156E5">
            <w:pPr>
              <w:pStyle w:val="6"/>
            </w:pPr>
          </w:p>
        </w:tc>
        <w:tc>
          <w:tcPr>
            <w:tcW w:w="1178" w:type="dxa"/>
            <w:vAlign w:val="top"/>
          </w:tcPr>
          <w:p w14:paraId="7553707E">
            <w:pPr>
              <w:pStyle w:val="6"/>
            </w:pPr>
          </w:p>
        </w:tc>
        <w:tc>
          <w:tcPr>
            <w:tcW w:w="1818" w:type="dxa"/>
            <w:vAlign w:val="top"/>
          </w:tcPr>
          <w:p w14:paraId="3F46E911">
            <w:pPr>
              <w:pStyle w:val="6"/>
            </w:pPr>
          </w:p>
        </w:tc>
        <w:tc>
          <w:tcPr>
            <w:tcW w:w="1453" w:type="dxa"/>
            <w:vAlign w:val="top"/>
          </w:tcPr>
          <w:p w14:paraId="056A5662">
            <w:pPr>
              <w:pStyle w:val="6"/>
            </w:pPr>
          </w:p>
        </w:tc>
      </w:tr>
    </w:tbl>
    <w:p w14:paraId="3028729C">
      <w:pPr>
        <w:pStyle w:val="2"/>
        <w:spacing w:before="35" w:line="219" w:lineRule="auto"/>
        <w:ind w:left="186"/>
        <w:rPr>
          <w:sz w:val="23"/>
          <w:szCs w:val="23"/>
        </w:rPr>
      </w:pPr>
      <w:r>
        <w:rPr>
          <w:sz w:val="23"/>
          <w:szCs w:val="23"/>
        </w:rPr>
        <w:t>四、危险废物处置费结算</w:t>
      </w:r>
    </w:p>
    <w:p w14:paraId="4655DBEC">
      <w:pPr>
        <w:pStyle w:val="2"/>
        <w:spacing w:before="14" w:line="218" w:lineRule="auto"/>
        <w:ind w:left="576"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、废物名称、类别、数量、单价，结算方式，详见附件。</w:t>
      </w:r>
    </w:p>
    <w:p w14:paraId="56048B38">
      <w:pPr>
        <w:pStyle w:val="2"/>
        <w:spacing w:before="31" w:line="220" w:lineRule="auto"/>
        <w:ind w:left="576"/>
        <w:rPr>
          <w:sz w:val="23"/>
          <w:szCs w:val="23"/>
        </w:rPr>
      </w:pPr>
      <w:r>
        <w:rPr>
          <w:spacing w:val="-18"/>
          <w:sz w:val="23"/>
          <w:szCs w:val="23"/>
        </w:rPr>
        <w:t>2、签合同款</w:t>
      </w:r>
      <w:r>
        <w:rPr>
          <w:rFonts w:hint="eastAsia"/>
          <w:spacing w:val="42"/>
          <w:sz w:val="23"/>
          <w:szCs w:val="23"/>
          <w:lang w:val="en-US" w:eastAsia="zh-CN"/>
        </w:rPr>
        <w:t>5000</w:t>
      </w:r>
      <w:r>
        <w:rPr>
          <w:spacing w:val="-18"/>
          <w:sz w:val="23"/>
          <w:szCs w:val="23"/>
        </w:rPr>
        <w:t>元</w:t>
      </w:r>
      <w:r>
        <w:rPr>
          <w:spacing w:val="-28"/>
          <w:sz w:val="23"/>
          <w:szCs w:val="23"/>
        </w:rPr>
        <w:t xml:space="preserve"> </w:t>
      </w:r>
      <w:r>
        <w:rPr>
          <w:spacing w:val="-18"/>
          <w:sz w:val="23"/>
          <w:szCs w:val="23"/>
        </w:rPr>
        <w:t>，</w:t>
      </w:r>
      <w:r>
        <w:rPr>
          <w:b/>
          <w:bCs/>
          <w:spacing w:val="-18"/>
          <w:sz w:val="23"/>
          <w:szCs w:val="23"/>
        </w:rPr>
        <w:t>此款不退还。</w:t>
      </w:r>
    </w:p>
    <w:p w14:paraId="2BA74382">
      <w:pPr>
        <w:pStyle w:val="2"/>
        <w:spacing w:before="88" w:line="219" w:lineRule="auto"/>
        <w:ind w:left="156"/>
      </w:pPr>
      <w:r>
        <w:rPr>
          <w:spacing w:val="-11"/>
        </w:rPr>
        <w:t>五 、危险废物收集、包装、装运</w:t>
      </w:r>
    </w:p>
    <w:p w14:paraId="6981AD74">
      <w:pPr>
        <w:pStyle w:val="2"/>
        <w:spacing w:before="59" w:line="219" w:lineRule="auto"/>
        <w:ind w:left="576"/>
      </w:pP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spacing w:val="-6"/>
        </w:rPr>
        <w:t>、收集、包装及包装要求：</w:t>
      </w:r>
    </w:p>
    <w:p w14:paraId="21161C53">
      <w:pPr>
        <w:pStyle w:val="2"/>
        <w:spacing w:before="69" w:line="219" w:lineRule="auto"/>
        <w:ind w:left="576"/>
      </w:pPr>
      <w:r>
        <w:rPr>
          <w:spacing w:val="1"/>
        </w:rPr>
        <w:t>1)乙方负责对危险废物进行贮存、收集、包装。</w:t>
      </w:r>
    </w:p>
    <w:p w14:paraId="393D0D27">
      <w:pPr>
        <w:pStyle w:val="2"/>
        <w:spacing w:before="78" w:line="249" w:lineRule="auto"/>
        <w:ind w:left="156" w:right="637" w:firstLine="420"/>
      </w:pPr>
      <w:r>
        <w:rPr>
          <w:spacing w:val="-5"/>
        </w:rPr>
        <w:t>2)危险废物用防渗漏容器盛装，化学试剂、废酸、废碱等液体和固体用耐酸</w:t>
      </w:r>
      <w:r>
        <w:rPr>
          <w:spacing w:val="18"/>
        </w:rPr>
        <w:t xml:space="preserve"> </w:t>
      </w:r>
      <w:r>
        <w:rPr>
          <w:spacing w:val="-6"/>
        </w:rPr>
        <w:t>耐碱容器盛装。</w:t>
      </w:r>
    </w:p>
    <w:p w14:paraId="01FF76F3">
      <w:pPr>
        <w:pStyle w:val="2"/>
        <w:spacing w:before="68" w:line="252" w:lineRule="auto"/>
        <w:ind w:left="156" w:right="634" w:firstLine="420"/>
      </w:pPr>
      <w:r>
        <w:rPr>
          <w:spacing w:val="-4"/>
        </w:rPr>
        <w:t>3)危险化学品包装：固体箱内衬三层防酸塑</w:t>
      </w:r>
      <w:r>
        <w:rPr>
          <w:spacing w:val="-5"/>
        </w:rPr>
        <w:t>料、液体瓶与瓶之间用泡沫或纸</w:t>
      </w:r>
      <w:r>
        <w:t xml:space="preserve"> 壳类隔离，再用专用包装箱装好后密封(固体、液体、不相容物品分别包装)。</w:t>
      </w:r>
    </w:p>
    <w:p w14:paraId="4B227D0C">
      <w:pPr>
        <w:pStyle w:val="2"/>
        <w:spacing w:before="79" w:line="248" w:lineRule="auto"/>
        <w:ind w:left="156" w:right="637" w:firstLine="420"/>
      </w:pPr>
      <w:r>
        <w:rPr>
          <w:spacing w:val="2"/>
        </w:rPr>
        <w:t>4)所有危险废物的包装应有清楚标识应确保无泄露，如有泄露，甲方有权</w:t>
      </w:r>
      <w:r>
        <w:rPr>
          <w:spacing w:val="1"/>
        </w:rPr>
        <w:t xml:space="preserve"> </w:t>
      </w:r>
      <w:r>
        <w:rPr>
          <w:spacing w:val="-3"/>
        </w:rPr>
        <w:t>拒绝接收此批危险废物，乙方承当的后果责任。</w:t>
      </w:r>
    </w:p>
    <w:p w14:paraId="49E2DEC6">
      <w:pPr>
        <w:spacing w:line="248" w:lineRule="auto"/>
        <w:sectPr>
          <w:pgSz w:w="11890" w:h="16810"/>
          <w:pgMar w:top="1428" w:right="1783" w:bottom="0" w:left="1783" w:header="0" w:footer="0" w:gutter="0"/>
          <w:cols w:space="720" w:num="1"/>
        </w:sectPr>
      </w:pPr>
    </w:p>
    <w:p w14:paraId="0D2D54A4">
      <w:pPr>
        <w:spacing w:line="393" w:lineRule="auto"/>
        <w:rPr>
          <w:rFonts w:ascii="Arial"/>
          <w:sz w:val="21"/>
        </w:rPr>
      </w:pPr>
    </w:p>
    <w:p w14:paraId="5CCCD9D2">
      <w:pPr>
        <w:pStyle w:val="2"/>
        <w:spacing w:before="74" w:line="271" w:lineRule="auto"/>
        <w:ind w:left="106" w:right="677" w:firstLine="429"/>
        <w:jc w:val="both"/>
        <w:rPr>
          <w:sz w:val="23"/>
          <w:szCs w:val="23"/>
        </w:rPr>
      </w:pPr>
      <w:r>
        <w:rPr>
          <w:spacing w:val="-9"/>
          <w:sz w:val="23"/>
          <w:szCs w:val="23"/>
        </w:rPr>
        <w:t>5)根据《中华人民共和国固体废物污染环境防治法》及相关规定，危险废</w:t>
      </w:r>
      <w:r>
        <w:rPr>
          <w:spacing w:val="17"/>
          <w:sz w:val="23"/>
          <w:szCs w:val="23"/>
        </w:rPr>
        <w:t xml:space="preserve"> </w:t>
      </w:r>
      <w:r>
        <w:rPr>
          <w:spacing w:val="-15"/>
          <w:sz w:val="23"/>
          <w:szCs w:val="23"/>
        </w:rPr>
        <w:t>弃物的包装应同危险废弃物一同销毁，以免造成二次污染，因此危险废物的实际</w:t>
      </w:r>
      <w:r>
        <w:rPr>
          <w:spacing w:val="13"/>
          <w:sz w:val="23"/>
          <w:szCs w:val="23"/>
        </w:rPr>
        <w:t xml:space="preserve"> </w:t>
      </w:r>
      <w:r>
        <w:rPr>
          <w:spacing w:val="-15"/>
          <w:sz w:val="23"/>
          <w:szCs w:val="23"/>
        </w:rPr>
        <w:t>重量为危险废物重量加包装物重量，危险废</w:t>
      </w:r>
      <w:r>
        <w:rPr>
          <w:spacing w:val="-16"/>
          <w:sz w:val="23"/>
          <w:szCs w:val="23"/>
        </w:rPr>
        <w:t>物最终重量以双方监督确认下实际称</w:t>
      </w:r>
      <w:r>
        <w:rPr>
          <w:sz w:val="23"/>
          <w:szCs w:val="23"/>
        </w:rPr>
        <w:t xml:space="preserve"> </w:t>
      </w:r>
      <w:r>
        <w:rPr>
          <w:spacing w:val="-15"/>
          <w:sz w:val="23"/>
          <w:szCs w:val="23"/>
        </w:rPr>
        <w:t>重为准。并共同填写危险废物转移联单。</w:t>
      </w:r>
    </w:p>
    <w:p w14:paraId="2D950EDE">
      <w:pPr>
        <w:pStyle w:val="2"/>
        <w:spacing w:line="220" w:lineRule="auto"/>
        <w:ind w:left="536"/>
      </w:pPr>
      <w:r>
        <w:rPr>
          <w:rFonts w:ascii="Times New Roman" w:hAnsi="Times New Roman" w:eastAsia="Times New Roman" w:cs="Times New Roman"/>
          <w:spacing w:val="-10"/>
        </w:rPr>
        <w:t>2</w:t>
      </w:r>
      <w:r>
        <w:rPr>
          <w:spacing w:val="-10"/>
        </w:rPr>
        <w:t>、装运及处置：</w:t>
      </w:r>
    </w:p>
    <w:p w14:paraId="5BF36122">
      <w:pPr>
        <w:pStyle w:val="2"/>
        <w:spacing w:before="86" w:line="250" w:lineRule="auto"/>
        <w:ind w:left="106" w:right="677" w:firstLine="429"/>
        <w:rPr>
          <w:sz w:val="23"/>
          <w:szCs w:val="23"/>
        </w:rPr>
      </w:pPr>
      <w:r>
        <w:rPr>
          <w:spacing w:val="-9"/>
          <w:sz w:val="23"/>
          <w:szCs w:val="23"/>
        </w:rPr>
        <w:t>1)乙方确认危险废物与申请处置的危险废物一致及包装完好后，甲方</w:t>
      </w:r>
      <w:r>
        <w:rPr>
          <w:spacing w:val="-10"/>
          <w:sz w:val="23"/>
          <w:szCs w:val="23"/>
        </w:rPr>
        <w:t>的工</w:t>
      </w:r>
      <w:r>
        <w:rPr>
          <w:sz w:val="23"/>
          <w:szCs w:val="23"/>
        </w:rPr>
        <w:t xml:space="preserve"> </w:t>
      </w:r>
      <w:r>
        <w:rPr>
          <w:spacing w:val="-15"/>
          <w:sz w:val="23"/>
          <w:szCs w:val="23"/>
        </w:rPr>
        <w:t>作人员负责在乙方的危险废物集中地点将危险废物装入运输车辆内。在乙方危险</w:t>
      </w:r>
      <w:r>
        <w:rPr>
          <w:spacing w:val="13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废物集中地点及乙方厂区内的环境安全由乙</w:t>
      </w:r>
      <w:r>
        <w:rPr>
          <w:spacing w:val="-14"/>
          <w:sz w:val="23"/>
          <w:szCs w:val="23"/>
        </w:rPr>
        <w:t>方负责。</w:t>
      </w:r>
    </w:p>
    <w:p w14:paraId="7FCEFE67">
      <w:pPr>
        <w:pStyle w:val="2"/>
        <w:spacing w:before="76" w:line="239" w:lineRule="auto"/>
        <w:ind w:left="106" w:right="706" w:firstLine="429"/>
        <w:rPr>
          <w:sz w:val="23"/>
          <w:szCs w:val="23"/>
        </w:rPr>
      </w:pPr>
      <w:r>
        <w:rPr>
          <w:spacing w:val="-9"/>
          <w:sz w:val="23"/>
          <w:szCs w:val="23"/>
        </w:rPr>
        <w:t>2)乙方保证危险废物根据相关法律法规、在环境保护危废管理部门的监控</w:t>
      </w:r>
      <w:r>
        <w:rPr>
          <w:spacing w:val="15"/>
          <w:sz w:val="23"/>
          <w:szCs w:val="23"/>
        </w:rPr>
        <w:t xml:space="preserve"> </w:t>
      </w:r>
      <w:r>
        <w:rPr>
          <w:spacing w:val="-18"/>
          <w:sz w:val="23"/>
          <w:szCs w:val="23"/>
        </w:rPr>
        <w:t>下进行处置。</w:t>
      </w:r>
    </w:p>
    <w:p w14:paraId="6199B60B">
      <w:pPr>
        <w:pStyle w:val="2"/>
        <w:spacing w:before="64" w:line="219" w:lineRule="auto"/>
        <w:ind w:left="536"/>
      </w:pPr>
      <w:r>
        <w:rPr>
          <w:spacing w:val="-12"/>
        </w:rPr>
        <w:t>六、双方责任</w:t>
      </w:r>
    </w:p>
    <w:p w14:paraId="734AEDA9">
      <w:pPr>
        <w:pStyle w:val="2"/>
        <w:spacing w:before="77" w:line="218" w:lineRule="auto"/>
        <w:ind w:left="536"/>
        <w:rPr>
          <w:sz w:val="24"/>
          <w:szCs w:val="24"/>
        </w:rPr>
      </w:pPr>
      <w:r>
        <w:rPr>
          <w:spacing w:val="-23"/>
          <w:sz w:val="24"/>
          <w:szCs w:val="24"/>
        </w:rPr>
        <w:t>1、乙方应保证危险废物中不含有放射性物质、爆炸物等危险物品。</w:t>
      </w:r>
    </w:p>
    <w:p w14:paraId="18347749">
      <w:pPr>
        <w:pStyle w:val="2"/>
        <w:spacing w:before="49" w:line="250" w:lineRule="auto"/>
        <w:ind w:left="106" w:right="707" w:firstLine="429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-12"/>
          <w:sz w:val="23"/>
          <w:szCs w:val="23"/>
        </w:rPr>
        <w:t>2</w:t>
      </w:r>
      <w:r>
        <w:rPr>
          <w:spacing w:val="-12"/>
          <w:sz w:val="23"/>
          <w:szCs w:val="23"/>
        </w:rPr>
        <w:t>、乙方交付甲方处置的危险废物，需在其外包装或容器上张贴标准的危险</w:t>
      </w:r>
      <w:r>
        <w:rPr>
          <w:sz w:val="23"/>
          <w:szCs w:val="23"/>
        </w:rPr>
        <w:t xml:space="preserve"> </w:t>
      </w:r>
      <w:r>
        <w:rPr>
          <w:spacing w:val="-14"/>
          <w:sz w:val="23"/>
          <w:szCs w:val="23"/>
        </w:rPr>
        <w:t>废物标志，说明废物名称、危险情况等相关信息。</w:t>
      </w:r>
    </w:p>
    <w:p w14:paraId="37DE252F">
      <w:pPr>
        <w:pStyle w:val="2"/>
        <w:spacing w:before="55" w:line="253" w:lineRule="auto"/>
        <w:ind w:left="106" w:right="606" w:firstLine="429"/>
      </w:pPr>
      <w:r>
        <w:rPr>
          <w:rFonts w:ascii="Times New Roman" w:hAnsi="Times New Roman" w:eastAsia="Times New Roman" w:cs="Times New Roman"/>
          <w:spacing w:val="-6"/>
        </w:rPr>
        <w:t>3</w:t>
      </w:r>
      <w:r>
        <w:rPr>
          <w:spacing w:val="-6"/>
        </w:rPr>
        <w:t>、因乙方未如实注明或告知甲方危险废物中存在不明物，所引发环境事故、</w:t>
      </w:r>
      <w:r>
        <w:rPr>
          <w:spacing w:val="13"/>
        </w:rPr>
        <w:t xml:space="preserve"> </w:t>
      </w:r>
      <w:r>
        <w:rPr>
          <w:spacing w:val="-6"/>
        </w:rPr>
        <w:t>安全事故、火灾事故的损失及责任由乙方承担。</w:t>
      </w:r>
    </w:p>
    <w:p w14:paraId="6238F214">
      <w:pPr>
        <w:pStyle w:val="2"/>
        <w:spacing w:before="67" w:line="253" w:lineRule="auto"/>
        <w:ind w:left="106" w:right="746" w:firstLine="429"/>
      </w:pPr>
      <w:r>
        <w:rPr>
          <w:spacing w:val="-3"/>
        </w:rPr>
        <w:t>4、因乙方待处置危险废物与其提供的信息不</w:t>
      </w:r>
      <w:r>
        <w:rPr>
          <w:spacing w:val="-4"/>
        </w:rPr>
        <w:t>符，造成甲方处置费用增加，</w:t>
      </w:r>
      <w:r>
        <w:t xml:space="preserve"> </w:t>
      </w:r>
      <w:r>
        <w:rPr>
          <w:spacing w:val="-10"/>
        </w:rPr>
        <w:t>乙方需支付相关费用。</w:t>
      </w:r>
    </w:p>
    <w:p w14:paraId="6B2379E4">
      <w:pPr>
        <w:pStyle w:val="2"/>
        <w:spacing w:before="69" w:line="252" w:lineRule="auto"/>
        <w:ind w:left="106" w:right="696" w:firstLine="429"/>
      </w:pP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2"/>
        </w:rPr>
        <w:t>、乙方负责办理废物跨省转移审批手续，未取得跨省转移审批手续，甲方</w:t>
      </w:r>
      <w:r>
        <w:rPr>
          <w:spacing w:val="4"/>
        </w:rPr>
        <w:t xml:space="preserve"> </w:t>
      </w:r>
      <w:r>
        <w:rPr>
          <w:spacing w:val="-7"/>
        </w:rPr>
        <w:t>不接收、处置合同约定的危险废物。</w:t>
      </w:r>
    </w:p>
    <w:p w14:paraId="7D4A3F31">
      <w:pPr>
        <w:pStyle w:val="2"/>
        <w:spacing w:before="49" w:line="252" w:lineRule="auto"/>
        <w:ind w:left="106" w:right="686" w:firstLine="429"/>
      </w:pP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spacing w:val="-2"/>
        </w:rPr>
        <w:t>、乙方负责厂内废物的收集和分类，运到指定存放区，给予叉车配合，乙</w:t>
      </w:r>
      <w:r>
        <w:rPr>
          <w:spacing w:val="14"/>
        </w:rPr>
        <w:t xml:space="preserve"> </w:t>
      </w:r>
      <w:r>
        <w:rPr>
          <w:spacing w:val="-6"/>
        </w:rPr>
        <w:t>方配合甲方办理危险废物转移手续和出入厂证。</w:t>
      </w:r>
    </w:p>
    <w:p w14:paraId="5193C199">
      <w:pPr>
        <w:pStyle w:val="2"/>
        <w:spacing w:before="58" w:line="257" w:lineRule="auto"/>
        <w:ind w:left="106" w:right="703" w:firstLine="429"/>
      </w:pP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spacing w:val="-2"/>
        </w:rPr>
        <w:t>、甲方遵守乙方厂区内的有关规定，在转移过程中不得造成二次污染</w:t>
      </w:r>
      <w:r>
        <w:rPr>
          <w:spacing w:val="-3"/>
        </w:rPr>
        <w:t>，如</w:t>
      </w:r>
      <w:r>
        <w:t xml:space="preserve"> </w:t>
      </w:r>
      <w:r>
        <w:rPr>
          <w:spacing w:val="-6"/>
        </w:rPr>
        <w:t>发生任何事故由甲方自行承担。</w:t>
      </w:r>
    </w:p>
    <w:p w14:paraId="7F3B04D9">
      <w:pPr>
        <w:pStyle w:val="2"/>
        <w:spacing w:before="69" w:line="219" w:lineRule="auto"/>
        <w:ind w:left="536"/>
      </w:pPr>
      <w:r>
        <w:rPr>
          <w:spacing w:val="-8"/>
        </w:rPr>
        <w:t>七、违约责任</w:t>
      </w:r>
    </w:p>
    <w:p w14:paraId="01DA8E49">
      <w:pPr>
        <w:pStyle w:val="2"/>
        <w:spacing w:before="76" w:line="263" w:lineRule="auto"/>
        <w:ind w:left="106" w:right="704" w:firstLine="429"/>
      </w:pPr>
      <w:r>
        <w:rPr>
          <w:rFonts w:ascii="Times New Roman" w:hAnsi="Times New Roman" w:eastAsia="Times New Roman" w:cs="Times New Roman"/>
          <w:spacing w:val="-9"/>
        </w:rPr>
        <w:t>1</w:t>
      </w:r>
      <w:r>
        <w:rPr>
          <w:spacing w:val="-9"/>
        </w:rPr>
        <w:t>、合同生效后双方严格按照《中华人民共和国民法典》《中华人民共和国环</w:t>
      </w:r>
      <w:r>
        <w:rPr>
          <w:spacing w:val="15"/>
        </w:rPr>
        <w:t xml:space="preserve"> </w:t>
      </w:r>
      <w:r>
        <w:rPr>
          <w:spacing w:val="-5"/>
        </w:rPr>
        <w:t>境保护法》的规定执行合同所约定的各项条款</w:t>
      </w:r>
      <w:r>
        <w:rPr>
          <w:spacing w:val="-6"/>
        </w:rPr>
        <w:t>，如有违约按《中华人民共和国民</w:t>
      </w:r>
      <w:r>
        <w:t xml:space="preserve"> </w:t>
      </w:r>
      <w:r>
        <w:rPr>
          <w:spacing w:val="-5"/>
        </w:rPr>
        <w:t>法典》及《中华人民共和国道路交通安全法</w:t>
      </w:r>
      <w:r>
        <w:rPr>
          <w:spacing w:val="-6"/>
        </w:rPr>
        <w:t>》和《道路管理条例》的相关规定承</w:t>
      </w:r>
      <w:r>
        <w:t xml:space="preserve"> </w:t>
      </w:r>
      <w:r>
        <w:rPr>
          <w:spacing w:val="-10"/>
        </w:rPr>
        <w:t>担违约责任。</w:t>
      </w:r>
    </w:p>
    <w:p w14:paraId="673F4D1A">
      <w:pPr>
        <w:pStyle w:val="2"/>
        <w:spacing w:before="80" w:line="252" w:lineRule="auto"/>
        <w:ind w:left="106" w:right="674" w:firstLine="429"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、如未按期给付，乙方应向甲方支付尚未给付处置费的违</w:t>
      </w:r>
      <w:r>
        <w:rPr>
          <w:spacing w:val="-2"/>
        </w:rPr>
        <w:t>约金，违约金按</w:t>
      </w:r>
      <w:r>
        <w:t xml:space="preserve"> </w:t>
      </w:r>
      <w:r>
        <w:rPr>
          <w:spacing w:val="-5"/>
        </w:rPr>
        <w:t>同期</w:t>
      </w:r>
      <w:r>
        <w:rPr>
          <w:rFonts w:ascii="Times New Roman" w:hAnsi="Times New Roman" w:eastAsia="Times New Roman" w:cs="Times New Roman"/>
          <w:spacing w:val="-5"/>
        </w:rPr>
        <w:t>LPR</w:t>
      </w:r>
      <w:r>
        <w:rPr>
          <w:spacing w:val="-5"/>
        </w:rPr>
        <w:t>利率四倍计算。</w:t>
      </w:r>
    </w:p>
    <w:p w14:paraId="449DE163">
      <w:pPr>
        <w:pStyle w:val="2"/>
        <w:spacing w:before="56" w:line="219" w:lineRule="auto"/>
        <w:ind w:left="539"/>
        <w:outlineLvl w:val="4"/>
      </w:pPr>
      <w:r>
        <w:rPr>
          <w:b/>
          <w:bCs/>
          <w:spacing w:val="-7"/>
        </w:rPr>
        <w:t>八、合同的修改、续签与终止</w:t>
      </w:r>
    </w:p>
    <w:p w14:paraId="09C4D5FF">
      <w:pPr>
        <w:pStyle w:val="2"/>
        <w:spacing w:before="63" w:line="253" w:lineRule="auto"/>
        <w:ind w:left="106" w:right="601" w:firstLine="429"/>
        <w:rPr>
          <w:sz w:val="23"/>
          <w:szCs w:val="23"/>
        </w:rPr>
      </w:pPr>
      <w:r>
        <w:rPr>
          <w:spacing w:val="-13"/>
          <w:sz w:val="23"/>
          <w:szCs w:val="23"/>
        </w:rPr>
        <w:t>1、合同的修改：本合同在有效期内，如遇有特殊情况需对本合同条款进行</w:t>
      </w:r>
      <w:r>
        <w:rPr>
          <w:spacing w:val="7"/>
          <w:sz w:val="23"/>
          <w:szCs w:val="23"/>
        </w:rPr>
        <w:t xml:space="preserve">  </w:t>
      </w:r>
      <w:r>
        <w:rPr>
          <w:spacing w:val="-15"/>
          <w:sz w:val="23"/>
          <w:szCs w:val="23"/>
        </w:rPr>
        <w:t>修改时，双方应在符合法律规定及客观条件的前提下，经协商一致后可对合同条</w:t>
      </w:r>
      <w:r>
        <w:rPr>
          <w:spacing w:val="13"/>
          <w:sz w:val="23"/>
          <w:szCs w:val="23"/>
        </w:rPr>
        <w:t xml:space="preserve"> </w:t>
      </w:r>
      <w:r>
        <w:rPr>
          <w:spacing w:val="-19"/>
          <w:sz w:val="23"/>
          <w:szCs w:val="23"/>
        </w:rPr>
        <w:t>款进行修改和补充，合同条款修改协议为本合同的组成部分，具有同等法律效力。</w:t>
      </w:r>
      <w:r>
        <w:rPr>
          <w:spacing w:val="17"/>
          <w:sz w:val="23"/>
          <w:szCs w:val="23"/>
        </w:rPr>
        <w:t xml:space="preserve"> </w:t>
      </w:r>
      <w:r>
        <w:rPr>
          <w:spacing w:val="-12"/>
          <w:sz w:val="23"/>
          <w:szCs w:val="23"/>
        </w:rPr>
        <w:t>双方在未对合同修改条款达成一致的书面协议</w:t>
      </w:r>
      <w:r>
        <w:rPr>
          <w:spacing w:val="-13"/>
          <w:sz w:val="23"/>
          <w:szCs w:val="23"/>
        </w:rPr>
        <w:t>前，应仍按本合同执行。</w:t>
      </w:r>
    </w:p>
    <w:p w14:paraId="420DDFD9">
      <w:pPr>
        <w:pStyle w:val="2"/>
        <w:spacing w:before="79" w:line="241" w:lineRule="auto"/>
        <w:ind w:left="106" w:right="677" w:firstLine="429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>2</w:t>
      </w:r>
      <w:r>
        <w:rPr>
          <w:spacing w:val="-21"/>
          <w:sz w:val="24"/>
          <w:szCs w:val="24"/>
        </w:rPr>
        <w:t>、合同的续签：甲方应在本合同期限届满前一个月，以书面形式通知乙方</w:t>
      </w:r>
      <w:r>
        <w:rPr>
          <w:sz w:val="24"/>
          <w:szCs w:val="24"/>
        </w:rPr>
        <w:t xml:space="preserve"> </w:t>
      </w:r>
      <w:r>
        <w:rPr>
          <w:spacing w:val="-26"/>
          <w:w w:val="98"/>
          <w:sz w:val="24"/>
          <w:szCs w:val="24"/>
        </w:rPr>
        <w:t>继续签订《危险废物处理合同》。</w:t>
      </w:r>
    </w:p>
    <w:p w14:paraId="12F3334D">
      <w:pPr>
        <w:spacing w:line="241" w:lineRule="auto"/>
        <w:rPr>
          <w:sz w:val="24"/>
          <w:szCs w:val="24"/>
        </w:rPr>
        <w:sectPr>
          <w:pgSz w:w="11890" w:h="16810"/>
          <w:pgMar w:top="1428" w:right="1783" w:bottom="0" w:left="1783" w:header="0" w:footer="0" w:gutter="0"/>
          <w:cols w:space="720" w:num="1"/>
        </w:sectPr>
      </w:pPr>
    </w:p>
    <w:p w14:paraId="46607AAA">
      <w:pPr>
        <w:spacing w:line="454" w:lineRule="auto"/>
        <w:rPr>
          <w:rFonts w:ascii="Arial"/>
          <w:sz w:val="21"/>
        </w:rPr>
      </w:pPr>
    </w:p>
    <w:p w14:paraId="718DC96E">
      <w:pPr>
        <w:pStyle w:val="2"/>
        <w:spacing w:before="71" w:line="253" w:lineRule="auto"/>
        <w:ind w:left="165" w:right="622" w:firstLine="439"/>
      </w:pPr>
      <w:r>
        <w:rPr>
          <w:rFonts w:ascii="Times New Roman" w:hAnsi="Times New Roman" w:eastAsia="Times New Roman" w:cs="Times New Roman"/>
        </w:rPr>
        <w:t>3</w:t>
      </w:r>
      <w:r>
        <w:t>、合同的终止：本合同期限届满前乙方未提出续签合同要求时，该合同期</w:t>
      </w:r>
      <w:r>
        <w:rPr>
          <w:spacing w:val="13"/>
        </w:rPr>
        <w:t xml:space="preserve"> </w:t>
      </w:r>
      <w:r>
        <w:rPr>
          <w:spacing w:val="-1"/>
        </w:rPr>
        <w:t>限届满时自动终止。</w:t>
      </w:r>
    </w:p>
    <w:p w14:paraId="571083EE">
      <w:pPr>
        <w:pStyle w:val="2"/>
        <w:spacing w:before="78" w:line="248" w:lineRule="auto"/>
        <w:ind w:left="165" w:right="609" w:firstLine="439"/>
      </w:pPr>
      <w:r>
        <w:rPr>
          <w:rFonts w:ascii="Times New Roman" w:hAnsi="Times New Roman" w:eastAsia="Times New Roman" w:cs="Times New Roman"/>
          <w:spacing w:val="1"/>
        </w:rPr>
        <w:t>4</w:t>
      </w:r>
      <w:r>
        <w:rPr>
          <w:spacing w:val="1"/>
        </w:rPr>
        <w:t>、合同的提前终止：在合同有效期间内如遇有特殊情况</w:t>
      </w:r>
      <w:r>
        <w:t xml:space="preserve">，甲乙任何方提出 </w:t>
      </w:r>
      <w:r>
        <w:rPr>
          <w:spacing w:val="-3"/>
        </w:rPr>
        <w:t>要求终止合同时，须提前一个月通知对方，终止条款经双方确认后方可执行。</w:t>
      </w:r>
    </w:p>
    <w:p w14:paraId="6A94123C">
      <w:pPr>
        <w:pStyle w:val="2"/>
        <w:spacing w:before="50" w:line="220" w:lineRule="auto"/>
        <w:ind w:left="604"/>
        <w:rPr>
          <w:sz w:val="23"/>
          <w:szCs w:val="23"/>
        </w:rPr>
      </w:pPr>
      <w:r>
        <w:rPr>
          <w:spacing w:val="-9"/>
          <w:sz w:val="23"/>
          <w:szCs w:val="23"/>
        </w:rPr>
        <w:t>九、保密</w:t>
      </w:r>
    </w:p>
    <w:p w14:paraId="4ADEA2EB">
      <w:pPr>
        <w:pStyle w:val="2"/>
        <w:spacing w:before="62" w:line="279" w:lineRule="auto"/>
        <w:ind w:left="275" w:right="627" w:firstLine="329"/>
      </w:pPr>
      <w:r>
        <w:rPr>
          <w:spacing w:val="4"/>
        </w:rPr>
        <w:t>甲乙双方对本合同的相关合同条款具有保密义务</w:t>
      </w:r>
      <w:r>
        <w:rPr>
          <w:spacing w:val="3"/>
        </w:rPr>
        <w:t>，任何一方不得向第三方</w:t>
      </w:r>
      <w:r>
        <w:t xml:space="preserve"> </w:t>
      </w:r>
      <w:r>
        <w:rPr>
          <w:spacing w:val="3"/>
        </w:rPr>
        <w:t>(政府监管部门除外)透漏任何信息，如有违</w:t>
      </w:r>
      <w:r>
        <w:rPr>
          <w:spacing w:val="2"/>
        </w:rPr>
        <w:t>反应承担违约责任。</w:t>
      </w:r>
    </w:p>
    <w:p w14:paraId="4C4C8D99">
      <w:pPr>
        <w:pStyle w:val="2"/>
        <w:spacing w:before="7" w:line="219" w:lineRule="auto"/>
        <w:ind w:left="604"/>
      </w:pPr>
      <w:r>
        <w:rPr>
          <w:spacing w:val="-1"/>
        </w:rPr>
        <w:t>十、解决合同纠纷方式</w:t>
      </w:r>
    </w:p>
    <w:p w14:paraId="3F4AD0BB">
      <w:pPr>
        <w:pStyle w:val="2"/>
        <w:spacing w:before="77" w:line="271" w:lineRule="auto"/>
        <w:ind w:left="165" w:right="466" w:firstLine="439"/>
        <w:jc w:val="both"/>
      </w:pPr>
      <w:r>
        <w:rPr>
          <w:spacing w:val="-5"/>
        </w:rPr>
        <w:t>本合同在履行过程中发生争议时，双方应先本着诚意及友好协商的原则解决。</w:t>
      </w:r>
      <w:r>
        <w:rPr>
          <w:spacing w:val="8"/>
        </w:rPr>
        <w:t xml:space="preserve"> </w:t>
      </w:r>
      <w:r>
        <w:rPr>
          <w:spacing w:val="-3"/>
        </w:rPr>
        <w:t>协商不成时，可通过诉讼方式解决争议，受理诉讼的法院为甲方所在地有管辖权</w:t>
      </w:r>
      <w:r>
        <w:rPr>
          <w:spacing w:val="1"/>
        </w:rPr>
        <w:t xml:space="preserve">  </w:t>
      </w:r>
      <w:r>
        <w:rPr>
          <w:spacing w:val="-5"/>
        </w:rPr>
        <w:t>的人民法院。</w:t>
      </w:r>
    </w:p>
    <w:p w14:paraId="480C4861">
      <w:pPr>
        <w:pStyle w:val="2"/>
        <w:spacing w:before="4" w:line="220" w:lineRule="auto"/>
        <w:ind w:left="604"/>
      </w:pPr>
      <w:r>
        <w:rPr>
          <w:spacing w:val="-2"/>
        </w:rPr>
        <w:t>十一、合同有效期</w:t>
      </w:r>
    </w:p>
    <w:p w14:paraId="045DA54D">
      <w:pPr>
        <w:pStyle w:val="2"/>
        <w:spacing w:before="78" w:line="219" w:lineRule="auto"/>
        <w:ind w:left="604"/>
        <w:rPr>
          <w:sz w:val="24"/>
          <w:szCs w:val="24"/>
        </w:rPr>
      </w:pPr>
      <w:r>
        <w:rPr>
          <w:spacing w:val="-1"/>
          <w:sz w:val="24"/>
          <w:szCs w:val="24"/>
        </w:rPr>
        <w:t>合同有效期为2026年</w:t>
      </w:r>
      <w:r>
        <w:rPr>
          <w:rFonts w:hint="eastAsia"/>
          <w:spacing w:val="-1"/>
          <w:sz w:val="24"/>
          <w:szCs w:val="24"/>
          <w:lang w:val="en-US" w:eastAsia="zh-CN"/>
        </w:rPr>
        <w:t>5</w:t>
      </w:r>
      <w:r>
        <w:rPr>
          <w:spacing w:val="-1"/>
          <w:sz w:val="24"/>
          <w:szCs w:val="24"/>
        </w:rPr>
        <w:t>月</w:t>
      </w:r>
      <w:r>
        <w:rPr>
          <w:rFonts w:hint="eastAsia"/>
          <w:spacing w:val="-1"/>
          <w:sz w:val="24"/>
          <w:szCs w:val="24"/>
          <w:lang w:val="en-US" w:eastAsia="zh-CN"/>
        </w:rPr>
        <w:t>14</w:t>
      </w:r>
      <w:r>
        <w:rPr>
          <w:spacing w:val="-1"/>
          <w:sz w:val="24"/>
          <w:szCs w:val="24"/>
        </w:rPr>
        <w:t>日——202</w:t>
      </w:r>
      <w:r>
        <w:rPr>
          <w:rFonts w:hint="eastAsia"/>
          <w:spacing w:val="-1"/>
          <w:sz w:val="24"/>
          <w:szCs w:val="24"/>
          <w:lang w:val="en-US" w:eastAsia="zh-CN"/>
        </w:rPr>
        <w:t>7</w:t>
      </w:r>
      <w:r>
        <w:rPr>
          <w:spacing w:val="-1"/>
          <w:sz w:val="24"/>
          <w:szCs w:val="24"/>
        </w:rPr>
        <w:t>年</w:t>
      </w:r>
      <w:r>
        <w:rPr>
          <w:rFonts w:hint="eastAsia"/>
          <w:spacing w:val="39"/>
          <w:sz w:val="24"/>
          <w:szCs w:val="24"/>
          <w:lang w:val="en-US" w:eastAsia="zh-CN"/>
        </w:rPr>
        <w:t>5</w:t>
      </w:r>
      <w:r>
        <w:rPr>
          <w:spacing w:val="-1"/>
          <w:sz w:val="24"/>
          <w:szCs w:val="24"/>
        </w:rPr>
        <w:t>月</w:t>
      </w:r>
      <w:r>
        <w:rPr>
          <w:rFonts w:hint="eastAsia"/>
          <w:spacing w:val="-1"/>
          <w:sz w:val="24"/>
          <w:szCs w:val="24"/>
          <w:lang w:val="en-US" w:eastAsia="zh-CN"/>
        </w:rPr>
        <w:t>14</w:t>
      </w:r>
      <w:r>
        <w:rPr>
          <w:spacing w:val="-1"/>
          <w:sz w:val="24"/>
          <w:szCs w:val="24"/>
        </w:rPr>
        <w:t>日，有效期壹年。</w:t>
      </w:r>
    </w:p>
    <w:p w14:paraId="6B53E6EA">
      <w:pPr>
        <w:pStyle w:val="2"/>
        <w:spacing w:before="23" w:line="219" w:lineRule="auto"/>
        <w:ind w:left="604"/>
        <w:rPr>
          <w:sz w:val="23"/>
          <w:szCs w:val="23"/>
        </w:rPr>
      </w:pPr>
      <w:r>
        <w:rPr>
          <w:spacing w:val="-10"/>
          <w:sz w:val="23"/>
          <w:szCs w:val="23"/>
        </w:rPr>
        <w:t>十二、附则</w:t>
      </w:r>
    </w:p>
    <w:p w14:paraId="7D8623C1">
      <w:pPr>
        <w:pStyle w:val="2"/>
        <w:spacing w:before="77" w:line="287" w:lineRule="auto"/>
        <w:ind w:left="165" w:right="645" w:firstLine="439"/>
      </w:pPr>
      <w:r>
        <w:t>本合同一式贰份，甲方执一份，乙方执一份。本合</w:t>
      </w:r>
      <w:r>
        <w:rPr>
          <w:spacing w:val="-1"/>
        </w:rPr>
        <w:t>同经双方业务代表人(负</w:t>
      </w:r>
      <w:r>
        <w:t xml:space="preserve"> </w:t>
      </w:r>
      <w:r>
        <w:rPr>
          <w:spacing w:val="6"/>
        </w:rPr>
        <w:t>责人)签字盖章后生效。</w:t>
      </w:r>
    </w:p>
    <w:p w14:paraId="04CC1432">
      <w:pPr>
        <w:pStyle w:val="2"/>
        <w:spacing w:before="26" w:line="223" w:lineRule="auto"/>
        <w:ind w:left="1768"/>
      </w:pPr>
      <w:r>
        <w:rPr>
          <w:b/>
          <w:bCs/>
          <w:spacing w:val="1"/>
        </w:rPr>
        <w:t>甲方</w:t>
      </w:r>
      <w:r>
        <w:t xml:space="preserve">                                   </w:t>
      </w:r>
      <w:r>
        <w:rPr>
          <w:spacing w:val="1"/>
        </w:rPr>
        <w:t>乙方</w:t>
      </w:r>
    </w:p>
    <w:p w14:paraId="73806BD3">
      <w:pPr>
        <w:spacing w:line="125" w:lineRule="auto"/>
        <w:rPr>
          <w:rFonts w:ascii="Arial"/>
          <w:sz w:val="2"/>
        </w:rPr>
      </w:pPr>
    </w:p>
    <w:tbl>
      <w:tblPr>
        <w:tblStyle w:val="5"/>
        <w:tblW w:w="81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0"/>
        <w:gridCol w:w="399"/>
        <w:gridCol w:w="3860"/>
      </w:tblGrid>
      <w:tr w14:paraId="580B6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2" w:hRule="atLeast"/>
        </w:trPr>
        <w:tc>
          <w:tcPr>
            <w:tcW w:w="3940" w:type="dxa"/>
            <w:vAlign w:val="top"/>
          </w:tcPr>
          <w:p w14:paraId="263EB4F6">
            <w:pPr>
              <w:spacing w:before="22" w:line="223" w:lineRule="auto"/>
              <w:ind w:left="75" w:right="6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名称：吉林省高深环保科技有限公司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 (公章)</w:t>
            </w:r>
          </w:p>
        </w:tc>
        <w:tc>
          <w:tcPr>
            <w:tcW w:w="399" w:type="dxa"/>
            <w:vAlign w:val="top"/>
          </w:tcPr>
          <w:p w14:paraId="46DFD05C">
            <w:pPr>
              <w:pStyle w:val="6"/>
            </w:pPr>
          </w:p>
        </w:tc>
        <w:tc>
          <w:tcPr>
            <w:tcW w:w="3860" w:type="dxa"/>
            <w:vAlign w:val="top"/>
          </w:tcPr>
          <w:p w14:paraId="7ED44864">
            <w:pPr>
              <w:pStyle w:val="2"/>
              <w:spacing w:before="22" w:line="219" w:lineRule="auto"/>
              <w:rPr>
                <w:rFonts w:hint="default"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名称：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val="en-US" w:eastAsia="zh-CN" w:bidi="ar-SA"/>
              </w:rPr>
              <w:t>宁家（长春）汽车服务有限公司</w:t>
            </w:r>
          </w:p>
          <w:p w14:paraId="494E83E4">
            <w:pPr>
              <w:spacing w:before="34" w:line="210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6BD6CB21">
            <w:pPr>
              <w:spacing w:line="218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(公章)</w:t>
            </w:r>
          </w:p>
        </w:tc>
      </w:tr>
      <w:tr w14:paraId="44B2F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940" w:type="dxa"/>
            <w:vAlign w:val="top"/>
          </w:tcPr>
          <w:p w14:paraId="68B0B983">
            <w:pPr>
              <w:spacing w:before="41" w:line="214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业务代表(签字):</w:t>
            </w:r>
          </w:p>
          <w:p w14:paraId="70663CF5">
            <w:pPr>
              <w:spacing w:line="221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电话：</w:t>
            </w:r>
          </w:p>
        </w:tc>
        <w:tc>
          <w:tcPr>
            <w:tcW w:w="399" w:type="dxa"/>
            <w:vAlign w:val="top"/>
          </w:tcPr>
          <w:p w14:paraId="5E81F7D4">
            <w:pPr>
              <w:pStyle w:val="6"/>
            </w:pPr>
          </w:p>
        </w:tc>
        <w:tc>
          <w:tcPr>
            <w:tcW w:w="3860" w:type="dxa"/>
            <w:vAlign w:val="top"/>
          </w:tcPr>
          <w:p w14:paraId="00AD63F0">
            <w:pPr>
              <w:spacing w:before="31" w:line="219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法人(签字):</w:t>
            </w:r>
          </w:p>
          <w:p w14:paraId="39478F56">
            <w:pPr>
              <w:spacing w:before="5" w:line="221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电话：</w:t>
            </w:r>
          </w:p>
        </w:tc>
      </w:tr>
      <w:tr w14:paraId="65991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3940" w:type="dxa"/>
            <w:vAlign w:val="top"/>
          </w:tcPr>
          <w:p w14:paraId="06A9F29E">
            <w:pPr>
              <w:spacing w:before="162" w:line="219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网上申报、办联单、派车：赵旭</w:t>
            </w:r>
          </w:p>
          <w:p w14:paraId="54432D16">
            <w:pPr>
              <w:spacing w:before="15" w:line="221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电话：17644241337</w:t>
            </w:r>
          </w:p>
        </w:tc>
        <w:tc>
          <w:tcPr>
            <w:tcW w:w="399" w:type="dxa"/>
            <w:vMerge w:val="restart"/>
            <w:tcBorders>
              <w:bottom w:val="nil"/>
            </w:tcBorders>
            <w:vAlign w:val="top"/>
          </w:tcPr>
          <w:p w14:paraId="2135B6A1">
            <w:pPr>
              <w:pStyle w:val="6"/>
            </w:pPr>
          </w:p>
        </w:tc>
        <w:tc>
          <w:tcPr>
            <w:tcW w:w="3860" w:type="dxa"/>
            <w:vAlign w:val="top"/>
          </w:tcPr>
          <w:p w14:paraId="280935E6">
            <w:pPr>
              <w:spacing w:before="181" w:line="215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业务代表(签字):</w:t>
            </w:r>
          </w:p>
          <w:p w14:paraId="72496382">
            <w:pPr>
              <w:spacing w:line="221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电话：</w:t>
            </w:r>
          </w:p>
        </w:tc>
      </w:tr>
      <w:tr w14:paraId="25DE1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940" w:type="dxa"/>
            <w:vAlign w:val="top"/>
          </w:tcPr>
          <w:p w14:paraId="4B613C05">
            <w:pPr>
              <w:spacing w:before="82" w:line="242" w:lineRule="auto"/>
              <w:ind w:left="75" w:firstLine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单位地址：吉林省长春市绿园区(长春绿园经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济开发区)西景路101号</w:t>
            </w:r>
          </w:p>
        </w:tc>
        <w:tc>
          <w:tcPr>
            <w:tcW w:w="399" w:type="dxa"/>
            <w:vMerge w:val="continue"/>
            <w:tcBorders>
              <w:top w:val="nil"/>
              <w:bottom w:val="nil"/>
            </w:tcBorders>
            <w:vAlign w:val="top"/>
          </w:tcPr>
          <w:p w14:paraId="6FAB9557">
            <w:pPr>
              <w:pStyle w:val="6"/>
            </w:pPr>
          </w:p>
        </w:tc>
        <w:tc>
          <w:tcPr>
            <w:tcW w:w="3860" w:type="dxa"/>
            <w:vAlign w:val="top"/>
          </w:tcPr>
          <w:p w14:paraId="3248FB3D">
            <w:pPr>
              <w:spacing w:before="223" w:line="220" w:lineRule="auto"/>
              <w:ind w:left="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单位地址：</w:t>
            </w:r>
            <w:r>
              <w:rPr>
                <w:rFonts w:hint="eastAsia" w:ascii="宋体" w:hAnsi="宋体" w:eastAsia="宋体" w:cs="宋体"/>
                <w:spacing w:val="-1"/>
                <w:sz w:val="20"/>
                <w:szCs w:val="20"/>
                <w:lang w:val="en-US" w:eastAsia="zh-CN"/>
              </w:rPr>
              <w:t>长春市绿源经济开发区吉林省远宏彩色压型钢板有限公司1号厂房</w:t>
            </w:r>
          </w:p>
        </w:tc>
      </w:tr>
      <w:tr w14:paraId="2C144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940" w:type="dxa"/>
            <w:vAlign w:val="top"/>
          </w:tcPr>
          <w:p w14:paraId="08E3D336">
            <w:pPr>
              <w:spacing w:before="104" w:line="219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开户行：交通银行长春东方广场支行</w:t>
            </w:r>
          </w:p>
        </w:tc>
        <w:tc>
          <w:tcPr>
            <w:tcW w:w="399" w:type="dxa"/>
            <w:vMerge w:val="continue"/>
            <w:tcBorders>
              <w:top w:val="nil"/>
              <w:bottom w:val="nil"/>
            </w:tcBorders>
            <w:vAlign w:val="top"/>
          </w:tcPr>
          <w:p w14:paraId="5296D9EC">
            <w:pPr>
              <w:pStyle w:val="6"/>
            </w:pPr>
          </w:p>
        </w:tc>
        <w:tc>
          <w:tcPr>
            <w:tcW w:w="3860" w:type="dxa"/>
            <w:vAlign w:val="top"/>
          </w:tcPr>
          <w:p w14:paraId="635B1D2B">
            <w:pPr>
              <w:spacing w:before="104" w:line="220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开户行：</w:t>
            </w:r>
          </w:p>
        </w:tc>
      </w:tr>
      <w:tr w14:paraId="54EA2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940" w:type="dxa"/>
            <w:vAlign w:val="top"/>
          </w:tcPr>
          <w:p w14:paraId="0B376DB0">
            <w:pPr>
              <w:spacing w:before="86" w:line="221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账 号：221000652011917260119</w:t>
            </w:r>
          </w:p>
        </w:tc>
        <w:tc>
          <w:tcPr>
            <w:tcW w:w="399" w:type="dxa"/>
            <w:vMerge w:val="continue"/>
            <w:tcBorders>
              <w:top w:val="nil"/>
              <w:bottom w:val="nil"/>
            </w:tcBorders>
            <w:vAlign w:val="top"/>
          </w:tcPr>
          <w:p w14:paraId="19B2F79F">
            <w:pPr>
              <w:pStyle w:val="6"/>
            </w:pPr>
          </w:p>
        </w:tc>
        <w:tc>
          <w:tcPr>
            <w:tcW w:w="3860" w:type="dxa"/>
            <w:vAlign w:val="top"/>
          </w:tcPr>
          <w:p w14:paraId="0621392B">
            <w:pPr>
              <w:spacing w:before="86" w:line="221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1"/>
                <w:sz w:val="20"/>
                <w:szCs w:val="20"/>
              </w:rPr>
              <w:t>账</w:t>
            </w:r>
            <w:r>
              <w:rPr>
                <w:rFonts w:ascii="宋体" w:hAnsi="宋体" w:eastAsia="宋体" w:cs="宋体"/>
                <w:spacing w:val="5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0"/>
                <w:szCs w:val="20"/>
              </w:rPr>
              <w:t>号：</w:t>
            </w:r>
          </w:p>
        </w:tc>
      </w:tr>
      <w:tr w14:paraId="4F8F2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40" w:type="dxa"/>
            <w:vAlign w:val="top"/>
          </w:tcPr>
          <w:p w14:paraId="6B6CFEEB">
            <w:pPr>
              <w:spacing w:before="76" w:line="220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税 号：91220106MA1719YW3R</w:t>
            </w:r>
          </w:p>
        </w:tc>
        <w:tc>
          <w:tcPr>
            <w:tcW w:w="399" w:type="dxa"/>
            <w:vMerge w:val="continue"/>
            <w:tcBorders>
              <w:top w:val="nil"/>
              <w:bottom w:val="nil"/>
            </w:tcBorders>
            <w:vAlign w:val="top"/>
          </w:tcPr>
          <w:p w14:paraId="4772A7B1">
            <w:pPr>
              <w:pStyle w:val="6"/>
            </w:pPr>
          </w:p>
        </w:tc>
        <w:tc>
          <w:tcPr>
            <w:tcW w:w="3860" w:type="dxa"/>
            <w:vAlign w:val="top"/>
          </w:tcPr>
          <w:p w14:paraId="6B69AF7C">
            <w:pPr>
              <w:spacing w:before="76" w:line="220" w:lineRule="auto"/>
              <w:ind w:left="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税号 ：</w:t>
            </w:r>
          </w:p>
        </w:tc>
      </w:tr>
      <w:tr w14:paraId="5C5E4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3940" w:type="dxa"/>
            <w:vAlign w:val="top"/>
          </w:tcPr>
          <w:p w14:paraId="31646ACF">
            <w:pPr>
              <w:spacing w:before="195" w:line="252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法律文书送达地址：吉林省长春市绿园区(长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春绿园经开区)西景路101号</w:t>
            </w:r>
          </w:p>
        </w:tc>
        <w:tc>
          <w:tcPr>
            <w:tcW w:w="399" w:type="dxa"/>
            <w:vMerge w:val="continue"/>
            <w:tcBorders>
              <w:top w:val="nil"/>
            </w:tcBorders>
            <w:vAlign w:val="top"/>
          </w:tcPr>
          <w:p w14:paraId="46082D8F">
            <w:pPr>
              <w:pStyle w:val="6"/>
            </w:pPr>
          </w:p>
        </w:tc>
        <w:tc>
          <w:tcPr>
            <w:tcW w:w="3860" w:type="dxa"/>
            <w:vAlign w:val="top"/>
          </w:tcPr>
          <w:p w14:paraId="02224F41">
            <w:pPr>
              <w:spacing w:before="65" w:line="219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法律文书送达地址：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-1"/>
                <w:sz w:val="20"/>
                <w:szCs w:val="20"/>
                <w:lang w:val="en-US" w:eastAsia="zh-CN"/>
              </w:rPr>
              <w:t>长春市绿源经济开发区吉林省远宏彩色压型钢板有限公司1号厂房</w:t>
            </w:r>
          </w:p>
        </w:tc>
      </w:tr>
    </w:tbl>
    <w:p w14:paraId="45A64147">
      <w:pPr>
        <w:pStyle w:val="2"/>
        <w:spacing w:before="44" w:line="219" w:lineRule="auto"/>
        <w:ind w:left="355"/>
      </w:pPr>
      <w:r>
        <w:rPr>
          <w:spacing w:val="4"/>
        </w:rPr>
        <w:t>(签字页，以下无正文)</w:t>
      </w:r>
    </w:p>
    <w:p w14:paraId="5976ACBA">
      <w:pPr>
        <w:spacing w:line="219" w:lineRule="auto"/>
        <w:sectPr>
          <w:pgSz w:w="11890" w:h="16810"/>
          <w:pgMar w:top="1428" w:right="1783" w:bottom="0" w:left="1715" w:header="0" w:footer="0" w:gutter="0"/>
          <w:cols w:space="720" w:num="1"/>
        </w:sectPr>
      </w:pPr>
    </w:p>
    <w:p w14:paraId="2F420643">
      <w:pPr>
        <w:spacing w:line="248" w:lineRule="auto"/>
        <w:rPr>
          <w:rFonts w:ascii="Arial"/>
          <w:sz w:val="21"/>
        </w:rPr>
      </w:pPr>
    </w:p>
    <w:p w14:paraId="5A065C0B">
      <w:pPr>
        <w:spacing w:line="249" w:lineRule="auto"/>
        <w:rPr>
          <w:rFonts w:ascii="Arial"/>
          <w:sz w:val="21"/>
        </w:rPr>
      </w:pPr>
    </w:p>
    <w:p w14:paraId="373BA7AE">
      <w:pPr>
        <w:pStyle w:val="2"/>
        <w:spacing w:before="169" w:line="219" w:lineRule="auto"/>
        <w:ind w:left="3614"/>
        <w:rPr>
          <w:sz w:val="52"/>
          <w:szCs w:val="52"/>
        </w:rPr>
      </w:pPr>
      <w:r>
        <w:rPr>
          <w:spacing w:val="-30"/>
          <w:sz w:val="52"/>
          <w:szCs w:val="52"/>
        </w:rPr>
        <w:t>合同附件</w:t>
      </w:r>
    </w:p>
    <w:p w14:paraId="0DBA1F06">
      <w:pPr>
        <w:pStyle w:val="2"/>
        <w:spacing w:before="124" w:line="219" w:lineRule="auto"/>
        <w:ind w:left="734"/>
      </w:pP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5"/>
        </w:rPr>
        <w:t>、危险废物种类及费用：</w:t>
      </w:r>
    </w:p>
    <w:p w14:paraId="7BF7BF97">
      <w:pPr>
        <w:spacing w:before="23"/>
      </w:pPr>
    </w:p>
    <w:tbl>
      <w:tblPr>
        <w:tblStyle w:val="5"/>
        <w:tblW w:w="7449" w:type="dxa"/>
        <w:tblInd w:w="8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618"/>
        <w:gridCol w:w="1208"/>
        <w:gridCol w:w="1767"/>
        <w:gridCol w:w="1743"/>
      </w:tblGrid>
      <w:tr w14:paraId="471A0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113" w:type="dxa"/>
            <w:vAlign w:val="top"/>
          </w:tcPr>
          <w:p w14:paraId="78495956">
            <w:pPr>
              <w:spacing w:before="124" w:line="221" w:lineRule="auto"/>
              <w:ind w:left="33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序号</w:t>
            </w:r>
          </w:p>
        </w:tc>
        <w:tc>
          <w:tcPr>
            <w:tcW w:w="1618" w:type="dxa"/>
            <w:vAlign w:val="top"/>
          </w:tcPr>
          <w:p w14:paraId="45733977">
            <w:pPr>
              <w:spacing w:before="124" w:line="220" w:lineRule="auto"/>
              <w:ind w:left="39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废物名称</w:t>
            </w:r>
          </w:p>
        </w:tc>
        <w:tc>
          <w:tcPr>
            <w:tcW w:w="1208" w:type="dxa"/>
            <w:vAlign w:val="top"/>
          </w:tcPr>
          <w:p w14:paraId="4CCA850A">
            <w:pPr>
              <w:spacing w:before="123" w:line="219" w:lineRule="auto"/>
              <w:ind w:left="19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废物类别</w:t>
            </w:r>
          </w:p>
        </w:tc>
        <w:tc>
          <w:tcPr>
            <w:tcW w:w="1767" w:type="dxa"/>
            <w:vAlign w:val="top"/>
          </w:tcPr>
          <w:p w14:paraId="2DE1FF87">
            <w:pPr>
              <w:spacing w:before="123" w:line="219" w:lineRule="auto"/>
              <w:ind w:left="4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废物代码</w:t>
            </w:r>
          </w:p>
        </w:tc>
        <w:tc>
          <w:tcPr>
            <w:tcW w:w="1743" w:type="dxa"/>
            <w:vAlign w:val="top"/>
          </w:tcPr>
          <w:p w14:paraId="20FC5936">
            <w:pPr>
              <w:spacing w:before="116" w:line="214" w:lineRule="auto"/>
              <w:ind w:left="2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单价(元/</w:t>
            </w: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)</w:t>
            </w:r>
          </w:p>
        </w:tc>
      </w:tr>
      <w:tr w14:paraId="676BD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113" w:type="dxa"/>
            <w:vAlign w:val="top"/>
          </w:tcPr>
          <w:p w14:paraId="556475A3">
            <w:pPr>
              <w:spacing w:before="131" w:line="241" w:lineRule="auto"/>
              <w:ind w:left="4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618" w:type="dxa"/>
            <w:vAlign w:val="top"/>
          </w:tcPr>
          <w:p w14:paraId="15AFCC59">
            <w:pPr>
              <w:pStyle w:val="6"/>
            </w:pPr>
          </w:p>
        </w:tc>
        <w:tc>
          <w:tcPr>
            <w:tcW w:w="1208" w:type="dxa"/>
            <w:vAlign w:val="top"/>
          </w:tcPr>
          <w:p w14:paraId="44D4AAB9">
            <w:pPr>
              <w:pStyle w:val="6"/>
            </w:pPr>
          </w:p>
        </w:tc>
        <w:tc>
          <w:tcPr>
            <w:tcW w:w="1767" w:type="dxa"/>
            <w:vAlign w:val="top"/>
          </w:tcPr>
          <w:p w14:paraId="39AB6CCB">
            <w:pPr>
              <w:pStyle w:val="6"/>
            </w:pPr>
          </w:p>
        </w:tc>
        <w:tc>
          <w:tcPr>
            <w:tcW w:w="1743" w:type="dxa"/>
            <w:vAlign w:val="top"/>
          </w:tcPr>
          <w:p w14:paraId="649EFE7E">
            <w:pPr>
              <w:pStyle w:val="6"/>
            </w:pPr>
          </w:p>
        </w:tc>
      </w:tr>
      <w:tr w14:paraId="5D43D3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113" w:type="dxa"/>
            <w:vAlign w:val="top"/>
          </w:tcPr>
          <w:p w14:paraId="79C71757">
            <w:pPr>
              <w:spacing w:before="133" w:line="241" w:lineRule="auto"/>
              <w:ind w:left="4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618" w:type="dxa"/>
            <w:vAlign w:val="top"/>
          </w:tcPr>
          <w:p w14:paraId="28C95FE4">
            <w:pPr>
              <w:pStyle w:val="6"/>
            </w:pPr>
          </w:p>
        </w:tc>
        <w:tc>
          <w:tcPr>
            <w:tcW w:w="1208" w:type="dxa"/>
            <w:vAlign w:val="top"/>
          </w:tcPr>
          <w:p w14:paraId="4B34DBF6">
            <w:pPr>
              <w:pStyle w:val="6"/>
            </w:pPr>
          </w:p>
        </w:tc>
        <w:tc>
          <w:tcPr>
            <w:tcW w:w="1767" w:type="dxa"/>
            <w:vAlign w:val="top"/>
          </w:tcPr>
          <w:p w14:paraId="7C40FF2A">
            <w:pPr>
              <w:pStyle w:val="6"/>
            </w:pPr>
          </w:p>
        </w:tc>
        <w:tc>
          <w:tcPr>
            <w:tcW w:w="1743" w:type="dxa"/>
            <w:vAlign w:val="top"/>
          </w:tcPr>
          <w:p w14:paraId="1A2CD7E0">
            <w:pPr>
              <w:pStyle w:val="6"/>
            </w:pPr>
          </w:p>
        </w:tc>
      </w:tr>
      <w:tr w14:paraId="45E82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113" w:type="dxa"/>
            <w:vAlign w:val="top"/>
          </w:tcPr>
          <w:p w14:paraId="7D894FE7">
            <w:pPr>
              <w:spacing w:before="133"/>
              <w:ind w:left="4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618" w:type="dxa"/>
            <w:vAlign w:val="top"/>
          </w:tcPr>
          <w:p w14:paraId="65DF8296">
            <w:pPr>
              <w:pStyle w:val="6"/>
            </w:pPr>
          </w:p>
        </w:tc>
        <w:tc>
          <w:tcPr>
            <w:tcW w:w="1208" w:type="dxa"/>
            <w:vAlign w:val="top"/>
          </w:tcPr>
          <w:p w14:paraId="4B4E9FEE">
            <w:pPr>
              <w:pStyle w:val="6"/>
            </w:pPr>
          </w:p>
        </w:tc>
        <w:tc>
          <w:tcPr>
            <w:tcW w:w="1767" w:type="dxa"/>
            <w:vAlign w:val="top"/>
          </w:tcPr>
          <w:p w14:paraId="2491A895">
            <w:pPr>
              <w:pStyle w:val="6"/>
            </w:pPr>
          </w:p>
        </w:tc>
        <w:tc>
          <w:tcPr>
            <w:tcW w:w="1743" w:type="dxa"/>
            <w:vAlign w:val="top"/>
          </w:tcPr>
          <w:p w14:paraId="24AEE5F2">
            <w:pPr>
              <w:pStyle w:val="6"/>
            </w:pPr>
          </w:p>
        </w:tc>
      </w:tr>
      <w:tr w14:paraId="6D158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113" w:type="dxa"/>
            <w:vAlign w:val="top"/>
          </w:tcPr>
          <w:p w14:paraId="322FE441">
            <w:pPr>
              <w:spacing w:before="146" w:line="241" w:lineRule="auto"/>
              <w:ind w:left="4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618" w:type="dxa"/>
            <w:vAlign w:val="top"/>
          </w:tcPr>
          <w:p w14:paraId="11AD8FBB">
            <w:pPr>
              <w:pStyle w:val="6"/>
            </w:pPr>
          </w:p>
        </w:tc>
        <w:tc>
          <w:tcPr>
            <w:tcW w:w="1208" w:type="dxa"/>
            <w:vAlign w:val="top"/>
          </w:tcPr>
          <w:p w14:paraId="782A7E22">
            <w:pPr>
              <w:pStyle w:val="6"/>
            </w:pPr>
          </w:p>
        </w:tc>
        <w:tc>
          <w:tcPr>
            <w:tcW w:w="1767" w:type="dxa"/>
            <w:vAlign w:val="top"/>
          </w:tcPr>
          <w:p w14:paraId="057D15AA">
            <w:pPr>
              <w:pStyle w:val="6"/>
            </w:pPr>
          </w:p>
        </w:tc>
        <w:tc>
          <w:tcPr>
            <w:tcW w:w="1743" w:type="dxa"/>
            <w:vAlign w:val="top"/>
          </w:tcPr>
          <w:p w14:paraId="5F019D97">
            <w:pPr>
              <w:pStyle w:val="6"/>
            </w:pPr>
          </w:p>
        </w:tc>
      </w:tr>
      <w:tr w14:paraId="30AB1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113" w:type="dxa"/>
            <w:vAlign w:val="top"/>
          </w:tcPr>
          <w:p w14:paraId="71717B0C">
            <w:pPr>
              <w:spacing w:before="138"/>
              <w:ind w:left="4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618" w:type="dxa"/>
            <w:vAlign w:val="top"/>
          </w:tcPr>
          <w:p w14:paraId="36BCF2B6">
            <w:pPr>
              <w:pStyle w:val="6"/>
            </w:pPr>
          </w:p>
        </w:tc>
        <w:tc>
          <w:tcPr>
            <w:tcW w:w="1208" w:type="dxa"/>
            <w:vAlign w:val="top"/>
          </w:tcPr>
          <w:p w14:paraId="32A2FF06">
            <w:pPr>
              <w:pStyle w:val="6"/>
            </w:pPr>
          </w:p>
        </w:tc>
        <w:tc>
          <w:tcPr>
            <w:tcW w:w="1767" w:type="dxa"/>
            <w:vAlign w:val="top"/>
          </w:tcPr>
          <w:p w14:paraId="6E6CAE17">
            <w:pPr>
              <w:pStyle w:val="6"/>
            </w:pPr>
          </w:p>
        </w:tc>
        <w:tc>
          <w:tcPr>
            <w:tcW w:w="1743" w:type="dxa"/>
            <w:vAlign w:val="top"/>
          </w:tcPr>
          <w:p w14:paraId="1235E141">
            <w:pPr>
              <w:pStyle w:val="6"/>
            </w:pPr>
          </w:p>
        </w:tc>
      </w:tr>
    </w:tbl>
    <w:p w14:paraId="655AA636">
      <w:pPr>
        <w:pStyle w:val="2"/>
        <w:spacing w:before="191" w:line="219" w:lineRule="auto"/>
        <w:ind w:left="738"/>
      </w:pPr>
      <w:r>
        <w:rPr>
          <w:b/>
          <w:bCs/>
          <w:spacing w:val="-4"/>
        </w:rPr>
        <w:t>备注：处置费包括装卸费和其他服务费。含税、含运费、含装卸费。</w:t>
      </w:r>
    </w:p>
    <w:p w14:paraId="631FA143">
      <w:pPr>
        <w:pStyle w:val="2"/>
        <w:spacing w:before="299" w:line="219" w:lineRule="auto"/>
        <w:ind w:left="734"/>
        <w:rPr>
          <w:sz w:val="23"/>
          <w:szCs w:val="23"/>
        </w:rPr>
      </w:pPr>
      <w:r>
        <w:rPr>
          <w:spacing w:val="6"/>
          <w:sz w:val="23"/>
          <w:szCs w:val="23"/>
        </w:rPr>
        <w:t>税率：6%</w:t>
      </w:r>
      <w:r>
        <w:rPr>
          <w:b/>
          <w:bCs/>
          <w:spacing w:val="6"/>
          <w:sz w:val="23"/>
          <w:szCs w:val="23"/>
        </w:rPr>
        <w:t>(增值税专用发票)</w:t>
      </w:r>
    </w:p>
    <w:p w14:paraId="68EA8280">
      <w:pPr>
        <w:pStyle w:val="2"/>
        <w:spacing w:before="300" w:line="219" w:lineRule="auto"/>
        <w:ind w:left="1145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9"/>
          <w:sz w:val="24"/>
          <w:szCs w:val="24"/>
        </w:rPr>
        <w:t>2</w:t>
      </w:r>
      <w:r>
        <w:rPr>
          <w:spacing w:val="-19"/>
          <w:sz w:val="24"/>
          <w:szCs w:val="24"/>
        </w:rPr>
        <w:t>、甲乙双方确认危险废物的实际重量，检</w:t>
      </w:r>
      <w:r>
        <w:rPr>
          <w:spacing w:val="-20"/>
          <w:sz w:val="24"/>
          <w:szCs w:val="24"/>
        </w:rPr>
        <w:t>斤后开具出门证。</w:t>
      </w:r>
    </w:p>
    <w:p w14:paraId="22476967">
      <w:pPr>
        <w:pStyle w:val="2"/>
        <w:spacing w:before="285" w:line="331" w:lineRule="auto"/>
        <w:ind w:left="1148" w:right="795" w:hanging="3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9"/>
          <w:sz w:val="24"/>
          <w:szCs w:val="24"/>
        </w:rPr>
        <w:t>3</w:t>
      </w:r>
      <w:r>
        <w:rPr>
          <w:spacing w:val="-19"/>
          <w:sz w:val="24"/>
          <w:szCs w:val="24"/>
        </w:rPr>
        <w:t>、甲方向乙方开增值税专用发票，乙方收到发票后按发票金额进行付款。</w:t>
      </w:r>
      <w:r>
        <w:rPr>
          <w:spacing w:val="5"/>
          <w:sz w:val="24"/>
          <w:szCs w:val="24"/>
        </w:rPr>
        <w:t xml:space="preserve"> </w:t>
      </w:r>
      <w:r>
        <w:rPr>
          <w:b/>
          <w:bCs/>
          <w:spacing w:val="-23"/>
          <w:sz w:val="24"/>
          <w:szCs w:val="24"/>
        </w:rPr>
        <w:t>如乙方不及时付给甲方处置费，甲方可起诉</w:t>
      </w:r>
      <w:r>
        <w:rPr>
          <w:b/>
          <w:bCs/>
          <w:spacing w:val="-24"/>
          <w:sz w:val="24"/>
          <w:szCs w:val="24"/>
        </w:rPr>
        <w:t>追讨乙方。</w:t>
      </w:r>
    </w:p>
    <w:p w14:paraId="59DB90D6">
      <w:pPr>
        <w:pStyle w:val="2"/>
        <w:spacing w:before="294" w:line="219" w:lineRule="auto"/>
        <w:ind w:left="1145"/>
      </w:pPr>
      <w:r>
        <w:rPr>
          <w:spacing w:val="-4"/>
        </w:rPr>
        <w:t>4、</w:t>
      </w:r>
      <w:r>
        <w:rPr>
          <w:b/>
          <w:bCs/>
          <w:spacing w:val="-4"/>
        </w:rPr>
        <w:t>本合同附件为合同有效组成部分，与合同具有同等法律效力。</w:t>
      </w:r>
    </w:p>
    <w:p w14:paraId="56D782D8">
      <w:pPr>
        <w:spacing w:line="249" w:lineRule="auto"/>
        <w:rPr>
          <w:rFonts w:ascii="Arial"/>
          <w:sz w:val="21"/>
        </w:rPr>
      </w:pPr>
    </w:p>
    <w:p w14:paraId="4F1130EF">
      <w:pPr>
        <w:spacing w:line="249" w:lineRule="auto"/>
        <w:rPr>
          <w:rFonts w:ascii="Arial"/>
          <w:sz w:val="21"/>
        </w:rPr>
      </w:pPr>
    </w:p>
    <w:p w14:paraId="33367DD5">
      <w:pPr>
        <w:spacing w:line="249" w:lineRule="auto"/>
        <w:rPr>
          <w:rFonts w:ascii="Arial"/>
          <w:sz w:val="21"/>
        </w:rPr>
      </w:pPr>
    </w:p>
    <w:p w14:paraId="4F94FACF">
      <w:pPr>
        <w:spacing w:line="250" w:lineRule="auto"/>
        <w:rPr>
          <w:rFonts w:ascii="Arial"/>
          <w:sz w:val="21"/>
        </w:rPr>
      </w:pPr>
    </w:p>
    <w:p w14:paraId="26FFE7B2">
      <w:pPr>
        <w:spacing w:line="250" w:lineRule="auto"/>
        <w:rPr>
          <w:rFonts w:ascii="Arial"/>
          <w:sz w:val="21"/>
        </w:rPr>
      </w:pPr>
    </w:p>
    <w:p w14:paraId="5F599D6B">
      <w:pPr>
        <w:spacing w:line="250" w:lineRule="auto"/>
        <w:rPr>
          <w:rFonts w:ascii="Arial"/>
          <w:sz w:val="21"/>
        </w:rPr>
      </w:pPr>
    </w:p>
    <w:p w14:paraId="66AD8C42">
      <w:pPr>
        <w:pStyle w:val="2"/>
        <w:spacing w:before="65" w:line="230" w:lineRule="auto"/>
        <w:ind w:left="2207"/>
        <w:rPr>
          <w:sz w:val="20"/>
          <w:szCs w:val="20"/>
        </w:rPr>
      </w:pPr>
      <w:r>
        <w:rPr>
          <w:b/>
          <w:bCs/>
          <w:spacing w:val="-6"/>
          <w:sz w:val="20"/>
          <w:szCs w:val="20"/>
        </w:rPr>
        <w:t>甲方</w:t>
      </w:r>
      <w:r>
        <w:rPr>
          <w:spacing w:val="-6"/>
          <w:sz w:val="20"/>
          <w:szCs w:val="20"/>
        </w:rPr>
        <w:t xml:space="preserve">                                        </w:t>
      </w:r>
      <w:r>
        <w:rPr>
          <w:spacing w:val="-7"/>
          <w:sz w:val="20"/>
          <w:szCs w:val="20"/>
        </w:rPr>
        <w:t xml:space="preserve">    </w:t>
      </w:r>
      <w:r>
        <w:rPr>
          <w:b/>
          <w:bCs/>
          <w:spacing w:val="-7"/>
          <w:sz w:val="20"/>
          <w:szCs w:val="20"/>
        </w:rPr>
        <w:t>乙方</w:t>
      </w:r>
    </w:p>
    <w:p w14:paraId="1A9DEB14">
      <w:pPr>
        <w:spacing w:line="159" w:lineRule="exact"/>
      </w:pPr>
    </w:p>
    <w:tbl>
      <w:tblPr>
        <w:tblStyle w:val="5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69"/>
        <w:gridCol w:w="4340"/>
      </w:tblGrid>
      <w:tr w14:paraId="11C05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4769" w:type="dxa"/>
            <w:vAlign w:val="top"/>
          </w:tcPr>
          <w:p w14:paraId="0874B9E5">
            <w:pPr>
              <w:spacing w:before="182" w:line="219" w:lineRule="auto"/>
              <w:ind w:left="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名称：吉林省高深环保科技有限公司(公章)</w:t>
            </w:r>
          </w:p>
        </w:tc>
        <w:tc>
          <w:tcPr>
            <w:tcW w:w="4340" w:type="dxa"/>
            <w:vAlign w:val="top"/>
          </w:tcPr>
          <w:p w14:paraId="7FB8D6D9">
            <w:pPr>
              <w:spacing w:before="182" w:line="219" w:lineRule="auto"/>
              <w:ind w:left="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名称：(公章)</w:t>
            </w:r>
          </w:p>
        </w:tc>
      </w:tr>
      <w:tr w14:paraId="7DB43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4769" w:type="dxa"/>
            <w:vAlign w:val="top"/>
          </w:tcPr>
          <w:p w14:paraId="12CAACEC">
            <w:pPr>
              <w:spacing w:before="183" w:line="219" w:lineRule="auto"/>
              <w:ind w:left="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2025年月</w:t>
            </w:r>
            <w:r>
              <w:rPr>
                <w:rFonts w:ascii="宋体" w:hAnsi="宋体" w:eastAsia="宋体" w:cs="宋体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日</w:t>
            </w:r>
          </w:p>
        </w:tc>
        <w:tc>
          <w:tcPr>
            <w:tcW w:w="4340" w:type="dxa"/>
            <w:vAlign w:val="top"/>
          </w:tcPr>
          <w:p w14:paraId="4F10595D">
            <w:pPr>
              <w:spacing w:before="183" w:line="219" w:lineRule="auto"/>
              <w:ind w:left="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2025年</w:t>
            </w:r>
            <w:r>
              <w:rPr>
                <w:rFonts w:ascii="宋体" w:hAnsi="宋体" w:eastAsia="宋体" w:cs="宋体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月</w:t>
            </w:r>
            <w:r>
              <w:rPr>
                <w:rFonts w:ascii="宋体" w:hAnsi="宋体" w:eastAsia="宋体" w:cs="宋体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日</w:t>
            </w:r>
          </w:p>
        </w:tc>
      </w:tr>
    </w:tbl>
    <w:p w14:paraId="26694EDF">
      <w:pPr>
        <w:rPr>
          <w:rFonts w:ascii="Arial"/>
          <w:sz w:val="21"/>
        </w:rPr>
      </w:pPr>
    </w:p>
    <w:sectPr>
      <w:pgSz w:w="11890" w:h="16810"/>
      <w:pgMar w:top="1428" w:right="1544" w:bottom="0" w:left="12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AF55E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2294</Words>
  <Characters>2379</Characters>
  <TotalTime>10</TotalTime>
  <ScaleCrop>false</ScaleCrop>
  <LinksUpToDate>false</LinksUpToDate>
  <CharactersWithSpaces>2524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2026-05-14T16:05:00Z</dcterms:created>
  <dc:creator>luzhe</dc:creator>
  <cp:lastModifiedBy>郭立华</cp:lastModifiedBy>
  <dcterms:modified xsi:type="dcterms:W3CDTF">2026-05-14T08:16:42Z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2026-05-14T16:05:42Z</vt:filetime>
  </property>
  <property fmtid="{D5CDD505-2E9C-101B-9397-08002B2CF9AE}" pid="4" name="UsrData">
    <vt:lpwstr>6a058251259dfc001f8ee3eewl</vt:lpwstr>
  </property>
  <property fmtid="{D5CDD505-2E9C-101B-9397-08002B2CF9AE}" pid="5" name="KSOTemplateDocerSaveRecord">
    <vt:lpwstr>eyJoZGlkIjoiMzEwNTM5NzYwMDRjMzkwZTVkZjY2ODkwMGIxNGU0OTUiLCJ1c2VySWQiOiI4MTUwMjU1NDkifQ==</vt:lpwstr>
  </property>
  <property fmtid="{D5CDD505-2E9C-101B-9397-08002B2CF9AE}" pid="6" name="KSOProductBuildVer">
    <vt:lpwstr>2052-12.1.0.25865</vt:lpwstr>
  </property>
  <property fmtid="{D5CDD505-2E9C-101B-9397-08002B2CF9AE}" pid="7" name="ICV">
    <vt:lpwstr>2A1F728F165549FC903BD9BEA54166DF_12</vt:lpwstr>
  </property>
</Properties>
</file>