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4D3E6">
      <w:pPr>
        <w:spacing w:before="480" w:after="480" w:line="288" w:lineRule="auto"/>
        <w:jc w:val="center"/>
        <w:rPr>
          <w:rFonts w:ascii="黑体" w:hAnsi="黑体" w:eastAsia="黑体" w:cs="Arial"/>
          <w:b/>
          <w:sz w:val="44"/>
          <w:szCs w:val="44"/>
        </w:rPr>
      </w:pPr>
      <w:r>
        <w:rPr>
          <w:rFonts w:hint="eastAsia" w:ascii="黑体" w:hAnsi="黑体" w:eastAsia="黑体" w:cs="Arial"/>
          <w:b/>
          <w:sz w:val="44"/>
          <w:szCs w:val="44"/>
        </w:rPr>
        <w:t>金箍</w:t>
      </w:r>
      <w:r>
        <w:rPr>
          <w:rFonts w:ascii="黑体" w:hAnsi="黑体" w:eastAsia="黑体" w:cs="Arial"/>
          <w:b/>
          <w:sz w:val="44"/>
          <w:szCs w:val="44"/>
        </w:rPr>
        <w:t>3项目承诺书</w:t>
      </w:r>
    </w:p>
    <w:p w14:paraId="03D8ECDD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为严格保障宁德时代新能源科技股份有限公司（以下简称“C</w:t>
      </w:r>
      <w:r>
        <w:rPr>
          <w:rFonts w:ascii="宋体" w:hAnsi="宋体" w:eastAsia="宋体" w:cs="Arial"/>
          <w:sz w:val="24"/>
          <w:szCs w:val="24"/>
        </w:rPr>
        <w:t>ATL</w:t>
      </w:r>
      <w:r>
        <w:rPr>
          <w:rFonts w:hint="eastAsia" w:ascii="宋体" w:hAnsi="宋体" w:eastAsia="宋体" w:cs="Arial"/>
          <w:sz w:val="24"/>
          <w:szCs w:val="24"/>
        </w:rPr>
        <w:t>”）产品品质、市场交付秩序及终端用户合法权益，规范金箍</w:t>
      </w:r>
      <w:r>
        <w:rPr>
          <w:rFonts w:ascii="宋体" w:hAnsi="宋体" w:eastAsia="宋体" w:cs="Arial"/>
          <w:sz w:val="24"/>
          <w:szCs w:val="24"/>
        </w:rPr>
        <w:t>3项目返修服务全流程管理，我方（服务返修站点）就承接CATL返修服务工作，针对站点运营、交付时效、产品质量、人员管理、责任兜底等事宜，向</w:t>
      </w:r>
      <w:r>
        <w:rPr>
          <w:rFonts w:hint="eastAsia" w:ascii="宋体" w:hAnsi="宋体" w:eastAsia="宋体" w:cs="Arial"/>
          <w:sz w:val="24"/>
          <w:szCs w:val="24"/>
        </w:rPr>
        <w:t>C</w:t>
      </w:r>
      <w:r>
        <w:rPr>
          <w:rFonts w:ascii="宋体" w:hAnsi="宋体" w:eastAsia="宋体" w:cs="Arial"/>
          <w:sz w:val="24"/>
          <w:szCs w:val="24"/>
        </w:rPr>
        <w:t>ATL作出如下郑重、不可逆的服务承诺</w:t>
      </w:r>
      <w:r>
        <w:rPr>
          <w:rFonts w:hint="eastAsia" w:ascii="宋体" w:hAnsi="宋体" w:eastAsia="宋体" w:cs="Arial"/>
          <w:sz w:val="24"/>
          <w:szCs w:val="24"/>
        </w:rPr>
        <w:t>。</w:t>
      </w:r>
    </w:p>
    <w:p w14:paraId="24D9BDBE">
      <w:pPr>
        <w:spacing w:before="120" w:after="120" w:line="288" w:lineRule="auto"/>
        <w:rPr>
          <w:rFonts w:ascii="宋体" w:hAnsi="宋体" w:eastAsia="宋体" w:cs="Arial"/>
          <w:b/>
          <w:bCs/>
          <w:sz w:val="24"/>
          <w:szCs w:val="24"/>
        </w:rPr>
      </w:pPr>
      <w:r>
        <w:rPr>
          <w:rFonts w:hint="eastAsia" w:ascii="宋体" w:hAnsi="宋体" w:eastAsia="宋体" w:cs="Arial"/>
          <w:b/>
          <w:bCs/>
          <w:sz w:val="24"/>
          <w:szCs w:val="24"/>
        </w:rPr>
        <w:t>一、站点运营与产能交付承诺</w:t>
      </w:r>
    </w:p>
    <w:p w14:paraId="79EC029F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1</w:t>
      </w:r>
      <w:r>
        <w:rPr>
          <w:rFonts w:ascii="宋体" w:hAnsi="宋体" w:eastAsia="宋体" w:cs="Arial"/>
          <w:sz w:val="24"/>
          <w:szCs w:val="24"/>
        </w:rPr>
        <w:t>.</w:t>
      </w:r>
      <w:r>
        <w:rPr>
          <w:rFonts w:hint="eastAsia" w:ascii="宋体" w:hAnsi="宋体" w:eastAsia="宋体" w:cs="Arial"/>
          <w:sz w:val="24"/>
          <w:szCs w:val="24"/>
          <w:u w:val="single"/>
        </w:rPr>
        <w:t>北京</w:t>
      </w:r>
      <w:r>
        <w:rPr>
          <w:rFonts w:ascii="宋体" w:hAnsi="宋体" w:eastAsia="宋体" w:cs="Arial"/>
          <w:sz w:val="24"/>
          <w:szCs w:val="24"/>
          <w:u w:val="single"/>
        </w:rPr>
        <w:t>直营站</w:t>
      </w:r>
      <w:r>
        <w:rPr>
          <w:rFonts w:hint="eastAsia" w:ascii="宋体" w:hAnsi="宋体" w:eastAsia="宋体" w:cs="Arial"/>
          <w:sz w:val="24"/>
          <w:szCs w:val="24"/>
        </w:rPr>
        <w:t>（以下简称“我方”）</w:t>
      </w:r>
      <w:r>
        <w:rPr>
          <w:rFonts w:ascii="宋体" w:hAnsi="宋体" w:eastAsia="宋体" w:cs="Arial"/>
          <w:sz w:val="24"/>
          <w:szCs w:val="24"/>
        </w:rPr>
        <w:t>负责金箍3项目</w:t>
      </w:r>
      <w:r>
        <w:rPr>
          <w:rFonts w:hint="eastAsia" w:ascii="宋体" w:hAnsi="宋体" w:eastAsia="宋体" w:cs="Arial"/>
          <w:sz w:val="24"/>
          <w:szCs w:val="24"/>
        </w:rPr>
        <w:t xml:space="preserve"> </w:t>
      </w:r>
      <w:r>
        <w:rPr>
          <w:rFonts w:hint="eastAsia" w:ascii="宋体" w:hAnsi="宋体" w:eastAsia="宋体" w:cs="Arial"/>
          <w:sz w:val="24"/>
          <w:szCs w:val="24"/>
          <w:u w:val="single"/>
        </w:rPr>
        <w:t>哈尔滨</w:t>
      </w:r>
      <w:r>
        <w:rPr>
          <w:rFonts w:ascii="宋体" w:hAnsi="宋体" w:eastAsia="宋体" w:cs="Arial"/>
          <w:sz w:val="24"/>
          <w:szCs w:val="24"/>
          <w:u w:val="single"/>
        </w:rPr>
        <w:t>返修站点</w:t>
      </w:r>
      <w:r>
        <w:rPr>
          <w:rFonts w:ascii="宋体" w:hAnsi="宋体" w:eastAsia="宋体" w:cs="Arial"/>
          <w:sz w:val="24"/>
          <w:szCs w:val="24"/>
        </w:rPr>
        <w:t>的全权经营与落地运营管理。本次项目市场待整改电箱总量约</w:t>
      </w:r>
      <w:r>
        <w:rPr>
          <w:rFonts w:ascii="宋体" w:hAnsi="宋体" w:eastAsia="宋体" w:cs="Arial"/>
          <w:sz w:val="24"/>
          <w:szCs w:val="24"/>
          <w:u w:val="single"/>
        </w:rPr>
        <w:t xml:space="preserve"> 4688 EA</w:t>
      </w:r>
      <w:r>
        <w:rPr>
          <w:rFonts w:ascii="宋体" w:hAnsi="宋体" w:eastAsia="宋体" w:cs="Arial"/>
          <w:sz w:val="24"/>
          <w:szCs w:val="24"/>
        </w:rPr>
        <w:t>，</w:t>
      </w:r>
      <w:r>
        <w:rPr>
          <w:rFonts w:ascii="宋体" w:hAnsi="宋体" w:eastAsia="宋体" w:cs="Arial"/>
          <w:b/>
          <w:bCs/>
          <w:sz w:val="24"/>
          <w:szCs w:val="24"/>
        </w:rPr>
        <w:t>单箱</w:t>
      </w:r>
      <w:r>
        <w:rPr>
          <w:rFonts w:hint="eastAsia" w:ascii="宋体" w:hAnsi="宋体" w:eastAsia="宋体" w:cs="Arial"/>
          <w:b/>
          <w:bCs/>
          <w:sz w:val="24"/>
          <w:szCs w:val="24"/>
        </w:rPr>
        <w:t>未税</w:t>
      </w:r>
      <w:r>
        <w:rPr>
          <w:rFonts w:ascii="宋体" w:hAnsi="宋体" w:eastAsia="宋体" w:cs="Arial"/>
          <w:b/>
          <w:bCs/>
          <w:sz w:val="24"/>
          <w:szCs w:val="24"/>
        </w:rPr>
        <w:t>单价</w:t>
      </w:r>
      <w:r>
        <w:rPr>
          <w:rFonts w:ascii="宋体" w:hAnsi="宋体" w:eastAsia="宋体" w:cs="Arial"/>
          <w:sz w:val="24"/>
          <w:szCs w:val="24"/>
        </w:rPr>
        <w:t xml:space="preserve"> </w:t>
      </w:r>
      <w:r>
        <w:rPr>
          <w:rFonts w:ascii="宋体" w:hAnsi="宋体" w:eastAsia="宋体" w:cs="Arial"/>
          <w:sz w:val="24"/>
          <w:szCs w:val="24"/>
          <w:u w:val="single"/>
        </w:rPr>
        <w:t>RMB 212元/</w:t>
      </w:r>
      <w:r>
        <w:rPr>
          <w:rFonts w:ascii="宋体" w:hAnsi="宋体" w:eastAsia="宋体" w:cs="Arial"/>
          <w:sz w:val="24"/>
          <w:szCs w:val="24"/>
        </w:rPr>
        <w:t>箱</w:t>
      </w:r>
      <w:r>
        <w:rPr>
          <w:rFonts w:hint="eastAsia" w:ascii="宋体" w:hAnsi="宋体" w:eastAsia="宋体" w:cs="Arial"/>
          <w:sz w:val="24"/>
          <w:szCs w:val="24"/>
        </w:rPr>
        <w:t xml:space="preserve"> </w:t>
      </w:r>
      <w:r>
        <w:rPr>
          <w:rFonts w:hint="eastAsia" w:ascii="宋体" w:hAnsi="宋体" w:eastAsia="宋体" w:cs="Arial"/>
          <w:b/>
          <w:bCs/>
          <w:sz w:val="24"/>
          <w:szCs w:val="24"/>
        </w:rPr>
        <w:t>税率1</w:t>
      </w:r>
      <w:r>
        <w:rPr>
          <w:rFonts w:ascii="宋体" w:hAnsi="宋体" w:eastAsia="宋体" w:cs="Arial"/>
          <w:b/>
          <w:bCs/>
          <w:sz w:val="24"/>
          <w:szCs w:val="24"/>
        </w:rPr>
        <w:t>3</w:t>
      </w:r>
      <w:r>
        <w:rPr>
          <w:rFonts w:hint="eastAsia" w:ascii="宋体" w:hAnsi="宋体" w:eastAsia="宋体" w:cs="Arial"/>
          <w:b/>
          <w:bCs/>
          <w:sz w:val="24"/>
          <w:szCs w:val="24"/>
        </w:rPr>
        <w:t>%</w:t>
      </w:r>
      <w:r>
        <w:rPr>
          <w:rFonts w:ascii="宋体" w:hAnsi="宋体" w:eastAsia="宋体" w:cs="Arial"/>
          <w:sz w:val="24"/>
          <w:szCs w:val="24"/>
        </w:rPr>
        <w:t>，我方承诺保障站点每日返修产出量稳定达到</w:t>
      </w:r>
      <w:r>
        <w:rPr>
          <w:rFonts w:ascii="宋体" w:hAnsi="宋体" w:eastAsia="宋体" w:cs="Arial"/>
          <w:b/>
          <w:bCs/>
          <w:sz w:val="24"/>
          <w:szCs w:val="24"/>
          <w:u w:val="single"/>
        </w:rPr>
        <w:t xml:space="preserve"> 80 EA +</w:t>
      </w:r>
      <w:r>
        <w:rPr>
          <w:rFonts w:ascii="宋体" w:hAnsi="宋体" w:eastAsia="宋体" w:cs="Arial"/>
          <w:sz w:val="24"/>
          <w:szCs w:val="24"/>
        </w:rPr>
        <w:t>及以上，保障项目整体交付进度达标。</w:t>
      </w:r>
      <w:bookmarkStart w:id="0" w:name="_GoBack"/>
      <w:bookmarkEnd w:id="0"/>
    </w:p>
    <w:p w14:paraId="3B28120F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2</w:t>
      </w:r>
      <w:r>
        <w:rPr>
          <w:rFonts w:ascii="宋体" w:hAnsi="宋体" w:eastAsia="宋体" w:cs="Arial"/>
          <w:sz w:val="24"/>
          <w:szCs w:val="24"/>
        </w:rPr>
        <w:t>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 w:cs="Arial"/>
          <w:sz w:val="24"/>
          <w:szCs w:val="24"/>
        </w:rPr>
        <w:t>我方严格执行CATL交付时效标准，所有电箱返修业务必须在收货到发货</w:t>
      </w:r>
      <w:r>
        <w:rPr>
          <w:rFonts w:ascii="宋体" w:hAnsi="宋体" w:eastAsia="宋体" w:cs="Arial"/>
          <w:sz w:val="24"/>
          <w:szCs w:val="24"/>
        </w:rPr>
        <w:t>48小时内完成全流程返修交付。若非CATL原因、非不可抗力因素导致返修超时，由此产生的CATL客户停运损失、市场赔付损失、品牌损失等一切相关费用，全部由我方独立承担（责任判定以CATL售后方案组、交付组最终判定结果为准）。</w:t>
      </w:r>
    </w:p>
    <w:p w14:paraId="625AE670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3</w:t>
      </w:r>
      <w:r>
        <w:rPr>
          <w:rFonts w:ascii="宋体" w:hAnsi="宋体" w:eastAsia="宋体" w:cs="Arial"/>
          <w:sz w:val="24"/>
          <w:szCs w:val="24"/>
        </w:rPr>
        <w:t>.我方承诺严格遵照CATL整体项目要求，于9月30日前保质、保量、全数完成本次市场车辆电箱整改工作。若因我方运营管理疏漏、产能不足、人员调配不当、生产组织不力等自身原因导致项目延期、交付滞后，所产生的一切整改追加费用、逾期违约金、市场追偿费用，均由我方全额自行承担，CATL无需承担任何责任。</w:t>
      </w:r>
    </w:p>
    <w:p w14:paraId="56C0B656">
      <w:pPr>
        <w:spacing w:before="120" w:after="120" w:line="288" w:lineRule="auto"/>
        <w:rPr>
          <w:rFonts w:ascii="宋体" w:hAnsi="宋体" w:eastAsia="宋体" w:cs="Arial"/>
          <w:b/>
          <w:bCs/>
          <w:sz w:val="24"/>
          <w:szCs w:val="24"/>
        </w:rPr>
      </w:pPr>
      <w:r>
        <w:rPr>
          <w:rFonts w:ascii="宋体" w:hAnsi="宋体" w:eastAsia="宋体" w:cs="Arial"/>
          <w:b/>
          <w:bCs/>
          <w:sz w:val="24"/>
          <w:szCs w:val="24"/>
        </w:rPr>
        <w:t>二、产品质量与质保兜底承诺</w:t>
      </w:r>
    </w:p>
    <w:p w14:paraId="593E7589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我方承诺所有经我方返修整改的电箱产品，统一提供1年质保服务。质保期内，终端市场反馈的产品故障、质量异常等问题，经CATL售后方案组、RSD FA技术判定，确因我方返修工艺、操作失误、品控缺失、管理不当导致的质量问题，全部责任及对应的维修、赔付、整改费用由我方全额承担。</w:t>
      </w:r>
    </w:p>
    <w:p w14:paraId="008D186E">
      <w:pPr>
        <w:spacing w:before="120" w:after="120" w:line="288" w:lineRule="auto"/>
        <w:rPr>
          <w:rFonts w:ascii="宋体" w:hAnsi="宋体" w:eastAsia="宋体" w:cs="Arial"/>
          <w:b/>
          <w:bCs/>
          <w:sz w:val="24"/>
          <w:szCs w:val="24"/>
        </w:rPr>
      </w:pPr>
      <w:r>
        <w:rPr>
          <w:rFonts w:hint="eastAsia" w:ascii="宋体" w:hAnsi="宋体" w:eastAsia="宋体" w:cs="Arial"/>
          <w:b/>
          <w:bCs/>
          <w:sz w:val="24"/>
          <w:szCs w:val="24"/>
        </w:rPr>
        <w:t>三、</w:t>
      </w:r>
      <w:r>
        <w:rPr>
          <w:rFonts w:ascii="宋体" w:hAnsi="宋体" w:eastAsia="宋体" w:cs="Arial"/>
          <w:b/>
          <w:bCs/>
          <w:sz w:val="24"/>
          <w:szCs w:val="24"/>
        </w:rPr>
        <w:t>质量管控与驻场管理配合承诺</w:t>
      </w:r>
    </w:p>
    <w:p w14:paraId="16A63D4B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1.我方完全认可并配合CATL质量管理体系要求，无条件接受CATL派驻1名驻点质量管控人员，全权负责返修站点整体质量管控、流程监督、问题稽查工作，我方全力配合、服从管控、无条件执行CATL质量整改要求。</w:t>
      </w:r>
    </w:p>
    <w:p w14:paraId="579B9074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2.我方严格配合CATL过程质量监督管理要求，无条件接受CATL派驻1名过程质量监控人员，对返修全工序、全流程开展质量监督，我方严格按照CATL质量标准作业，杜绝违规操作、粗放作业。</w:t>
      </w:r>
    </w:p>
    <w:p w14:paraId="0B75BE23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3.我方承诺主动配置具备金箍2项目成熟管理经验、一线生产实操经验的专项人员驻场支持本次金箍3项目运营及生产工作，保障站点管理合规、生产高效、质量可控，杜绝因人员能力不足导致的质量、时效问题。</w:t>
      </w:r>
    </w:p>
    <w:p w14:paraId="3F0BFC50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4.若我方在项目运营、生产技术、人员配置方面存在需求，需向CATL售后方案组、网络组提出协助申请的，所有由此产生的人员、技术、服务等全部成本费用，均由我方自行承担。</w:t>
      </w:r>
    </w:p>
    <w:p w14:paraId="302E0B7B">
      <w:pPr>
        <w:spacing w:before="120" w:after="120" w:line="288" w:lineRule="auto"/>
        <w:rPr>
          <w:rFonts w:ascii="宋体" w:hAnsi="宋体" w:eastAsia="宋体" w:cs="Arial"/>
          <w:b/>
          <w:bCs/>
          <w:sz w:val="24"/>
          <w:szCs w:val="24"/>
        </w:rPr>
      </w:pPr>
      <w:r>
        <w:rPr>
          <w:rFonts w:hint="eastAsia" w:ascii="宋体" w:hAnsi="宋体" w:eastAsia="宋体" w:cs="Arial"/>
          <w:b/>
          <w:bCs/>
          <w:sz w:val="24"/>
          <w:szCs w:val="24"/>
        </w:rPr>
        <w:t>四、</w:t>
      </w:r>
      <w:r>
        <w:rPr>
          <w:rFonts w:ascii="宋体" w:hAnsi="宋体" w:eastAsia="宋体" w:cs="Arial"/>
          <w:b/>
          <w:bCs/>
          <w:sz w:val="24"/>
          <w:szCs w:val="24"/>
        </w:rPr>
        <w:t>专项质量目标与全流程管控承诺</w:t>
      </w:r>
    </w:p>
    <w:p w14:paraId="5BBC4703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我方充分认可并严格遵从</w:t>
      </w:r>
      <w:r>
        <w:rPr>
          <w:rFonts w:hint="eastAsia" w:ascii="宋体" w:hAnsi="宋体" w:eastAsia="宋体" w:cs="Arial"/>
          <w:sz w:val="24"/>
          <w:szCs w:val="24"/>
        </w:rPr>
        <w:t>C</w:t>
      </w:r>
      <w:r>
        <w:rPr>
          <w:rFonts w:ascii="宋体" w:hAnsi="宋体" w:eastAsia="宋体" w:cs="Arial"/>
          <w:sz w:val="24"/>
          <w:szCs w:val="24"/>
        </w:rPr>
        <w:t>ATL“以完美的品质超越客户的期望”的质量理念，自愿全面落地CATL集中返修质量管控提升相关流程、制度及管理要求，常态化规范返修作业标准、强化过程质量管控、持续提升返修产品整体品质，全力保障CATL产品质量及终端用户权益。</w:t>
      </w:r>
    </w:p>
    <w:p w14:paraId="4CF49CD4">
      <w:pPr>
        <w:spacing w:before="120" w:after="120" w:line="288" w:lineRule="auto"/>
        <w:ind w:firstLine="482" w:firstLineChars="200"/>
        <w:rPr>
          <w:rFonts w:ascii="宋体" w:hAnsi="宋体" w:eastAsia="宋体" w:cs="Arial"/>
          <w:b/>
          <w:bCs/>
          <w:sz w:val="24"/>
          <w:szCs w:val="24"/>
        </w:rPr>
      </w:pPr>
      <w:r>
        <w:rPr>
          <w:rFonts w:ascii="宋体" w:hAnsi="宋体" w:eastAsia="宋体" w:cs="Arial"/>
          <w:b/>
          <w:bCs/>
          <w:sz w:val="24"/>
          <w:szCs w:val="24"/>
        </w:rPr>
        <w:t>4.1 站点基础合规管控承诺</w:t>
      </w:r>
    </w:p>
    <w:p w14:paraId="70F00D79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a) 我方确保返修作业场地完全符合国家法律法规强制性要求及CATL各项场地管理标准，场地布局、作业环境、安全设施、仓储条件等全部满足集中返修作业规范，杜绝违规作业场地投入使用。</w:t>
      </w:r>
    </w:p>
    <w:p w14:paraId="1185CB70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b) 我方将严格按照CATL标准足额配齐管理人员、一线操作人员及配套职能人员，所有关键岗位人员必须通过CATL资质审核并取得官方认可后方可上岗，严禁无资质、不合格人员从事返修核心作业及管理工作。</w:t>
      </w:r>
    </w:p>
    <w:p w14:paraId="41CE35FC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c) 所有用于产品检测、尺寸校验、扭矩管控、性能测试的计量器具、生产设备、工装工具等，均严格按照法规及CATL技术标准完成定期检定、校准工作，确保设备器具状态合规、有效，留存完整合格证书及校准记录。超期未校准、校准不合格、性能异常的设备器具，我方承诺严禁投入品质检验及生产作业。</w:t>
      </w:r>
    </w:p>
    <w:p w14:paraId="38D89230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d) 我方所有返修作业严格遵照CATL发布的《集中返修作业标准程序（SOP）》《服务站内部管理标准》等官方文件执行，全程标准化、规范化作业。作业过程中若发现SOP条款缺失、内容不适配现场作业场景等问题，我方将第一时间暂停对应工序作业，主动向CATL举手反馈，待取得CATL正式审批及更新作业标准后，方可恢复作业，严禁私自违规操作、变通作业。</w:t>
      </w:r>
    </w:p>
    <w:p w14:paraId="7173E56B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e) 我方承诺，凡涉及可能影响产品返修质量的各类计划性变更，均提前以书面形式向CATL报备，经CATL审核认可后方可实施。变更范围包含但不限于：作业方式、关键岗位人员、生产设备、工装夹具、产品包装、运输交付方式等核心生产及配套环节。未经CATL审批的私自变更，我方自愿承担全部质量风险及违约责任。</w:t>
      </w:r>
    </w:p>
    <w:p w14:paraId="0757E527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f) 作业过程中一旦发现产品质量异常、工艺偏差、潜在质量风险等问题，我方将第一时间启动紧急遏制措施，落实停机停线、风险产品排查、问题产品冻结封存等管控动作，精准界定风险产品范围、开展全面风险评估，全程配合CATL驻点人员、方案组核查确认，经CATL审核通过后方可恢复生产及产品出货，杜绝带风险产品流入市场。</w:t>
      </w:r>
    </w:p>
    <w:p w14:paraId="47AAE5A7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g）我方将严格执行C</w:t>
      </w:r>
      <w:r>
        <w:rPr>
          <w:rFonts w:ascii="宋体" w:hAnsi="宋体" w:eastAsia="宋体" w:cs="Arial"/>
          <w:sz w:val="24"/>
          <w:szCs w:val="24"/>
        </w:rPr>
        <w:t>ATL</w:t>
      </w:r>
      <w:r>
        <w:rPr>
          <w:rFonts w:hint="eastAsia" w:ascii="宋体" w:hAnsi="宋体" w:eastAsia="宋体" w:cs="Arial"/>
          <w:sz w:val="24"/>
          <w:szCs w:val="24"/>
        </w:rPr>
        <w:t xml:space="preserve">信息安全及保密，站点所有人员进入生产区域手机封膜 现场电脑摄像头标签封闭，若因我方管理疏漏引发的信息安全事件或发生资料泄密情形，由我方承担全部相应责任。 </w:t>
      </w:r>
    </w:p>
    <w:p w14:paraId="71391E4D">
      <w:pPr>
        <w:spacing w:before="120" w:after="120" w:line="288" w:lineRule="auto"/>
        <w:ind w:firstLine="482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b/>
          <w:bCs/>
          <w:sz w:val="24"/>
          <w:szCs w:val="24"/>
        </w:rPr>
        <w:t>4.2 过程质量精细化管控承诺</w:t>
      </w:r>
    </w:p>
    <w:p w14:paraId="65CF2288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a) 我方将严格对标CATL既定质量目标，在每日作业前完成质量目标拆解、落地措施制定，通过早会、周例会常态化跟进质量落地情况、复盘质量问题、优化管控措施，确保返修全过程合规可控、终端出货品质达标。</w:t>
      </w:r>
    </w:p>
    <w:p w14:paraId="6A5357EE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b) 我方投资方为站点返修质量第一责任人，将定期组织全员开展质量意识、作业标准、安全规范专项培训，确保管理层、执行层全员熟知项目管理要求、考核标准、作业规范，严格恪守质量红线及“安全零容忍”核心原则。</w:t>
      </w:r>
    </w:p>
    <w:p w14:paraId="46182445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c) 生产班长对所辖班组人员上岗资质、标准化作业执行情况全权负责，所有上岗人员必须完成SOP作业规范、安全准则、质量管控意识专项培训，考核合格取得上岗资质后方可上岗作业，严禁无证上岗、违规上岗。</w:t>
      </w:r>
    </w:p>
    <w:p w14:paraId="0224889A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d) 每条作业拉线专属配置质量班长，全权负责本拉线质量管控落地工作，严格落实每日巡检、产品抽检、工序核查等工作，全程监督关键岗位合规作业，及时闭环CATL巡检发现的各类问题，快速处置现场质量异常隐患，杜绝质量问题积压、扩散。</w:t>
      </w:r>
    </w:p>
    <w:p w14:paraId="1DC4B671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e) 各拉线关键工序、质量节点设置专职质量管控岗位，负责落实员工自互检核查、实物质量校验、设备工装日常点检等工作，每日确认设备状态、作业合规性、产品品质状态，筑牢工序质量防线。</w:t>
      </w:r>
    </w:p>
    <w:p w14:paraId="412085E5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f) 所有关键工序岗位张贴醒目质量管控要点及作业标准，每日开班前由站点管理人员、现场负责人统一宣导培训，强化全员质量管控意识，从源头规避操作失误、质量缺陷。</w:t>
      </w:r>
    </w:p>
    <w:p w14:paraId="1C48DE2F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g) 我方建立质量问题台账，对站点历史质量问题、行业同类问题、其他站点横展问题统一归档记录，形成常态化点检核查清单，每日对照清单逐项排查整改、闭环落实，并与CATL驻点人员达成管控共识，彻底杜绝同类质量问题重复发生。</w:t>
      </w:r>
    </w:p>
    <w:p w14:paraId="1ECC2EB1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h) 我方严格按照CATL要求完成返修全流程数据记录、分类归档、溯源留存工作，确保所有质量数据、作业记录真实、完整、有效、可追溯，实现问题产品、违规工位、责任人员精准溯源，全力配合CATL质量稽查及复盘工作。</w:t>
      </w:r>
    </w:p>
    <w:p w14:paraId="47F2CCEE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i) 所有返修工单必须在CATL指定系统内完整填报，精准记录产品故障信息、返修整改措施、物料使用情况、作业人员、返修结果等核心数据，做到工单信息全覆盖、无遗漏、可溯源。</w:t>
      </w:r>
    </w:p>
    <w:p w14:paraId="03EAE5A8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j) 我方严格遵照CATL认可的返工返修白名单及标准化SOP开展作业，仅合规开展清单内常规返修工作。对于白名单外的非常规返工返修场景，我方绝不私自处置，第一时间报备CATL驻点人员及售后方案组，经CATL审核批准后方可实施返修作业，严控非常规返修质量风险。</w:t>
      </w:r>
    </w:p>
    <w:p w14:paraId="6ED1280B">
      <w:pPr>
        <w:spacing w:before="120" w:after="120" w:line="288" w:lineRule="auto"/>
        <w:ind w:firstLine="482" w:firstLineChars="200"/>
        <w:rPr>
          <w:rFonts w:ascii="宋体" w:hAnsi="宋体" w:eastAsia="宋体" w:cs="Arial"/>
          <w:b/>
          <w:bCs/>
          <w:sz w:val="24"/>
          <w:szCs w:val="24"/>
        </w:rPr>
      </w:pPr>
      <w:r>
        <w:rPr>
          <w:rFonts w:hint="eastAsia" w:ascii="宋体" w:hAnsi="宋体" w:eastAsia="宋体" w:cs="Arial"/>
          <w:b/>
          <w:bCs/>
          <w:sz w:val="24"/>
          <w:szCs w:val="24"/>
        </w:rPr>
        <w:t>五</w:t>
      </w:r>
      <w:r>
        <w:rPr>
          <w:rFonts w:ascii="宋体" w:hAnsi="宋体" w:eastAsia="宋体" w:cs="Arial"/>
          <w:b/>
          <w:bCs/>
          <w:sz w:val="24"/>
          <w:szCs w:val="24"/>
        </w:rPr>
        <w:t>、质保</w:t>
      </w:r>
      <w:r>
        <w:rPr>
          <w:rFonts w:hint="eastAsia" w:ascii="宋体" w:hAnsi="宋体" w:eastAsia="宋体" w:cs="Arial"/>
          <w:b/>
          <w:bCs/>
          <w:sz w:val="24"/>
          <w:szCs w:val="24"/>
        </w:rPr>
        <w:t>、索赔与考核承诺</w:t>
      </w:r>
    </w:p>
    <w:p w14:paraId="0771815A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5.</w:t>
      </w:r>
      <w:r>
        <w:rPr>
          <w:rFonts w:ascii="宋体" w:hAnsi="宋体" w:eastAsia="宋体" w:cs="Arial"/>
          <w:sz w:val="24"/>
          <w:szCs w:val="24"/>
        </w:rPr>
        <w:t>1在本项目合作周期内，凡因我方（直营站投资方）运营管理、作业操作、品控疏漏等自身责任导致的产品质量问题，由我方全权负责免费维修，并承担全部衍生费用。同时，CATL（宁德时代湖北科技有限公司）有权自行或委托第三方机构开展维修整改工作，由此产生的所有维修成本、服务费用、人工成本等全部费用，均由我方全额承担。</w:t>
      </w:r>
    </w:p>
    <w:p w14:paraId="58025E1C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5.2索赔通用规则</w:t>
      </w:r>
    </w:p>
    <w:p w14:paraId="4A052468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我方确认，若因我方违反本承诺书约定、违规作业、管理缺失、质量管控不到位等自身原因，造成CATL各类损失的，CATL有权向我方追偿全部损失及相关损害费用；若CATL实际产生的损失未在本条款列明，我方仍需全额补足赔偿，不得以条款未列明为由免责。具体索赔范围如下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1144"/>
        <w:gridCol w:w="6122"/>
      </w:tblGrid>
      <w:tr w14:paraId="2D9B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747" w:type="dxa"/>
          </w:tcPr>
          <w:p w14:paraId="642FBEA4">
            <w:pPr>
              <w:spacing w:line="420" w:lineRule="exact"/>
              <w:jc w:val="center"/>
              <w:rPr>
                <w:rFonts w:ascii="宋体" w:hAnsi="宋体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44" w:type="dxa"/>
          </w:tcPr>
          <w:p w14:paraId="16B1809B">
            <w:pPr>
              <w:spacing w:line="420" w:lineRule="exact"/>
              <w:jc w:val="center"/>
              <w:rPr>
                <w:rFonts w:ascii="宋体" w:hAnsi="宋体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kern w:val="0"/>
                <w:sz w:val="20"/>
                <w:szCs w:val="20"/>
              </w:rPr>
              <w:t>损失类型</w:t>
            </w:r>
          </w:p>
        </w:tc>
        <w:tc>
          <w:tcPr>
            <w:tcW w:w="6122" w:type="dxa"/>
          </w:tcPr>
          <w:p w14:paraId="329F8AC8">
            <w:pPr>
              <w:spacing w:line="420" w:lineRule="exact"/>
              <w:jc w:val="center"/>
              <w:rPr>
                <w:rFonts w:ascii="宋体" w:hAnsi="宋体"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kern w:val="0"/>
                <w:sz w:val="20"/>
                <w:szCs w:val="20"/>
              </w:rPr>
              <w:t>细则</w:t>
            </w:r>
          </w:p>
        </w:tc>
      </w:tr>
      <w:tr w14:paraId="6C63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6" w:hRule="atLeast"/>
        </w:trPr>
        <w:tc>
          <w:tcPr>
            <w:tcW w:w="747" w:type="dxa"/>
            <w:vAlign w:val="center"/>
          </w:tcPr>
          <w:p w14:paraId="53783860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1</w:t>
            </w:r>
          </w:p>
        </w:tc>
        <w:tc>
          <w:tcPr>
            <w:tcW w:w="1144" w:type="dxa"/>
            <w:vAlign w:val="center"/>
          </w:tcPr>
          <w:p w14:paraId="4617A6FF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产品报废损失</w:t>
            </w:r>
          </w:p>
          <w:p w14:paraId="146E629A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</w:p>
        </w:tc>
        <w:tc>
          <w:tcPr>
            <w:tcW w:w="6122" w:type="dxa"/>
            <w:vAlign w:val="center"/>
          </w:tcPr>
          <w:p w14:paraId="69C958E1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hint="eastAsia" w:ascii="宋体" w:hAnsi="宋体" w:eastAsia="宋体" w:cs="Arial"/>
                <w:kern w:val="2"/>
                <w:sz w:val="20"/>
                <w:szCs w:val="20"/>
              </w:rPr>
              <w:t>因我方人员操作失误、工艺违规、管理不当等责任导致产品报废的，我方需全额承担报废产品原材料成本、返修半成品</w:t>
            </w: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/成品生产成本，以及对应产生的第三方运输、处置等全部相关费用。为保护CATL机密信息，所有半成品、成品报废流程均由CATL或CATL指定第三方统一执行。</w:t>
            </w:r>
          </w:p>
        </w:tc>
      </w:tr>
      <w:tr w14:paraId="047B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8" w:hRule="atLeast"/>
        </w:trPr>
        <w:tc>
          <w:tcPr>
            <w:tcW w:w="747" w:type="dxa"/>
            <w:vAlign w:val="center"/>
          </w:tcPr>
          <w:p w14:paraId="42179F23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2</w:t>
            </w:r>
          </w:p>
        </w:tc>
        <w:tc>
          <w:tcPr>
            <w:tcW w:w="1144" w:type="dxa"/>
            <w:vAlign w:val="center"/>
          </w:tcPr>
          <w:p w14:paraId="1F40CBAC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人工</w:t>
            </w:r>
            <w:r>
              <w:rPr>
                <w:rFonts w:hint="eastAsia" w:ascii="宋体" w:hAnsi="宋体" w:eastAsia="宋体" w:cs="Arial"/>
                <w:kern w:val="2"/>
                <w:sz w:val="20"/>
                <w:szCs w:val="20"/>
              </w:rPr>
              <w:t>督导</w:t>
            </w: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成本</w:t>
            </w:r>
          </w:p>
        </w:tc>
        <w:tc>
          <w:tcPr>
            <w:tcW w:w="6122" w:type="dxa"/>
            <w:vAlign w:val="center"/>
          </w:tcPr>
          <w:p w14:paraId="13D243AE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hint="eastAsia" w:ascii="宋体" w:hAnsi="宋体" w:eastAsia="宋体" w:cs="Arial"/>
                <w:kern w:val="2"/>
                <w:sz w:val="20"/>
                <w:szCs w:val="20"/>
              </w:rPr>
              <w:t>因我方返修质量问题频发、良品产出率不达标、现场管理混乱等原因，导致CATL派驻专项人员驻点督导整改的，我方需全额承担CATL派驻人员相关费用，具体标准：餐饮补助</w:t>
            </w: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100元/天；交通费凭有效票据实报实销；住宿费按城市等级核定，一线及新一线城市500元/天，二线城市、各省会城市、直辖市、特区城市、珠三角及长三角地区400元/天，其余城市300元/天。</w:t>
            </w:r>
          </w:p>
        </w:tc>
      </w:tr>
      <w:tr w14:paraId="4BBF9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</w:trPr>
        <w:tc>
          <w:tcPr>
            <w:tcW w:w="747" w:type="dxa"/>
            <w:vAlign w:val="center"/>
          </w:tcPr>
          <w:p w14:paraId="00D00A64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3</w:t>
            </w:r>
          </w:p>
        </w:tc>
        <w:tc>
          <w:tcPr>
            <w:tcW w:w="1144" w:type="dxa"/>
            <w:vAlign w:val="center"/>
          </w:tcPr>
          <w:p w14:paraId="4178174D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运输及存储成本</w:t>
            </w:r>
          </w:p>
        </w:tc>
        <w:tc>
          <w:tcPr>
            <w:tcW w:w="6122" w:type="dxa"/>
            <w:vAlign w:val="center"/>
          </w:tcPr>
          <w:p w14:paraId="3722C3D5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hint="eastAsia" w:ascii="宋体" w:hAnsi="宋体" w:eastAsia="宋体" w:cs="Arial"/>
                <w:kern w:val="2"/>
                <w:sz w:val="20"/>
                <w:szCs w:val="20"/>
              </w:rPr>
              <w:t>我方承担因我方产出缺陷产品、批次性质量异常，导致CATL产生的全部物流运输、仓储保管、周转处置等实际费用。</w:t>
            </w:r>
          </w:p>
        </w:tc>
      </w:tr>
      <w:tr w14:paraId="591D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747" w:type="dxa"/>
            <w:vAlign w:val="center"/>
          </w:tcPr>
          <w:p w14:paraId="1099A4DD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4</w:t>
            </w:r>
          </w:p>
        </w:tc>
        <w:tc>
          <w:tcPr>
            <w:tcW w:w="1144" w:type="dxa"/>
            <w:vAlign w:val="center"/>
          </w:tcPr>
          <w:p w14:paraId="2226E844">
            <w:pPr>
              <w:widowControl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其他衍生损失</w:t>
            </w:r>
          </w:p>
          <w:p w14:paraId="1C90243C">
            <w:pPr>
              <w:spacing w:line="420" w:lineRule="exact"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</w:p>
        </w:tc>
        <w:tc>
          <w:tcPr>
            <w:tcW w:w="6122" w:type="dxa"/>
            <w:vAlign w:val="center"/>
          </w:tcPr>
          <w:p w14:paraId="52531A19">
            <w:pPr>
              <w:widowControl/>
              <w:rPr>
                <w:rFonts w:ascii="宋体" w:hAnsi="宋体" w:eastAsia="宋体" w:cs="Arial"/>
                <w:kern w:val="2"/>
                <w:sz w:val="20"/>
                <w:szCs w:val="20"/>
              </w:rPr>
            </w:pPr>
            <w:r>
              <w:rPr>
                <w:rFonts w:ascii="宋体" w:hAnsi="宋体" w:eastAsia="宋体" w:cs="Arial"/>
                <w:kern w:val="2"/>
                <w:sz w:val="20"/>
                <w:szCs w:val="20"/>
              </w:rPr>
              <w:t>我方对CATL因我方产品质量缺陷引发的全部损失、开支承担兜底赔偿责任，包含但不限于：CATL终端客户索赔费用、产品检测试验费用、交付延误产生的加急物流及整改开支、违约清算损失、行政罚款及各类赔付支出。</w:t>
            </w:r>
          </w:p>
        </w:tc>
      </w:tr>
    </w:tbl>
    <w:p w14:paraId="52C82B3E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5</w:t>
      </w:r>
      <w:r>
        <w:rPr>
          <w:rFonts w:ascii="宋体" w:hAnsi="宋体" w:eastAsia="宋体" w:cs="Arial"/>
          <w:sz w:val="24"/>
          <w:szCs w:val="24"/>
        </w:rPr>
        <w:t>.3</w:t>
      </w:r>
      <w:r>
        <w:rPr>
          <w:rFonts w:hint="eastAsia" w:ascii="宋体" w:hAnsi="宋体" w:eastAsia="宋体" w:cs="Arial"/>
          <w:sz w:val="24"/>
          <w:szCs w:val="24"/>
        </w:rPr>
        <w:t>质量评比</w:t>
      </w:r>
      <w:r>
        <w:rPr>
          <w:rFonts w:ascii="宋体" w:hAnsi="宋体" w:eastAsia="宋体" w:cs="Arial"/>
          <w:sz w:val="24"/>
          <w:szCs w:val="24"/>
        </w:rPr>
        <w:t>&amp;考核规则</w:t>
      </w:r>
    </w:p>
    <w:tbl>
      <w:tblPr>
        <w:tblStyle w:val="8"/>
        <w:tblW w:w="8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157"/>
        <w:gridCol w:w="2835"/>
        <w:gridCol w:w="1388"/>
        <w:gridCol w:w="1730"/>
      </w:tblGrid>
      <w:tr w14:paraId="5956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auto" w:fill="auto"/>
            <w:vAlign w:val="center"/>
          </w:tcPr>
          <w:p w14:paraId="56D46C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2E621F0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分类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54D0BD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指标说明 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77CCD93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单次计分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08B66BE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惩罚性违约金 </w:t>
            </w:r>
          </w:p>
        </w:tc>
      </w:tr>
      <w:tr w14:paraId="02DF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59B0EE3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157" w:type="dxa"/>
            <w:vMerge w:val="restart"/>
            <w:shd w:val="clear" w:color="000000" w:fill="FFFFFF"/>
            <w:vAlign w:val="center"/>
          </w:tcPr>
          <w:p w14:paraId="73AEAD7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安全管理</w:t>
            </w:r>
          </w:p>
        </w:tc>
        <w:tc>
          <w:tcPr>
            <w:tcW w:w="2835" w:type="dxa"/>
            <w:shd w:val="clear" w:color="000000" w:fill="FFFFFF"/>
          </w:tcPr>
          <w:p w14:paraId="0F4246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报废包存放周期超10天</w:t>
            </w:r>
          </w:p>
        </w:tc>
        <w:tc>
          <w:tcPr>
            <w:tcW w:w="1388" w:type="dxa"/>
            <w:shd w:val="clear" w:color="000000" w:fill="FFFFFF"/>
          </w:tcPr>
          <w:p w14:paraId="7C8A84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-10</w:t>
            </w:r>
          </w:p>
        </w:tc>
        <w:tc>
          <w:tcPr>
            <w:tcW w:w="1730" w:type="dxa"/>
            <w:shd w:val="clear" w:color="000000" w:fill="FFFFFF"/>
          </w:tcPr>
          <w:p w14:paraId="68FB11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无固定违约金，计入月度综合评分</w:t>
            </w:r>
          </w:p>
        </w:tc>
      </w:tr>
      <w:tr w14:paraId="3A19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5DCFBA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157" w:type="dxa"/>
            <w:vMerge w:val="continue"/>
            <w:vAlign w:val="center"/>
          </w:tcPr>
          <w:p w14:paraId="052A07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385EF1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报废包存放数量超50个</w:t>
            </w:r>
          </w:p>
        </w:tc>
        <w:tc>
          <w:tcPr>
            <w:tcW w:w="1388" w:type="dxa"/>
            <w:shd w:val="clear" w:color="000000" w:fill="FFFFFF"/>
          </w:tcPr>
          <w:p w14:paraId="2D5ABDD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-10</w:t>
            </w:r>
          </w:p>
        </w:tc>
        <w:tc>
          <w:tcPr>
            <w:tcW w:w="1730" w:type="dxa"/>
            <w:shd w:val="clear" w:color="000000" w:fill="FFFFFF"/>
          </w:tcPr>
          <w:p w14:paraId="0D315F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无固定违约金，计入月度综合评分</w:t>
            </w:r>
          </w:p>
        </w:tc>
      </w:tr>
      <w:tr w14:paraId="22E19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003BE0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157" w:type="dxa"/>
            <w:vMerge w:val="continue"/>
            <w:vAlign w:val="center"/>
          </w:tcPr>
          <w:p w14:paraId="1430D9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311DE1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CATL飞行审核发现安全类问题</w:t>
            </w:r>
          </w:p>
        </w:tc>
        <w:tc>
          <w:tcPr>
            <w:tcW w:w="1388" w:type="dxa"/>
            <w:shd w:val="clear" w:color="000000" w:fill="FFFFFF"/>
          </w:tcPr>
          <w:p w14:paraId="626F621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</w:tcPr>
          <w:p w14:paraId="6613DB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500元/项</w:t>
            </w:r>
          </w:p>
        </w:tc>
      </w:tr>
      <w:tr w14:paraId="3616B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0AFE2F0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57" w:type="dxa"/>
            <w:vMerge w:val="continue"/>
            <w:vAlign w:val="center"/>
          </w:tcPr>
          <w:p w14:paraId="545FBD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62497E3D">
            <w:pPr>
              <w:widowControl/>
              <w:jc w:val="left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返修点问题导致7</w:t>
            </w:r>
            <w:r>
              <w:rPr>
                <w:rFonts w:ascii="宋体" w:hAnsi="宋体" w:eastAsia="宋体"/>
                <w:sz w:val="20"/>
                <w:szCs w:val="20"/>
              </w:rPr>
              <w:t>9/89/99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着火事件，交通事故</w:t>
            </w:r>
          </w:p>
          <w:p w14:paraId="7808A2EB">
            <w:pPr>
              <w:widowControl/>
              <w:jc w:val="left"/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1388" w:type="dxa"/>
            <w:shd w:val="clear" w:color="000000" w:fill="FFFFFF"/>
          </w:tcPr>
          <w:p w14:paraId="7E5F15EA">
            <w:pPr>
              <w:widowControl/>
              <w:jc w:val="center"/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1730" w:type="dxa"/>
            <w:shd w:val="clear" w:color="000000" w:fill="FFFFFF"/>
          </w:tcPr>
          <w:p w14:paraId="20D8BEA7">
            <w:pPr>
              <w:widowControl/>
              <w:jc w:val="left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按</w:t>
            </w: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&lt;</w:t>
            </w:r>
            <w:r>
              <w:rPr>
                <w:rFonts w:ascii="宋体" w:hAnsi="宋体" w:eastAsia="宋体"/>
                <w:b/>
                <w:bCs/>
                <w:sz w:val="20"/>
                <w:szCs w:val="20"/>
              </w:rPr>
              <w:t>CATL</w:t>
            </w:r>
            <w:r>
              <w:rPr>
                <w:rFonts w:hint="eastAsia" w:ascii="宋体" w:hAnsi="宋体" w:eastAsia="宋体"/>
                <w:b/>
                <w:bCs/>
                <w:sz w:val="20"/>
                <w:szCs w:val="20"/>
              </w:rPr>
              <w:t>国内服务代理商管理制度&gt;执行处罚</w:t>
            </w:r>
          </w:p>
        </w:tc>
      </w:tr>
      <w:tr w14:paraId="0131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4345AF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1157" w:type="dxa"/>
            <w:vMerge w:val="continue"/>
            <w:vAlign w:val="center"/>
          </w:tcPr>
          <w:p w14:paraId="637773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78853F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违规操作引发设备异常、打火、起火等安全事故</w:t>
            </w:r>
          </w:p>
        </w:tc>
        <w:tc>
          <w:tcPr>
            <w:tcW w:w="1388" w:type="dxa"/>
            <w:shd w:val="clear" w:color="000000" w:fill="FFFFFF"/>
          </w:tcPr>
          <w:p w14:paraId="2AEA3D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</w:tcPr>
          <w:p w14:paraId="774DDD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2000元/次</w:t>
            </w:r>
          </w:p>
        </w:tc>
      </w:tr>
      <w:tr w14:paraId="726CF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72F9BB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1157" w:type="dxa"/>
            <w:vMerge w:val="restart"/>
            <w:shd w:val="clear" w:color="000000" w:fill="FFFFFF"/>
            <w:vAlign w:val="center"/>
          </w:tcPr>
          <w:p w14:paraId="7196EC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质量管理</w:t>
            </w:r>
          </w:p>
        </w:tc>
        <w:tc>
          <w:tcPr>
            <w:tcW w:w="2835" w:type="dxa"/>
            <w:shd w:val="clear" w:color="000000" w:fill="FFFFFF"/>
          </w:tcPr>
          <w:p w14:paraId="460D3B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返修产品流出后产生市场质量异常</w:t>
            </w:r>
          </w:p>
        </w:tc>
        <w:tc>
          <w:tcPr>
            <w:tcW w:w="1388" w:type="dxa"/>
            <w:shd w:val="clear" w:color="000000" w:fill="FFFFFF"/>
          </w:tcPr>
          <w:p w14:paraId="04A36AB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</w:tcPr>
          <w:p w14:paraId="0C429C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承担全部直接经济损失</w:t>
            </w:r>
          </w:p>
        </w:tc>
      </w:tr>
      <w:tr w14:paraId="5941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5920B82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1157" w:type="dxa"/>
            <w:vMerge w:val="continue"/>
            <w:vAlign w:val="center"/>
          </w:tcPr>
          <w:p w14:paraId="5745E2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2F0C27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触碰CATL质量红线问题</w:t>
            </w:r>
          </w:p>
        </w:tc>
        <w:tc>
          <w:tcPr>
            <w:tcW w:w="1388" w:type="dxa"/>
            <w:shd w:val="clear" w:color="000000" w:fill="FFFFFF"/>
          </w:tcPr>
          <w:p w14:paraId="005F796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shd w:val="clear" w:color="000000" w:fill="FFFFFF"/>
          </w:tcPr>
          <w:p w14:paraId="69C22C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2000元/次</w:t>
            </w:r>
          </w:p>
        </w:tc>
      </w:tr>
      <w:tr w14:paraId="06BC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40CEA4D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1157" w:type="dxa"/>
            <w:vMerge w:val="continue"/>
            <w:vAlign w:val="center"/>
          </w:tcPr>
          <w:p w14:paraId="5296BF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7C4B99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同类横展质量问题未按期完成整改闭环</w:t>
            </w:r>
          </w:p>
        </w:tc>
        <w:tc>
          <w:tcPr>
            <w:tcW w:w="1388" w:type="dxa"/>
            <w:shd w:val="clear" w:color="000000" w:fill="FFFFFF"/>
          </w:tcPr>
          <w:p w14:paraId="7B59A00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-10</w:t>
            </w:r>
          </w:p>
        </w:tc>
        <w:tc>
          <w:tcPr>
            <w:tcW w:w="1730" w:type="dxa"/>
            <w:shd w:val="clear" w:color="000000" w:fill="FFFFFF"/>
          </w:tcPr>
          <w:p w14:paraId="385DEF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1000元/次</w:t>
            </w:r>
          </w:p>
        </w:tc>
      </w:tr>
      <w:tr w14:paraId="74BF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79AD056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1157" w:type="dxa"/>
            <w:vMerge w:val="continue"/>
            <w:vAlign w:val="center"/>
          </w:tcPr>
          <w:p w14:paraId="7DB64C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559E57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客户飞行审核发现质量类问题</w:t>
            </w:r>
          </w:p>
        </w:tc>
        <w:tc>
          <w:tcPr>
            <w:tcW w:w="1388" w:type="dxa"/>
            <w:shd w:val="clear" w:color="000000" w:fill="FFFFFF"/>
          </w:tcPr>
          <w:p w14:paraId="3687E1E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-2</w:t>
            </w:r>
          </w:p>
        </w:tc>
        <w:tc>
          <w:tcPr>
            <w:tcW w:w="1730" w:type="dxa"/>
            <w:shd w:val="clear" w:color="000000" w:fill="FFFFFF"/>
          </w:tcPr>
          <w:p w14:paraId="15F1B5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1000元/项</w:t>
            </w:r>
          </w:p>
        </w:tc>
      </w:tr>
      <w:tr w14:paraId="135D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7246C7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1157" w:type="dxa"/>
            <w:vMerge w:val="continue"/>
            <w:vAlign w:val="center"/>
          </w:tcPr>
          <w:p w14:paraId="205C4A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0F9879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QC日常巡检拉线平均扣分</w:t>
            </w:r>
          </w:p>
        </w:tc>
        <w:tc>
          <w:tcPr>
            <w:tcW w:w="1388" w:type="dxa"/>
            <w:shd w:val="clear" w:color="000000" w:fill="FFFFFF"/>
          </w:tcPr>
          <w:p w14:paraId="6779E29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对应扣分分值</w:t>
            </w:r>
          </w:p>
        </w:tc>
        <w:tc>
          <w:tcPr>
            <w:tcW w:w="1730" w:type="dxa"/>
            <w:shd w:val="clear" w:color="000000" w:fill="FFFFFF"/>
          </w:tcPr>
          <w:p w14:paraId="49F692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计入月度综合评分</w:t>
            </w:r>
          </w:p>
        </w:tc>
      </w:tr>
      <w:tr w14:paraId="0716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72C44DE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1157" w:type="dxa"/>
            <w:vMerge w:val="continue"/>
            <w:vAlign w:val="center"/>
          </w:tcPr>
          <w:p w14:paraId="6FEDCC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10DE15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L2及以上持证岗位人员配置不达标</w:t>
            </w:r>
          </w:p>
        </w:tc>
        <w:tc>
          <w:tcPr>
            <w:tcW w:w="1388" w:type="dxa"/>
            <w:shd w:val="clear" w:color="000000" w:fill="FFFFFF"/>
          </w:tcPr>
          <w:p w14:paraId="32DC3E6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-5</w:t>
            </w:r>
          </w:p>
        </w:tc>
        <w:tc>
          <w:tcPr>
            <w:tcW w:w="1730" w:type="dxa"/>
            <w:shd w:val="clear" w:color="000000" w:fill="FFFFFF"/>
          </w:tcPr>
          <w:p w14:paraId="46535C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计入月度综合评分</w:t>
            </w:r>
          </w:p>
        </w:tc>
      </w:tr>
      <w:tr w14:paraId="2B8E3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7521895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1157" w:type="dxa"/>
            <w:vMerge w:val="continue"/>
            <w:vAlign w:val="center"/>
          </w:tcPr>
          <w:p w14:paraId="22A006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702692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电工岗位人员配置不达标</w:t>
            </w:r>
          </w:p>
        </w:tc>
        <w:tc>
          <w:tcPr>
            <w:tcW w:w="1388" w:type="dxa"/>
            <w:shd w:val="clear" w:color="000000" w:fill="FFFFFF"/>
          </w:tcPr>
          <w:p w14:paraId="12E059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-5</w:t>
            </w:r>
          </w:p>
        </w:tc>
        <w:tc>
          <w:tcPr>
            <w:tcW w:w="1730" w:type="dxa"/>
            <w:shd w:val="clear" w:color="000000" w:fill="FFFFFF"/>
          </w:tcPr>
          <w:p w14:paraId="43D3B3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计入月度综合评分</w:t>
            </w:r>
          </w:p>
        </w:tc>
      </w:tr>
      <w:tr w14:paraId="4E5E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0AE0549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1157" w:type="dxa"/>
            <w:vMerge w:val="continue"/>
            <w:vAlign w:val="center"/>
          </w:tcPr>
          <w:p w14:paraId="5B19D0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085974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5S现场环境管理不达标</w:t>
            </w:r>
          </w:p>
        </w:tc>
        <w:tc>
          <w:tcPr>
            <w:tcW w:w="1388" w:type="dxa"/>
            <w:shd w:val="clear" w:color="000000" w:fill="FFFFFF"/>
          </w:tcPr>
          <w:p w14:paraId="6AD2E64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-5</w:t>
            </w:r>
          </w:p>
        </w:tc>
        <w:tc>
          <w:tcPr>
            <w:tcW w:w="1730" w:type="dxa"/>
            <w:shd w:val="clear" w:color="auto" w:fill="auto"/>
            <w:noWrap/>
          </w:tcPr>
          <w:p w14:paraId="37DA57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计入月度综合评分</w:t>
            </w:r>
          </w:p>
        </w:tc>
      </w:tr>
      <w:tr w14:paraId="10AC4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960" w:type="dxa"/>
            <w:shd w:val="clear" w:color="000000" w:fill="FFFFFF"/>
            <w:vAlign w:val="center"/>
          </w:tcPr>
          <w:p w14:paraId="0B3290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1157" w:type="dxa"/>
            <w:vMerge w:val="continue"/>
            <w:vAlign w:val="center"/>
          </w:tcPr>
          <w:p w14:paraId="2DE151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381030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过程执行不当、市场问题处置不当引发产品/物料报废、客户索赔</w:t>
            </w:r>
          </w:p>
        </w:tc>
        <w:tc>
          <w:tcPr>
            <w:tcW w:w="1388" w:type="dxa"/>
            <w:shd w:val="clear" w:color="auto" w:fill="auto"/>
            <w:noWrap/>
          </w:tcPr>
          <w:p w14:paraId="602D54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-2</w:t>
            </w:r>
          </w:p>
        </w:tc>
        <w:tc>
          <w:tcPr>
            <w:tcW w:w="1730" w:type="dxa"/>
            <w:shd w:val="clear" w:color="auto" w:fill="auto"/>
            <w:noWrap/>
          </w:tcPr>
          <w:p w14:paraId="461E3A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承担全部直接经济损失</w:t>
            </w:r>
          </w:p>
        </w:tc>
      </w:tr>
      <w:tr w14:paraId="4204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960" w:type="dxa"/>
            <w:shd w:val="clear" w:color="000000" w:fill="FFFFFF"/>
            <w:vAlign w:val="center"/>
          </w:tcPr>
          <w:p w14:paraId="3B4E069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1157" w:type="dxa"/>
            <w:vMerge w:val="restart"/>
            <w:shd w:val="clear" w:color="auto" w:fill="auto"/>
            <w:vAlign w:val="center"/>
          </w:tcPr>
          <w:p w14:paraId="3B607A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诚信管理 </w:t>
            </w:r>
          </w:p>
        </w:tc>
        <w:tc>
          <w:tcPr>
            <w:tcW w:w="2835" w:type="dxa"/>
            <w:shd w:val="clear" w:color="000000" w:fill="FFFFFF"/>
          </w:tcPr>
          <w:p w14:paraId="7F4DDB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投资方或现场管理人员履职缺失、管理态度违规、履职不当</w:t>
            </w:r>
          </w:p>
        </w:tc>
        <w:tc>
          <w:tcPr>
            <w:tcW w:w="1388" w:type="dxa"/>
            <w:shd w:val="clear" w:color="000000" w:fill="FFFFFF"/>
          </w:tcPr>
          <w:p w14:paraId="68FC6C4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-5至-20</w:t>
            </w:r>
          </w:p>
        </w:tc>
        <w:tc>
          <w:tcPr>
            <w:tcW w:w="1730" w:type="dxa"/>
            <w:vMerge w:val="restart"/>
            <w:shd w:val="clear" w:color="000000" w:fill="FFFFFF"/>
          </w:tcPr>
          <w:p w14:paraId="78C433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3000元/次</w:t>
            </w:r>
          </w:p>
          <w:p w14:paraId="36D26F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按CATL制度追加处罚</w:t>
            </w:r>
          </w:p>
        </w:tc>
      </w:tr>
      <w:tr w14:paraId="46C4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4D5893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1157" w:type="dxa"/>
            <w:vMerge w:val="continue"/>
            <w:vAlign w:val="center"/>
          </w:tcPr>
          <w:p w14:paraId="5A20A2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310B7B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维修作业、数据上报、问题处置过程中弄虚作假</w:t>
            </w:r>
          </w:p>
        </w:tc>
        <w:tc>
          <w:tcPr>
            <w:tcW w:w="1388" w:type="dxa"/>
            <w:shd w:val="clear" w:color="000000" w:fill="FFFFFF"/>
          </w:tcPr>
          <w:p w14:paraId="209D84C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-20</w:t>
            </w:r>
          </w:p>
        </w:tc>
        <w:tc>
          <w:tcPr>
            <w:tcW w:w="1730" w:type="dxa"/>
            <w:vMerge w:val="continue"/>
          </w:tcPr>
          <w:p w14:paraId="55FC2F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70E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7489BB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1157" w:type="dxa"/>
            <w:vMerge w:val="restart"/>
            <w:shd w:val="clear" w:color="auto" w:fill="auto"/>
            <w:vAlign w:val="center"/>
          </w:tcPr>
          <w:p w14:paraId="62F8D12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正向激励 </w:t>
            </w:r>
          </w:p>
        </w:tc>
        <w:tc>
          <w:tcPr>
            <w:tcW w:w="2835" w:type="dxa"/>
            <w:shd w:val="clear" w:color="000000" w:fill="FFFFFF"/>
          </w:tcPr>
          <w:p w14:paraId="7E7D4E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主动发现SOP漏洞、流程错误并上报</w:t>
            </w:r>
          </w:p>
        </w:tc>
        <w:tc>
          <w:tcPr>
            <w:tcW w:w="1388" w:type="dxa"/>
            <w:shd w:val="clear" w:color="000000" w:fill="FFFFFF"/>
          </w:tcPr>
          <w:p w14:paraId="283332C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+5</w:t>
            </w:r>
          </w:p>
        </w:tc>
        <w:tc>
          <w:tcPr>
            <w:tcW w:w="1730" w:type="dxa"/>
            <w:shd w:val="clear" w:color="000000" w:fill="FFFFFF"/>
          </w:tcPr>
          <w:p w14:paraId="4F2FC7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200元/条</w:t>
            </w:r>
          </w:p>
        </w:tc>
      </w:tr>
      <w:tr w14:paraId="59D0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960" w:type="dxa"/>
            <w:shd w:val="clear" w:color="000000" w:fill="FFFFFF"/>
            <w:vAlign w:val="center"/>
          </w:tcPr>
          <w:p w14:paraId="0C095C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57" w:type="dxa"/>
            <w:vMerge w:val="continue"/>
            <w:vAlign w:val="center"/>
          </w:tcPr>
          <w:p w14:paraId="5E30D3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shd w:val="clear" w:color="000000" w:fill="FFFFFF"/>
          </w:tcPr>
          <w:p w14:paraId="122B27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主动优化、完善SOP作业标准并落地生效</w:t>
            </w:r>
          </w:p>
        </w:tc>
        <w:tc>
          <w:tcPr>
            <w:tcW w:w="1388" w:type="dxa"/>
            <w:shd w:val="clear" w:color="000000" w:fill="FFFFFF"/>
          </w:tcPr>
          <w:p w14:paraId="1C96665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+10</w:t>
            </w:r>
          </w:p>
        </w:tc>
        <w:tc>
          <w:tcPr>
            <w:tcW w:w="1730" w:type="dxa"/>
            <w:shd w:val="clear" w:color="000000" w:fill="FFFFFF"/>
          </w:tcPr>
          <w:p w14:paraId="606D63E6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500元/条</w:t>
            </w:r>
          </w:p>
          <w:p w14:paraId="50E0C4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4CF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070" w:type="dxa"/>
            <w:gridSpan w:val="5"/>
            <w:shd w:val="clear" w:color="000000" w:fill="FFFFFF"/>
            <w:vAlign w:val="center"/>
          </w:tcPr>
          <w:p w14:paraId="2A5909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考核补充说明：</w:t>
            </w:r>
          </w:p>
        </w:tc>
      </w:tr>
      <w:tr w14:paraId="62BB1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070" w:type="dxa"/>
            <w:gridSpan w:val="5"/>
            <w:shd w:val="clear" w:color="000000" w:fill="FFFFFF"/>
            <w:vAlign w:val="center"/>
          </w:tcPr>
          <w:p w14:paraId="164150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1、综合得分：综合得分=累计求和（问题发生频次*考核标准对应分值）/单站日均产能 </w:t>
            </w:r>
            <w:r>
              <w:rPr>
                <w:rFonts w:ascii="宋体" w:hAnsi="宋体" w:eastAsia="宋体" w:cs="宋体"/>
                <w:color w:val="000000"/>
                <w:kern w:val="0"/>
                <w:szCs w:val="21"/>
              </w:rPr>
              <w:t xml:space="preserve">   </w:t>
            </w:r>
          </w:p>
        </w:tc>
      </w:tr>
      <w:tr w14:paraId="7DDA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070" w:type="dxa"/>
            <w:gridSpan w:val="5"/>
            <w:shd w:val="clear" w:color="000000" w:fill="FFFFFF"/>
            <w:vAlign w:val="center"/>
          </w:tcPr>
          <w:p w14:paraId="3E271E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2、考核周期：本机制考核周期为1 次/月，渠道网络组每月初邮件的形式公布各站点上一个月绩效，申诉周期为三天。</w:t>
            </w:r>
          </w:p>
        </w:tc>
      </w:tr>
      <w:tr w14:paraId="5443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070" w:type="dxa"/>
            <w:gridSpan w:val="5"/>
            <w:shd w:val="clear" w:color="000000" w:fill="FFFFFF"/>
            <w:vAlign w:val="center"/>
          </w:tcPr>
          <w:p w14:paraId="4251B9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3、考核应用：</w:t>
            </w:r>
          </w:p>
        </w:tc>
      </w:tr>
      <w:tr w14:paraId="0502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070" w:type="dxa"/>
            <w:gridSpan w:val="5"/>
            <w:shd w:val="clear" w:color="000000" w:fill="FFFFFF"/>
            <w:vAlign w:val="center"/>
          </w:tcPr>
          <w:p w14:paraId="4371EF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月度综合得分倒数第1名，当月结算金额扣除3000元，扣除金额全额转为综合得分顺数第1名激励金</w:t>
            </w:r>
          </w:p>
        </w:tc>
      </w:tr>
      <w:tr w14:paraId="2E7A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8070" w:type="dxa"/>
            <w:gridSpan w:val="5"/>
            <w:shd w:val="clear" w:color="000000" w:fill="FFFFFF"/>
            <w:vAlign w:val="center"/>
          </w:tcPr>
          <w:p w14:paraId="4A68B8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月度综合得分倒数第2名，当月结算金额扣除2000元，扣除金额全额转为综合得分顺数第2名激励金</w:t>
            </w:r>
          </w:p>
        </w:tc>
      </w:tr>
      <w:tr w14:paraId="41A26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8070" w:type="dxa"/>
            <w:gridSpan w:val="5"/>
            <w:shd w:val="clear" w:color="000000" w:fill="FFFFFF"/>
            <w:vAlign w:val="center"/>
          </w:tcPr>
          <w:p w14:paraId="391A51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月度综合得分倒数第3名，当月结算金额扣除1000元，扣除金额全额转为综合得分顺数第3名激励金 </w:t>
            </w:r>
          </w:p>
        </w:tc>
      </w:tr>
    </w:tbl>
    <w:p w14:paraId="19C62D1F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5</w:t>
      </w:r>
      <w:r>
        <w:rPr>
          <w:rFonts w:ascii="宋体" w:hAnsi="宋体" w:eastAsia="宋体" w:cs="Arial"/>
          <w:sz w:val="24"/>
          <w:szCs w:val="24"/>
        </w:rPr>
        <w:t>.4费用扣款优先级</w:t>
      </w:r>
    </w:p>
    <w:p w14:paraId="62BDD028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对于因我方责任产生的全部赔偿、违约金、整改费用、督导成本等款项，CATL有权优先从应付我方站点服务费、货款中直接抵扣；若抵扣后仍有不足部分，由我方另行足额补足支付，我方无任何异议。</w:t>
      </w:r>
    </w:p>
    <w:p w14:paraId="7C8F4946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5.5 付款效力免责约定</w:t>
      </w:r>
    </w:p>
    <w:p w14:paraId="1FFB0389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CATL向我方支付任何服务费、货款、结算款项的行为，不视为CATL对我方返修产品质量、服务合规性的认可，亦不代表CATL放弃后续追责、索赔、处罚的合法权利。</w:t>
      </w:r>
    </w:p>
    <w:p w14:paraId="7BC3510B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5.6 争议检测判定规则</w:t>
      </w:r>
    </w:p>
    <w:p w14:paraId="0F090EA2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若双方就质量问题责任归属、问题成因存在争议，双方共同委托具备合法资质的第三方检测机构开展检测判定，最终以第三方检测结论为唯一判定依据。检测、试验、差旅等全部相关费用，由最终责任方全额承担。</w:t>
      </w:r>
    </w:p>
    <w:p w14:paraId="6967F841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hint="eastAsia" w:ascii="宋体" w:hAnsi="宋体" w:eastAsia="宋体" w:cs="Arial"/>
          <w:sz w:val="24"/>
          <w:szCs w:val="24"/>
        </w:rPr>
        <w:t>六</w:t>
      </w:r>
      <w:r>
        <w:rPr>
          <w:rFonts w:ascii="宋体" w:hAnsi="宋体" w:eastAsia="宋体" w:cs="Arial"/>
          <w:sz w:val="24"/>
          <w:szCs w:val="24"/>
        </w:rPr>
        <w:t>、其他约定</w:t>
      </w:r>
    </w:p>
    <w:p w14:paraId="3FE8298C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6.1 本承诺书一经签署盖章，任何涂改、篡改内容均无效。</w:t>
      </w:r>
    </w:p>
    <w:p w14:paraId="50945540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6.2 若本承诺书部分条款与现行法律法规相抵触、被认定无效的，不影响其余条款的法律效力；甲方未及时行使本承诺书项下任何权利，不视为甲方放弃该权利。</w:t>
      </w:r>
    </w:p>
    <w:p w14:paraId="5D725A1D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6.3 双方对接联系人、联系方式、办公地址等信息发生变更的，变更方需第一时间向对方出具书面变更通知，确保业务对接顺畅。</w:t>
      </w:r>
    </w:p>
    <w:p w14:paraId="799BE612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6.4 本承诺书有效期三年，自双方签字盖章之日起正式生效，期满前无书面终止、变更通知的，持续有效。</w:t>
      </w:r>
    </w:p>
    <w:p w14:paraId="5DB5B7E2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本承诺书为我方真实意愿表达，条款清晰、权责明确，我方自愿完全遵照执行，所有承诺具备完整法律履约约束力，自签署之日起生效。</w:t>
      </w:r>
    </w:p>
    <w:p w14:paraId="6B525B60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</w:p>
    <w:p w14:paraId="7A1FFFEC">
      <w:pPr>
        <w:spacing w:before="120" w:after="120" w:line="288" w:lineRule="auto"/>
        <w:ind w:firstLine="480" w:firstLineChars="200"/>
        <w:rPr>
          <w:rFonts w:ascii="宋体" w:hAnsi="宋体" w:eastAsia="宋体" w:cs="Arial"/>
          <w:sz w:val="24"/>
          <w:szCs w:val="24"/>
        </w:rPr>
      </w:pPr>
    </w:p>
    <w:p w14:paraId="17B10BA9">
      <w:pPr>
        <w:spacing w:before="120" w:after="120" w:line="288" w:lineRule="auto"/>
        <w:ind w:right="2880" w:firstLine="480" w:firstLineChars="200"/>
        <w:jc w:val="right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承诺单位（盖章）：</w:t>
      </w:r>
    </w:p>
    <w:p w14:paraId="048BE356">
      <w:pPr>
        <w:spacing w:before="120" w:after="120" w:line="288" w:lineRule="auto"/>
        <w:ind w:right="1440" w:firstLine="480" w:firstLineChars="200"/>
        <w:jc w:val="right"/>
        <w:rPr>
          <w:rFonts w:ascii="宋体" w:hAnsi="宋体" w:eastAsia="宋体" w:cs="Arial"/>
          <w:sz w:val="24"/>
          <w:szCs w:val="24"/>
        </w:rPr>
      </w:pPr>
    </w:p>
    <w:p w14:paraId="7E190A5D">
      <w:pPr>
        <w:wordWrap w:val="0"/>
        <w:spacing w:before="120" w:after="120" w:line="288" w:lineRule="auto"/>
        <w:ind w:right="1440" w:firstLine="480" w:firstLineChars="200"/>
        <w:jc w:val="right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>法定代表人/授权代表人（签字）：</w:t>
      </w:r>
    </w:p>
    <w:p w14:paraId="05E9E25A">
      <w:pPr>
        <w:spacing w:before="120" w:after="120" w:line="288" w:lineRule="auto"/>
        <w:ind w:right="1440" w:firstLine="480" w:firstLineChars="200"/>
        <w:jc w:val="right"/>
        <w:rPr>
          <w:rFonts w:ascii="宋体" w:hAnsi="宋体" w:eastAsia="宋体" w:cs="Arial"/>
          <w:sz w:val="24"/>
          <w:szCs w:val="24"/>
        </w:rPr>
      </w:pPr>
    </w:p>
    <w:p w14:paraId="6B1238BB">
      <w:pPr>
        <w:spacing w:before="120" w:after="120" w:line="288" w:lineRule="auto"/>
        <w:ind w:right="1440" w:firstLine="480" w:firstLineChars="200"/>
        <w:jc w:val="right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 xml:space="preserve">    年     月</w:t>
      </w:r>
      <w:r>
        <w:rPr>
          <w:rFonts w:hint="eastAsia" w:ascii="宋体" w:hAnsi="宋体" w:eastAsia="宋体" w:cs="Arial"/>
          <w:sz w:val="24"/>
          <w:szCs w:val="24"/>
        </w:rPr>
        <w:t xml:space="preserve"> </w:t>
      </w:r>
      <w:r>
        <w:rPr>
          <w:rFonts w:ascii="宋体" w:hAnsi="宋体" w:eastAsia="宋体" w:cs="Arial"/>
          <w:sz w:val="24"/>
          <w:szCs w:val="24"/>
        </w:rPr>
        <w:t xml:space="preserve">     日</w:t>
      </w:r>
    </w:p>
    <w:p w14:paraId="21AF85ED">
      <w:pPr>
        <w:spacing w:before="120" w:after="120" w:line="288" w:lineRule="auto"/>
        <w:ind w:right="960" w:firstLine="480" w:firstLineChars="200"/>
        <w:jc w:val="center"/>
        <w:rPr>
          <w:rFonts w:ascii="宋体" w:hAnsi="宋体" w:eastAsia="宋体" w:cs="Arial"/>
          <w:sz w:val="24"/>
          <w:szCs w:val="24"/>
        </w:rPr>
      </w:pPr>
      <w:r>
        <w:rPr>
          <w:rFonts w:ascii="宋体" w:hAnsi="宋体" w:eastAsia="宋体" w:cs="Arial"/>
          <w:sz w:val="24"/>
          <w:szCs w:val="24"/>
        </w:rPr>
        <w:t xml:space="preserve">      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9A"/>
    <w:rsid w:val="00025111"/>
    <w:rsid w:val="00081E61"/>
    <w:rsid w:val="000D58AC"/>
    <w:rsid w:val="001265D8"/>
    <w:rsid w:val="00156F2C"/>
    <w:rsid w:val="001B75AF"/>
    <w:rsid w:val="001D6EED"/>
    <w:rsid w:val="0025167C"/>
    <w:rsid w:val="00261778"/>
    <w:rsid w:val="00292207"/>
    <w:rsid w:val="002F55C7"/>
    <w:rsid w:val="0034159A"/>
    <w:rsid w:val="003A1305"/>
    <w:rsid w:val="003F1078"/>
    <w:rsid w:val="00440048"/>
    <w:rsid w:val="0048533F"/>
    <w:rsid w:val="004D79A0"/>
    <w:rsid w:val="00556A67"/>
    <w:rsid w:val="005B0A45"/>
    <w:rsid w:val="005C1EC2"/>
    <w:rsid w:val="005D1DFE"/>
    <w:rsid w:val="005D4573"/>
    <w:rsid w:val="006739C8"/>
    <w:rsid w:val="0069079A"/>
    <w:rsid w:val="00691EC0"/>
    <w:rsid w:val="006F08F0"/>
    <w:rsid w:val="006F0F0D"/>
    <w:rsid w:val="00721824"/>
    <w:rsid w:val="007347AF"/>
    <w:rsid w:val="00756256"/>
    <w:rsid w:val="00783BC8"/>
    <w:rsid w:val="00797807"/>
    <w:rsid w:val="007B798E"/>
    <w:rsid w:val="00820295"/>
    <w:rsid w:val="00A73127"/>
    <w:rsid w:val="00B475B9"/>
    <w:rsid w:val="00B51505"/>
    <w:rsid w:val="00B52A89"/>
    <w:rsid w:val="00B824FE"/>
    <w:rsid w:val="00BE7703"/>
    <w:rsid w:val="00C2489A"/>
    <w:rsid w:val="00C57CDA"/>
    <w:rsid w:val="00C654A4"/>
    <w:rsid w:val="00C93EA8"/>
    <w:rsid w:val="00D75FD9"/>
    <w:rsid w:val="00D90BE9"/>
    <w:rsid w:val="00DE377B"/>
    <w:rsid w:val="00F7215D"/>
    <w:rsid w:val="00FC35C5"/>
    <w:rsid w:val="00FE0152"/>
    <w:rsid w:val="62F7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7"/>
    <w:semiHidden/>
    <w:unhideWhenUsed/>
    <w:uiPriority w:val="99"/>
    <w:pPr>
      <w:jc w:val="left"/>
    </w:p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4"/>
    <w:next w:val="4"/>
    <w:link w:val="18"/>
    <w:semiHidden/>
    <w:unhideWhenUsed/>
    <w:uiPriority w:val="99"/>
    <w:rPr>
      <w:b/>
      <w:bCs/>
    </w:rPr>
  </w:style>
  <w:style w:type="table" w:styleId="9">
    <w:name w:val="Table Grid"/>
    <w:basedOn w:val="8"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3">
    <w:name w:val="页眉 字符"/>
    <w:basedOn w:val="10"/>
    <w:link w:val="6"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uiPriority w:val="99"/>
    <w:rPr>
      <w:sz w:val="18"/>
      <w:szCs w:val="18"/>
    </w:rPr>
  </w:style>
  <w:style w:type="character" w:customStyle="1" w:styleId="15">
    <w:name w:val="标题 2 字符"/>
    <w:basedOn w:val="10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标题 3 字符"/>
    <w:basedOn w:val="10"/>
    <w:link w:val="3"/>
    <w:semiHidden/>
    <w:uiPriority w:val="9"/>
    <w:rPr>
      <w:b/>
      <w:bCs/>
      <w:sz w:val="32"/>
      <w:szCs w:val="32"/>
    </w:rPr>
  </w:style>
  <w:style w:type="character" w:customStyle="1" w:styleId="17">
    <w:name w:val="批注文字 字符"/>
    <w:basedOn w:val="10"/>
    <w:link w:val="4"/>
    <w:semiHidden/>
    <w:qFormat/>
    <w:uiPriority w:val="99"/>
  </w:style>
  <w:style w:type="character" w:customStyle="1" w:styleId="18">
    <w:name w:val="批注主题 字符"/>
    <w:basedOn w:val="17"/>
    <w:link w:val="7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5023</Words>
  <Characters>5371</Characters>
  <Lines>40</Lines>
  <Paragraphs>11</Paragraphs>
  <TotalTime>121</TotalTime>
  <ScaleCrop>false</ScaleCrop>
  <LinksUpToDate>false</LinksUpToDate>
  <CharactersWithSpaces>5440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2026-07-25T08:37:00Z</dcterms:created>
  <dc:creator>Apache POI</dc:creator>
  <cp:lastModifiedBy>蕾</cp:lastModifiedBy>
  <dcterms:modified xsi:type="dcterms:W3CDTF">2026-07-31T03:08:15Z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{"Label":"1","ContentProducer":"001191110102MACQD9K64010000","ProduceID":"7652261377449151439","ReservedCode1":"","ContentPropagator":"","PropagateID":"","ReservedCode2":""}</vt:lpwstr>
  </property>
  <property fmtid="{D5CDD505-2E9C-101B-9397-08002B2CF9AE}" pid="3" name="KSOProductBuildVer">
    <vt:lpwstr>2052-12.1.0.28043</vt:lpwstr>
  </property>
  <property fmtid="{D5CDD505-2E9C-101B-9397-08002B2CF9AE}" pid="4" name="ICV">
    <vt:lpwstr>57DDFD2FEAF9487B841D7DF2B1A782A2_13</vt:lpwstr>
  </property>
</Properties>
</file>