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E07DB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mc:AlternateContent>
        <mc:Choice Requires="wpsCustomData">
          <wpsCustomData:docfieldStart id="0" docfieldname="标题_1" hidden="0" print="1" readonly="0" index="1"/>
        </mc:Choice>
      </mc:AlternateContent>
      <w:r>
        <w:rPr>
          <w:rFonts w:ascii="方正小标宋简体" w:hAnsi="方正小标宋简体" w:eastAsia="方正小标宋简体" w:cs="方正小标宋简体"/>
          <w:b w:val="0"/>
          <w:bCs w:val="0"/>
          <w:sz w:val="44"/>
          <w:szCs w:val="44"/>
        </w:rPr>
        <w:t>宁家北京＆中保知行战略合作</w:t>
      </w:r>
      <w:r>
        <w:rPr>
          <w:rFonts w:hint="eastAsia" w:cs="方正小标宋简体"/>
          <w:b w:val="0"/>
          <w:bCs w:val="0"/>
          <w:sz w:val="44"/>
          <w:szCs w:val="44"/>
          <w:lang w:val="en-US" w:eastAsia="zh-CN"/>
        </w:rPr>
        <w:t>协议</w:t>
      </w:r>
      <mc:AlternateContent>
        <mc:Choice Requires="wpsCustomData">
          <wpsCustomData:docfieldEnd id="0"/>
        </mc:Choice>
      </mc:AlternateContent>
    </w:p>
    <w:p w14:paraId="6E22F30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00" w:lineRule="exact"/>
        <w:textAlignment w:val="auto"/>
        <w:rPr>
          <w:rFonts w:hint="eastAsia"/>
          <w:lang w:eastAsia="zh-CN"/>
        </w:rPr>
      </w:pPr>
      <w:bookmarkStart w:id="0" w:name="heading_0"/>
    </w:p>
    <w:p w14:paraId="71B8B9B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1"/>
        <w:textAlignment w:val="auto"/>
        <w:rPr>
          <w:rFonts w:eastAsia="黑体"/>
          <w:b w:val="0"/>
          <w:bCs w:val="0"/>
          <w:sz w:val="32"/>
          <w:szCs w:val="32"/>
        </w:rPr>
      </w:pPr>
      <w:r>
        <w:rPr>
          <w:rFonts w:hint="eastAsia" w:cs="黑体"/>
          <w:b w:val="0"/>
          <w:bCs w:val="0"/>
          <w:sz w:val="32"/>
          <w:szCs w:val="32"/>
          <w:lang w:val="en-US" w:eastAsia="zh-CN"/>
        </w:rPr>
        <w:t xml:space="preserve">第一条 </w:t>
      </w:r>
      <w:r>
        <w:rPr>
          <w:rFonts w:ascii="黑体" w:hAnsi="黑体" w:eastAsia="黑体" w:cs="黑体"/>
          <w:b w:val="0"/>
          <w:bCs w:val="0"/>
          <w:sz w:val="32"/>
          <w:szCs w:val="32"/>
        </w:rPr>
        <w:t>合作总则</w:t>
      </w:r>
      <w:bookmarkEnd w:id="0"/>
    </w:p>
    <w:p w14:paraId="1FAB929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楷体_GB2312"/>
          <w:b w:val="0"/>
          <w:bCs w:val="0"/>
          <w:sz w:val="32"/>
          <w:szCs w:val="32"/>
        </w:rPr>
      </w:pPr>
      <w:bookmarkStart w:id="1" w:name="heading_1"/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（一）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</w:rPr>
        <w:t>合作双方</w:t>
      </w:r>
      <w:bookmarkEnd w:id="1"/>
    </w:p>
    <w:p w14:paraId="33E377EA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甲方：宁家（北京）汽车服务有限公司</w:t>
      </w:r>
    </w:p>
    <w:p w14:paraId="344ACD4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乙方：北京中保知行科技有限公司</w:t>
      </w:r>
      <w:bookmarkStart w:id="2" w:name="heading_2"/>
    </w:p>
    <w:p w14:paraId="64338209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楷体_GB2312"/>
          <w:b w:val="0"/>
          <w:bCs w:val="0"/>
          <w:sz w:val="32"/>
          <w:szCs w:val="32"/>
        </w:rPr>
      </w:pPr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（二）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</w:rPr>
        <w:t>行业现状与合作背景</w:t>
      </w:r>
      <w:bookmarkEnd w:id="2"/>
    </w:p>
    <w:p w14:paraId="5F28C2A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当前国内新能源汽车保有量持续攀升，行业正式进入存量维保黄金周期，但后市场长期存在结构性痛点，产业发展与人才供给严重错配。一是维修技术断层，行业普遍沿用“只换不修”模式，电池、三电系统、车载芯片等核心精密部件维修能力匮乏，维修成本高、资源浪费严重；二是专业人才缺口巨大，具备电芯级、芯片级精密维修能力的高端技术人才稀缺，全国职业院校相关实操教学体系滞后、师资薄弱、设备老旧；三是行业标准杂乱，缺乏官方权威的人才考评、技能认证与竞技标准，从业人员技能水平参差不齐；四是产教融合脱节，院校教学与企业真实运维场景脱节，学员实操能力无法满足市场用工需求。</w:t>
      </w:r>
    </w:p>
    <w:p w14:paraId="08ABA48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基于行业痛点，双方依托各自产业端、政企端核心壁垒资源深度绑定合作。甲方深耕新能源汽车后市场实体运维，手握头部产业技术授权与实操体系；乙方深耕职业教育官方考评与数字化教学领域，拥有国家级教考资源与全国院校渠道。双方强强联合，打造“产业技术＋官方认证＋人才培养＋行业赛事”的闭环生态，填补新能源高端维修人才培养行业空白，构建标准化、权威化、市场化的产教融合标杆项目。</w:t>
      </w:r>
    </w:p>
    <w:p w14:paraId="40C9908F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楷体_GB2312"/>
          <w:b w:val="0"/>
          <w:bCs w:val="0"/>
          <w:sz w:val="32"/>
          <w:szCs w:val="32"/>
        </w:rPr>
      </w:pPr>
      <w:bookmarkStart w:id="3" w:name="heading_3"/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（三）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</w:rPr>
        <w:t>双方核心主营业务与核心竞争优势</w:t>
      </w:r>
      <w:bookmarkEnd w:id="3"/>
    </w:p>
    <w:p w14:paraId="64EC7049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bookmarkStart w:id="4" w:name="heading_4"/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 xml:space="preserve"> 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甲方</w:t>
      </w: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：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宁家（北京）汽车服务有限公司</w:t>
      </w:r>
      <w:bookmarkEnd w:id="4"/>
    </w:p>
    <w:p w14:paraId="44E29FBE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甲方为宁德时代授权的直营运营主体，是国内新能源汽车动力电池维修领域的头部实体企业，主打新能源汽车核心部件“以修</w:t>
      </w:r>
      <w:r>
        <w:rPr>
          <w:rFonts w:ascii="Times New Roman" w:hAnsi="Times New Roman" w:eastAsia="方正仿宋_GB2312" w:cs="方正仿宋_GB2312"/>
          <w:b w:val="0"/>
          <w:bCs w:val="0"/>
          <w:spacing wpsCustomData:val="11" w:val="20"/>
          <w:sz w:val="32"/>
          <w:szCs w:val="32"/>
        </w:rPr>
        <w:t>代</w:t>
      </w:r>
      <w:r>
        <w:rPr>
          <w:rFonts w:ascii="Times New Roman" w:hAnsi="Times New Roman" w:eastAsia="方正仿宋_GB2312" w:cs="方正仿宋_GB2312"/>
          <w:b w:val="0"/>
          <w:bCs w:val="0"/>
          <w:spacing wpsCustomData:val="10" w:val="18"/>
          <w:sz w:val="32"/>
          <w:szCs w:val="32"/>
        </w:rPr>
        <w:t>换</w:t>
      </w:r>
      <w:r>
        <w:rPr>
          <w:rFonts w:ascii="Times New Roman" w:hAnsi="Times New Roman" w:eastAsia="方正仿宋_GB2312" w:cs="方正仿宋_GB2312"/>
          <w:b w:val="0"/>
          <w:bCs w:val="0"/>
          <w:spacing wpsCustomData:val="11" w:val="20"/>
          <w:sz w:val="32"/>
          <w:szCs w:val="32"/>
        </w:rPr>
        <w:t>”</w:t>
      </w:r>
      <w:r>
        <w:rPr>
          <w:rFonts w:ascii="Times New Roman" w:hAnsi="Times New Roman" w:eastAsia="方正仿宋_GB2312" w:cs="方正仿宋_GB2312"/>
          <w:b w:val="0"/>
          <w:bCs w:val="0"/>
          <w:spacing wpsCustomData:val="10" w:val="18"/>
          <w:sz w:val="32"/>
          <w:szCs w:val="32"/>
        </w:rPr>
        <w:t>精细化运维服</w:t>
      </w:r>
      <w:r>
        <w:rPr>
          <w:rFonts w:ascii="Times New Roman" w:hAnsi="Times New Roman" w:eastAsia="方正仿宋_GB2312" w:cs="方正仿宋_GB2312"/>
          <w:b w:val="0"/>
          <w:bCs w:val="0"/>
          <w:spacing wpsCustomData:val="11" w:val="20"/>
          <w:sz w:val="32"/>
          <w:szCs w:val="32"/>
        </w:rPr>
        <w:t>务</w:t>
      </w:r>
      <w:r>
        <w:rPr>
          <w:rFonts w:ascii="Times New Roman" w:hAnsi="Times New Roman" w:eastAsia="方正仿宋_GB2312" w:cs="方正仿宋_GB2312"/>
          <w:b w:val="0"/>
          <w:bCs w:val="0"/>
          <w:spacing wpsCustomData:val="10" w:val="18"/>
          <w:sz w:val="32"/>
          <w:szCs w:val="32"/>
        </w:rPr>
        <w:t>，</w:t>
      </w:r>
      <w:r>
        <w:rPr>
          <w:rFonts w:ascii="Times New Roman" w:hAnsi="Times New Roman" w:eastAsia="方正仿宋_GB2312" w:cs="方正仿宋_GB2312"/>
          <w:b w:val="0"/>
          <w:bCs w:val="0"/>
          <w:spacing wpsCustomData:val="11" w:val="20"/>
          <w:sz w:val="32"/>
          <w:szCs w:val="32"/>
        </w:rPr>
        <w:t>具备极强的产业技术与硬件落</w:t>
      </w:r>
      <w:r>
        <w:rPr>
          <w:rFonts w:ascii="Times New Roman" w:hAnsi="Times New Roman" w:eastAsia="方正仿宋_GB2312" w:cs="方正仿宋_GB2312"/>
          <w:b w:val="0"/>
          <w:bCs w:val="0"/>
          <w:spacing wpsCustomData:val="-6" w:val="-6"/>
          <w:sz w:val="32"/>
          <w:szCs w:val="32"/>
        </w:rPr>
        <w:t>地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优势。</w:t>
      </w:r>
    </w:p>
    <w:p w14:paraId="2409500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r>
        <w:rPr>
          <w:rStyle w:val="19"/>
          <w:rFonts w:hint="eastAsia"/>
          <w:lang w:eastAsia="zh-CN"/>
        </w:rPr>
        <w:t>（1）</w:t>
      </w:r>
      <w:r>
        <w:rPr>
          <w:rStyle w:val="19"/>
        </w:rPr>
        <w:t>厂家授权与技术壁垒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：拥有宁德时代官方全套技术授权，掌握行业领先的CTP深度维修技术，打破行业整包更换的固有模式，维修成本仅为整包更换的10％～40％；搭建R1～R4四级分层维修技术体系，覆盖基础检测、拆包维修、模组拆解、电芯级精密修复全层级技术，技术标准对标一线主机厂。</w:t>
      </w:r>
    </w:p>
    <w:p w14:paraId="210BFA92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r>
        <w:rPr>
          <w:rStyle w:val="19"/>
          <w:rFonts w:hint="eastAsia"/>
          <w:lang w:eastAsia="zh-CN"/>
        </w:rPr>
        <w:t>（2）</w:t>
      </w:r>
      <w:r>
        <w:rPr>
          <w:rStyle w:val="19"/>
        </w:rPr>
        <w:t>顶级硬件场地与实操体系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：北京直营基地总占地面积10000㎡，包含2700㎡专业维修中心、8300㎡标准化返修中心。配备全套宁德时代原厂检修设备，拥有厂家认证的资深技术团队，可提供全流程实操教学与技术指导。</w:t>
      </w:r>
    </w:p>
    <w:p w14:paraId="5E86E68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r>
        <w:rPr>
          <w:rStyle w:val="19"/>
          <w:rFonts w:hint="eastAsia"/>
          <w:lang w:eastAsia="zh-CN"/>
        </w:rPr>
        <w:t>（3）</w:t>
      </w:r>
      <w:r>
        <w:rPr>
          <w:rStyle w:val="19"/>
        </w:rPr>
        <w:t>完善的产业服务闭环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：主营业务涵盖新能源汽车动力电池检测、故障诊断、电池回收、维保救援、备件销售全链条，可实现“教学－实训－就业－运维”一体化人才输出，保障学员学以致用、精准就业。</w:t>
      </w:r>
    </w:p>
    <w:p w14:paraId="0527C460">
      <w:pPr>
        <w:pStyle w:val="4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bookmarkStart w:id="5" w:name="heading_5"/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z w:val="32"/>
          <w:szCs w:val="32"/>
          <w:lang w:eastAsia="zh-CN"/>
        </w:rPr>
        <w:t xml:space="preserve"> 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乙方</w:t>
      </w: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：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北京中保知行科技有限公司</w:t>
      </w:r>
      <w:bookmarkEnd w:id="5"/>
    </w:p>
    <w:p w14:paraId="2F8A584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乙方为国家认定科技型中小企业、专精特新企业，深耕职业教育数字化、国家级教考服务、政企项目运维领域，是工信部教育与考试中心核心合作服务商，拥有稀缺的官方资质与全国院校渠道资源。</w:t>
      </w:r>
    </w:p>
    <w:p w14:paraId="25FF6F06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r>
        <w:rPr>
          <w:rStyle w:val="19"/>
          <w:rFonts w:hint="eastAsia"/>
          <w:lang w:eastAsia="zh-CN"/>
        </w:rPr>
        <w:t>（1）</w:t>
      </w:r>
      <w:r>
        <w:rPr>
          <w:rStyle w:val="19"/>
        </w:rPr>
        <w:t>国家级官方教考核心资源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：深度对接工业和信息化部教育与考试中心，具备培训中心挂牌备案、技能考评、官方证书发放、行业标准制定的全流程资源权限，可实现人才培训、考级、认证一体化官方赋能，证书具备全国行业通用性与权威性。</w:t>
      </w:r>
    </w:p>
    <w:p w14:paraId="0E372486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r>
        <w:rPr>
          <w:rStyle w:val="19"/>
          <w:rFonts w:hint="eastAsia"/>
          <w:lang w:eastAsia="zh-CN"/>
        </w:rPr>
        <w:t>（2）</w:t>
      </w:r>
      <w:r>
        <w:rPr>
          <w:rStyle w:val="19"/>
        </w:rPr>
        <w:t>职业教育数字化研发能力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：拥有多项软件著作权，自主研发AI一体化教学运营平台、数字化考评系统，可搭建线上课程、题库、实训考核体系，实现传统实操培训与数字化教学结合，提升人才培养标准化、高效化水平。</w:t>
      </w:r>
    </w:p>
    <w:p w14:paraId="5519DFB9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r>
        <w:rPr>
          <w:rStyle w:val="19"/>
          <w:rFonts w:hint="eastAsia"/>
          <w:lang w:eastAsia="zh-CN"/>
        </w:rPr>
        <w:t>（3）</w:t>
      </w:r>
      <w:r>
        <w:rPr>
          <w:rStyle w:val="19"/>
        </w:rPr>
        <w:t>专业教研与赛事运营能力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：拥有资深职业教育讲师、考评专家、赛事裁判团队，擅长职业技能课程研发、考评题库搭建、全国性一类技能赛事统筹运营，具备完整的赛事申报、备案、执行、评审全流程服务能力。</w:t>
      </w:r>
    </w:p>
    <w:p w14:paraId="6FD86C15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楷体_GB2312"/>
          <w:b w:val="0"/>
          <w:bCs w:val="0"/>
          <w:sz w:val="32"/>
          <w:szCs w:val="32"/>
        </w:rPr>
      </w:pPr>
      <w:bookmarkStart w:id="6" w:name="heading_6"/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（四）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</w:rPr>
        <w:t>合作宗旨</w:t>
      </w:r>
      <w:bookmarkEnd w:id="6"/>
    </w:p>
    <w:p w14:paraId="6EF90261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依托甲方产业顶级技术、原厂实操资源、实体运维场景</w:t>
      </w: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以及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乙方国家级官方认证、数字化教学体系、全国院校渠道的差异化核心优势，聚焦新能源汽车动力电池、三电系统、芯片级维修赛道，打造“官方认证＋原厂实训＋标准化教学＋全国赛事赋能”的高端人才培养体系，补齐行业人才短板，规范行业技术标准，实现产业赋能、院校提质、人才成才、企业增收的多方共赢，树立新能源汽车后市场产教融合行业标杆。</w:t>
      </w:r>
    </w:p>
    <w:p w14:paraId="4E3AD5B1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黑体"/>
          <w:b w:val="0"/>
          <w:bCs w:val="0"/>
          <w:sz w:val="32"/>
          <w:szCs w:val="32"/>
          <w:lang w:eastAsia="zh-CN"/>
        </w:rPr>
      </w:pPr>
      <w:bookmarkStart w:id="7" w:name="heading_8"/>
      <w:r>
        <w:rPr>
          <w:rFonts w:hint="eastAsia" w:cs="黑体"/>
          <w:b w:val="0"/>
          <w:bCs w:val="0"/>
          <w:sz w:val="32"/>
          <w:szCs w:val="32"/>
          <w:lang w:val="en-US" w:eastAsia="zh-CN"/>
        </w:rPr>
        <w:t>第</w:t>
      </w:r>
      <w:r>
        <w:rPr>
          <w:rFonts w:hint="eastAsia" w:cs="黑体"/>
          <w:b w:val="0"/>
          <w:bCs w:val="0"/>
          <w:sz w:val="32"/>
          <w:szCs w:val="32"/>
          <w:lang w:eastAsia="zh-CN"/>
        </w:rPr>
        <w:t>二</w:t>
      </w:r>
      <w:r>
        <w:rPr>
          <w:rFonts w:hint="eastAsia" w:cs="黑体"/>
          <w:b w:val="0"/>
          <w:bCs w:val="0"/>
          <w:sz w:val="32"/>
          <w:szCs w:val="32"/>
          <w:lang w:val="en-US" w:eastAsia="zh-CN"/>
        </w:rPr>
        <w:t xml:space="preserve">条 </w:t>
      </w:r>
      <w:r>
        <w:rPr>
          <w:rFonts w:ascii="黑体" w:hAnsi="黑体" w:eastAsia="黑体" w:cs="黑体"/>
          <w:b w:val="0"/>
          <w:bCs w:val="0"/>
          <w:sz w:val="32"/>
          <w:szCs w:val="32"/>
        </w:rPr>
        <w:t>核心合作</w:t>
      </w:r>
      <w:bookmarkEnd w:id="7"/>
      <w:r>
        <w:rPr>
          <w:rFonts w:hint="eastAsia" w:cs="黑体"/>
          <w:b w:val="0"/>
          <w:bCs w:val="0"/>
          <w:sz w:val="32"/>
          <w:szCs w:val="32"/>
          <w:lang w:val="en-US" w:eastAsia="zh-CN"/>
        </w:rPr>
        <w:t>内容</w:t>
      </w:r>
    </w:p>
    <w:p w14:paraId="2481BDE9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本次合作聚焦</w:t>
      </w: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“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新能源后市场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人才培育</w:t>
      </w: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、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全国性行业赛事赋能</w:t>
      </w: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”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两大核心板块，两大项目资源互通、流量互导、闭环联动，构建“以训备赛、以赛促学、以学促业”的完整生态。</w:t>
      </w:r>
    </w:p>
    <w:p w14:paraId="49FACB04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楷体_GB2312"/>
          <w:b w:val="0"/>
          <w:bCs w:val="0"/>
          <w:sz w:val="32"/>
          <w:szCs w:val="32"/>
        </w:rPr>
      </w:pPr>
      <w:bookmarkStart w:id="8" w:name="heading_9"/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（一）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</w:rPr>
        <w:t>工信部官方新能源</w:t>
      </w:r>
      <w:r>
        <w:rPr>
          <w:rFonts w:hint="eastAsia" w:cs="方正楷体_GB2312"/>
          <w:b w:val="0"/>
          <w:bCs w:val="0"/>
          <w:sz w:val="32"/>
          <w:szCs w:val="32"/>
          <w:lang w:val="en-US" w:eastAsia="zh-CN"/>
        </w:rPr>
        <w:t>后市场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</w:rPr>
        <w:t>人才培养项目</w:t>
      </w:r>
      <w:bookmarkEnd w:id="8"/>
    </w:p>
    <w:p w14:paraId="01A06F1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方正仿宋_GB2312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本项目为国家级认证＋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电池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原厂技术赋能的人才培养项目，聚焦行业紧缺的电池精密维修、三电系统故障排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查与维修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、车载芯片级检修三大高薪细分领域，面向全国职业院校学生、新能源汽修从业者、行业技能提升人群招生。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项目包括：</w:t>
      </w:r>
    </w:p>
    <w:p w14:paraId="12B42BEE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由乙方统筹工信部教育与考试中心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的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资源，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在甲方的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北京直营基地设立“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  <w:highlight w:val="none"/>
        </w:rPr>
        <w:t>工业和信息化部教育与考试中心</w:t>
      </w:r>
      <w:r>
        <w:rPr>
          <w:rFonts w:hint="eastAsia" w:cs="方正仿宋_GB2312"/>
          <w:b w:val="0"/>
          <w:bCs w:val="0"/>
          <w:sz w:val="32"/>
          <w:szCs w:val="32"/>
          <w:highlight w:val="none"/>
          <w:lang w:val="en-US" w:eastAsia="zh-CN"/>
        </w:rPr>
        <w:t>新能源汽车动力电池检修工程师</w:t>
      </w:r>
      <w:r>
        <w:rPr>
          <w:rFonts w:ascii="Times New Roman" w:hAnsi="Times New Roman" w:eastAsia="方正仿宋_GB2312" w:cs="方正仿宋_GB2312"/>
          <w:b w:val="0"/>
          <w:bCs w:val="0"/>
          <w:spacing w:val="-6"/>
          <w:sz w:val="32"/>
          <w:szCs w:val="32"/>
          <w:highlight w:val="none"/>
        </w:rPr>
        <w:t>培训中心</w:t>
      </w:r>
      <w:r>
        <w:rPr>
          <w:rFonts w:ascii="Times New Roman" w:hAnsi="Times New Roman" w:eastAsia="方正仿宋_GB2312" w:cs="方正仿宋_GB2312"/>
          <w:b w:val="0"/>
          <w:bCs w:val="0"/>
          <w:spacing w:val="-6"/>
          <w:sz w:val="32"/>
          <w:szCs w:val="32"/>
        </w:rPr>
        <w:t>”，作为</w:t>
      </w:r>
      <w:r>
        <w:rPr>
          <w:rFonts w:hint="eastAsia" w:cs="方正仿宋_GB2312"/>
          <w:b w:val="0"/>
          <w:bCs w:val="0"/>
          <w:spacing w:val="-6"/>
          <w:sz w:val="32"/>
          <w:szCs w:val="32"/>
          <w:lang w:val="en-US" w:eastAsia="zh-CN"/>
        </w:rPr>
        <w:t>双方合作项目的教学、实训</w:t>
      </w:r>
      <w:r>
        <w:rPr>
          <w:rFonts w:ascii="Times New Roman" w:hAnsi="Times New Roman" w:eastAsia="方正仿宋_GB2312" w:cs="方正仿宋_GB2312"/>
          <w:b w:val="0"/>
          <w:bCs w:val="0"/>
          <w:spacing w:val="-6"/>
          <w:sz w:val="32"/>
          <w:szCs w:val="32"/>
        </w:rPr>
        <w:t>、考评</w:t>
      </w:r>
      <w:r>
        <w:rPr>
          <w:rFonts w:hint="eastAsia" w:cs="方正仿宋_GB2312"/>
          <w:b w:val="0"/>
          <w:bCs w:val="0"/>
          <w:spacing w:val="-6"/>
          <w:sz w:val="32"/>
          <w:szCs w:val="32"/>
          <w:lang w:eastAsia="zh-CN"/>
        </w:rPr>
        <w:t>、</w:t>
      </w:r>
      <w:r>
        <w:rPr>
          <w:rFonts w:hint="eastAsia" w:cs="方正仿宋_GB2312"/>
          <w:b w:val="0"/>
          <w:bCs w:val="0"/>
          <w:spacing w:val="-6"/>
          <w:sz w:val="32"/>
          <w:szCs w:val="32"/>
          <w:lang w:val="en-US" w:eastAsia="zh-CN"/>
        </w:rPr>
        <w:t>实习、竞赛</w:t>
      </w:r>
      <w:r>
        <w:rPr>
          <w:rFonts w:ascii="Times New Roman" w:hAnsi="Times New Roman" w:eastAsia="方正仿宋_GB2312" w:cs="方正仿宋_GB2312"/>
          <w:b w:val="0"/>
          <w:bCs w:val="0"/>
          <w:spacing w:val="-6"/>
          <w:sz w:val="32"/>
          <w:szCs w:val="32"/>
        </w:rPr>
        <w:t>的运营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基地。</w:t>
      </w:r>
    </w:p>
    <w:p w14:paraId="2DC0ACC3">
      <w:pPr>
        <w:pStyle w:val="11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双方联合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打造“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原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厂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授权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＋官方认证”的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新能源后市场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培训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业务板块，双方共同组建专业团队，联合开展课程研发、招生推广、教学培训、考试认证、就业推荐等实务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。</w:t>
      </w:r>
    </w:p>
    <w:p w14:paraId="335B60B6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cs="方正仿宋_GB2312"/>
          <w:b w:val="0"/>
          <w:bCs w:val="0"/>
          <w:spacing wpsCustomData:val="-6" w:val="10"/>
          <w:sz w:val="32"/>
          <w:szCs w:val="32"/>
          <w:lang w:val="en-US" w:eastAsia="zh-CN"/>
        </w:rPr>
      </w:pPr>
      <w:r>
        <w:rPr>
          <w:rFonts w:hint="eastAsia" w:cs="方正仿宋_GB2312"/>
          <w:b w:val="0"/>
          <w:bCs w:val="0"/>
          <w:spacing wpsCustomData:val="-6" w:val="9"/>
          <w:sz w:val="32"/>
          <w:szCs w:val="32"/>
          <w:lang w:val="en-US" w:eastAsia="zh-CN"/>
        </w:rPr>
        <w:t>本项目所获得的收</w:t>
      </w:r>
      <w:r>
        <w:rPr>
          <w:rFonts w:hint="eastAsia" w:cs="方正仿宋_GB2312"/>
          <w:b w:val="0"/>
          <w:bCs w:val="0"/>
          <w:spacing wpsCustomData:val="-6" w:val="10"/>
          <w:sz w:val="32"/>
          <w:szCs w:val="32"/>
          <w:lang w:val="en-US" w:eastAsia="zh-CN"/>
        </w:rPr>
        <w:t>益</w:t>
      </w:r>
      <w:r>
        <w:rPr>
          <w:rFonts w:hint="eastAsia" w:cs="方正仿宋_GB2312"/>
          <w:b w:val="0"/>
          <w:bCs w:val="0"/>
          <w:spacing wpsCustomData:val="-6" w:val="9"/>
          <w:sz w:val="32"/>
          <w:szCs w:val="32"/>
          <w:lang w:val="en-US" w:eastAsia="zh-CN"/>
        </w:rPr>
        <w:t>，</w:t>
      </w:r>
      <w:r>
        <w:rPr>
          <w:rFonts w:hint="eastAsia" w:cs="方正仿宋_GB2312"/>
          <w:b w:val="0"/>
          <w:bCs w:val="0"/>
          <w:spacing wpsCustomData:val="-6" w:val="10"/>
          <w:sz w:val="32"/>
          <w:szCs w:val="32"/>
          <w:lang w:val="en-US" w:eastAsia="zh-CN"/>
        </w:rPr>
        <w:t>甲乙双方以合作双赢的原则在具体项目中协商分配。</w:t>
      </w:r>
    </w:p>
    <w:p w14:paraId="2DFD025C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</w:pPr>
      <w:r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对于后续新增或扩展的项目，如双方未另行签署书面分配协议，则</w:t>
      </w:r>
      <w:r>
        <w:rPr>
          <w:rFonts w:hint="eastAsia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双方同意</w:t>
      </w:r>
      <w:r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按以下方式分配：</w:t>
      </w:r>
    </w:p>
    <w:p w14:paraId="60A264B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</w:pPr>
      <w:r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（1）按双方在本项目中的出资比例分配；</w:t>
      </w:r>
    </w:p>
    <w:p w14:paraId="7F23E347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</w:pPr>
      <w:r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（2）如无出资，则按双方投入的人力、资源、技术、管理等实际贡献比例协商确定；</w:t>
      </w:r>
    </w:p>
    <w:p w14:paraId="153D7D8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</w:pPr>
      <w:r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（3）若仍无法协商一致，双方同意委托第三方专业机构进</w:t>
      </w:r>
      <w:r>
        <w:rPr>
          <w:rFonts w:hint="default" w:cs="方正仿宋_GB2312"/>
          <w:b w:val="0"/>
          <w:bCs w:val="0"/>
          <w:color w:val="auto"/>
          <w:spacing wpsCustomData:val="25" w:val="33"/>
          <w:sz w:val="32"/>
          <w:szCs w:val="32"/>
          <w:lang w:val="en-US" w:eastAsia="zh-CN"/>
        </w:rPr>
        <w:t>行评估后按比例分配</w:t>
      </w:r>
      <w:r>
        <w:rPr>
          <w:rFonts w:hint="eastAsia" w:cs="方正仿宋_GB2312"/>
          <w:b w:val="0"/>
          <w:bCs w:val="0"/>
          <w:color w:val="auto"/>
          <w:spacing wpsCustomData:val="25" w:val="33"/>
          <w:sz w:val="32"/>
          <w:szCs w:val="32"/>
          <w:lang w:val="en-US" w:eastAsia="zh-CN"/>
        </w:rPr>
        <w:t>。</w:t>
      </w:r>
    </w:p>
    <w:p w14:paraId="2611A6D3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楷体_GB2312"/>
          <w:b w:val="0"/>
          <w:bCs w:val="0"/>
          <w:sz w:val="32"/>
          <w:szCs w:val="32"/>
        </w:rPr>
      </w:pPr>
      <w:bookmarkStart w:id="9" w:name="heading_10"/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（二）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</w:rPr>
        <w:t>全国新能源汽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  <w:highlight w:val="none"/>
        </w:rPr>
        <w:t>车</w:t>
      </w:r>
      <w:r>
        <w:rPr>
          <w:rFonts w:hint="eastAsia" w:cs="方正楷体_GB2312"/>
          <w:b w:val="0"/>
          <w:bCs w:val="0"/>
          <w:sz w:val="32"/>
          <w:szCs w:val="32"/>
          <w:highlight w:val="none"/>
          <w:lang w:val="en-US" w:eastAsia="zh-CN"/>
        </w:rPr>
        <w:t>领域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  <w:highlight w:val="none"/>
        </w:rPr>
        <w:t>技能</w:t>
      </w:r>
      <w:r>
        <w:rPr>
          <w:rFonts w:ascii="Times New Roman" w:hAnsi="Times New Roman" w:eastAsia="方正楷体_GB2312" w:cs="方正楷体_GB2312"/>
          <w:b w:val="0"/>
          <w:bCs w:val="0"/>
          <w:sz w:val="32"/>
          <w:szCs w:val="32"/>
        </w:rPr>
        <w:t>大赛项目</w:t>
      </w:r>
      <w:bookmarkEnd w:id="9"/>
    </w:p>
    <w:p w14:paraId="1EB88D42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双方联合主办全国性一类行业权威技能大赛，赛事聚焦新能源电池维修、三电系统集成检修、车载芯片级精密维修三大核心赛道，面向全国各类职业院校、技能培训机构开展赛事活动</w:t>
      </w: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，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优胜者可优先推荐至宁家服务体系内就业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。</w:t>
      </w:r>
    </w:p>
    <w:p w14:paraId="5911B02F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cs="方正仿宋_GB2312"/>
          <w:b w:val="0"/>
          <w:bCs w:val="0"/>
          <w:sz w:val="32"/>
          <w:szCs w:val="32"/>
          <w:lang w:val="en-US" w:eastAsia="zh-CN"/>
        </w:rPr>
      </w:pPr>
      <w:r>
        <w:rPr>
          <w:rFonts w:hint="eastAsia" w:cs="方正仿宋_GB2312"/>
          <w:b w:val="0"/>
          <w:bCs w:val="0"/>
          <w:spacing wpsCustomData:val="-6" w:val="9"/>
          <w:sz w:val="32"/>
          <w:szCs w:val="32"/>
          <w:lang w:val="en-US" w:eastAsia="zh-CN"/>
        </w:rPr>
        <w:t>本项目所需的设备投资和运营成本，以及所获得的收</w:t>
      </w:r>
      <w:r>
        <w:rPr>
          <w:rFonts w:hint="eastAsia" w:cs="方正仿宋_GB2312"/>
          <w:b w:val="0"/>
          <w:bCs w:val="0"/>
          <w:spacing wpsCustomData:val="-6" w:val="10"/>
          <w:sz w:val="32"/>
          <w:szCs w:val="32"/>
          <w:lang w:val="en-US" w:eastAsia="zh-CN"/>
        </w:rPr>
        <w:t>益</w:t>
      </w:r>
      <w:r>
        <w:rPr>
          <w:rFonts w:hint="eastAsia" w:cs="方正仿宋_GB2312"/>
          <w:b w:val="0"/>
          <w:bCs w:val="0"/>
          <w:spacing wpsCustomData:val="-6" w:val="9"/>
          <w:sz w:val="32"/>
          <w:szCs w:val="32"/>
          <w:lang w:val="en-US" w:eastAsia="zh-CN"/>
        </w:rPr>
        <w:t>，</w:t>
      </w:r>
      <w:r>
        <w:rPr>
          <w:rFonts w:hint="eastAsia" w:cs="方正仿宋_GB2312"/>
          <w:b w:val="0"/>
          <w:bCs w:val="0"/>
          <w:spacing wpsCustomData:val="-6" w:val="10"/>
          <w:sz w:val="32"/>
          <w:szCs w:val="32"/>
          <w:lang w:val="en-US" w:eastAsia="zh-CN"/>
        </w:rPr>
        <w:t>甲乙双方以合作双赢的原则在具体项目中协商分配</w:t>
      </w:r>
      <w:r>
        <w:rPr>
          <w:rFonts w:hint="eastAsia" w:cs="方正仿宋_GB2312"/>
          <w:b w:val="0"/>
          <w:bCs w:val="0"/>
          <w:sz w:val="32"/>
          <w:szCs w:val="32"/>
          <w:lang w:val="en-US" w:eastAsia="zh-CN"/>
        </w:rPr>
        <w:t>。</w:t>
      </w:r>
    </w:p>
    <w:p w14:paraId="57FE260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</w:pPr>
      <w:r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对于后续新增或扩展的项目，如双方未另行签署书面分配协议，则默认按以下方式分配：</w:t>
      </w:r>
    </w:p>
    <w:p w14:paraId="56A79D8B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</w:pPr>
      <w:r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（1）按双方在本项目中的出资比例分配；</w:t>
      </w:r>
    </w:p>
    <w:p w14:paraId="748975B3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</w:pPr>
      <w:r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（2）如无出资，则按双方投入的人力、资源、技术、管理等实际贡献比例协商确定；</w:t>
      </w:r>
    </w:p>
    <w:p w14:paraId="4A40D180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</w:pPr>
      <w:r>
        <w:rPr>
          <w:rFonts w:hint="default" w:cs="方正仿宋_GB2312"/>
          <w:b w:val="0"/>
          <w:bCs w:val="0"/>
          <w:color w:val="auto"/>
          <w:spacing wpsCustomData:val="-6" w:val="10"/>
          <w:sz w:val="32"/>
          <w:szCs w:val="32"/>
          <w:lang w:val="en-US" w:eastAsia="zh-CN"/>
        </w:rPr>
        <w:t>（3）若仍无法协商一致，双方同意委托第三方专业机构进</w:t>
      </w:r>
      <w:r>
        <w:rPr>
          <w:rFonts w:hint="default" w:cs="方正仿宋_GB2312"/>
          <w:b w:val="0"/>
          <w:bCs w:val="0"/>
          <w:color w:val="auto"/>
          <w:spacing wpsCustomData:val="25" w:val="33"/>
          <w:sz w:val="32"/>
          <w:szCs w:val="32"/>
          <w:lang w:val="en-US" w:eastAsia="zh-CN"/>
        </w:rPr>
        <w:t>行评估后按比例分配</w:t>
      </w:r>
      <w:r>
        <w:rPr>
          <w:rFonts w:hint="eastAsia" w:cs="方正仿宋_GB2312"/>
          <w:b w:val="0"/>
          <w:bCs w:val="0"/>
          <w:color w:val="auto"/>
          <w:spacing wpsCustomData:val="25" w:val="33"/>
          <w:sz w:val="32"/>
          <w:szCs w:val="32"/>
          <w:lang w:val="en-US" w:eastAsia="zh-CN"/>
        </w:rPr>
        <w:t>。</w:t>
      </w:r>
    </w:p>
    <w:p w14:paraId="4FC5167E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楷体_GB2312"/>
          <w:b w:val="0"/>
          <w:bCs w:val="0"/>
          <w:sz w:val="32"/>
          <w:szCs w:val="32"/>
          <w:lang w:eastAsia="zh-CN"/>
        </w:rPr>
      </w:pPr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cs="方正楷体_GB2312"/>
          <w:b w:val="0"/>
          <w:bCs w:val="0"/>
          <w:sz w:val="32"/>
          <w:szCs w:val="32"/>
          <w:lang w:val="en-US" w:eastAsia="zh-CN"/>
        </w:rPr>
        <w:t>三</w:t>
      </w:r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）</w:t>
      </w:r>
      <w:r>
        <w:rPr>
          <w:rFonts w:hint="eastAsia" w:cs="方正楷体_GB2312"/>
          <w:b w:val="0"/>
          <w:bCs w:val="0"/>
          <w:sz w:val="32"/>
          <w:szCs w:val="32"/>
          <w:lang w:val="en-US" w:eastAsia="zh-CN"/>
        </w:rPr>
        <w:t>业务互导</w:t>
      </w:r>
    </w:p>
    <w:p w14:paraId="25AD91D5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eastAsia" w:cs="方正仿宋_GB2312"/>
          <w:b w:val="0"/>
          <w:bCs w:val="0"/>
          <w:color w:val="auto"/>
          <w:spacing wpsCustomData:val="-6" w:val="9"/>
          <w:sz w:val="32"/>
          <w:szCs w:val="32"/>
          <w:lang w:val="en-US" w:eastAsia="zh-CN"/>
        </w:rPr>
      </w:pPr>
      <w:r>
        <w:rPr>
          <w:rFonts w:hint="eastAsia" w:cs="方正仿宋_GB2312"/>
          <w:b w:val="0"/>
          <w:bCs w:val="0"/>
          <w:spacing wpsCustomData:val="-6" w:val="9"/>
          <w:sz w:val="32"/>
          <w:szCs w:val="32"/>
          <w:lang w:val="en-US" w:eastAsia="zh-CN"/>
        </w:rPr>
        <w:t>双方互相为对方既有之培训及认证业务提供客户引荐、导流支持；就因一方引荐导流所实际促成的对应业务有效收入</w:t>
      </w:r>
      <w:r>
        <w:rPr>
          <w:rFonts w:hint="eastAsia" w:cs="方正仿宋_GB2312"/>
          <w:b w:val="0"/>
          <w:bCs w:val="0"/>
          <w:spacing wpsCustomData:val="23" w:val="37"/>
          <w:sz w:val="32"/>
          <w:szCs w:val="32"/>
          <w:lang w:val="en-US" w:eastAsia="zh-CN"/>
        </w:rPr>
        <w:t>，引荐方按照该部分有效收入的</w:t>
      </w:r>
      <w:r>
        <w:rPr>
          <w:rFonts w:hint="eastAsia" w:cs="方正仿宋_GB2312"/>
          <w:b w:val="0"/>
          <w:bCs w:val="0"/>
          <w:spacing wpsCustomData:val="9" w:val="9"/>
          <w:sz w:val="32"/>
          <w:szCs w:val="32"/>
          <w:highlight w:val="none"/>
          <w:lang w:val="en-US" w:eastAsia="zh-CN"/>
        </w:rPr>
        <w:t>20%</w:t>
      </w:r>
      <w:r>
        <w:rPr>
          <w:rFonts w:hint="eastAsia" w:cs="方正仿宋_GB2312"/>
          <w:b w:val="0"/>
          <w:bCs w:val="0"/>
          <w:spacing wpsCustomData:val="23" w:val="37"/>
          <w:sz w:val="32"/>
          <w:szCs w:val="32"/>
          <w:lang w:val="en-US" w:eastAsia="zh-CN"/>
        </w:rPr>
        <w:t>获取引荐</w:t>
      </w:r>
      <w:r>
        <w:rPr>
          <w:rFonts w:hint="eastAsia" w:cs="方正仿宋_GB2312"/>
          <w:b w:val="0"/>
          <w:bCs w:val="0"/>
          <w:spacing wpsCustomData:val="9" w:val="9"/>
          <w:sz w:val="32"/>
          <w:szCs w:val="32"/>
          <w:lang w:val="en-US" w:eastAsia="zh-CN"/>
        </w:rPr>
        <w:t>服</w:t>
      </w:r>
      <w:r>
        <w:rPr>
          <w:rFonts w:hint="eastAsia" w:cs="方正仿宋_GB2312"/>
          <w:b w:val="0"/>
          <w:bCs w:val="0"/>
          <w:spacing wpsCustomData:val="-6" w:val="9"/>
          <w:sz w:val="32"/>
          <w:szCs w:val="32"/>
          <w:lang w:val="en-US" w:eastAsia="zh-CN"/>
        </w:rPr>
        <w:t>务费。</w:t>
      </w:r>
      <w:r>
        <w:rPr>
          <w:rFonts w:hint="eastAsia" w:cs="方正仿宋_GB2312"/>
          <w:b w:val="0"/>
          <w:bCs w:val="0"/>
          <w:color w:val="auto"/>
          <w:spacing wpsCustomData:val="-6" w:val="9"/>
          <w:sz w:val="32"/>
          <w:szCs w:val="32"/>
          <w:lang w:val="en-US" w:eastAsia="zh-CN"/>
        </w:rPr>
        <w:t>“有效收入”定义为：扣除因该业务产生的直接退款、赔偿及依法应缴纳的增值税及附加税费后的净收入</w:t>
      </w:r>
      <w:r>
        <w:rPr>
          <w:rFonts w:hint="eastAsia" w:cs="方正仿宋_GB2312"/>
          <w:b w:val="0"/>
          <w:bCs w:val="0"/>
          <w:color w:val="auto"/>
          <w:spacing wpsCustomData:val="9" w:val="17"/>
          <w:sz w:val="32"/>
          <w:szCs w:val="32"/>
          <w:lang w:val="en-US" w:eastAsia="zh-CN"/>
        </w:rPr>
        <w:t>。引荐服务费应于每季度结束后</w:t>
      </w:r>
      <w:r>
        <w:rPr>
          <w:rFonts w:hint="eastAsia" w:cs="方正仿宋_GB2312"/>
          <w:b w:val="0"/>
          <w:bCs w:val="0"/>
          <w:color w:val="auto"/>
          <w:spacing wpsCustomData:val="9" w:val="9"/>
          <w:sz w:val="32"/>
          <w:szCs w:val="32"/>
          <w:lang w:val="en-US" w:eastAsia="zh-CN"/>
        </w:rPr>
        <w:t>1</w:t>
      </w:r>
      <w:r>
        <w:rPr>
          <w:rFonts w:hint="eastAsia" w:cs="方正仿宋_GB2312"/>
          <w:b w:val="0"/>
          <w:bCs w:val="0"/>
          <w:color w:val="auto"/>
          <w:spacing wpsCustomData:val="9" w:val="-14"/>
          <w:sz w:val="32"/>
          <w:szCs w:val="32"/>
          <w:lang w:val="en-US" w:eastAsia="zh-CN"/>
        </w:rPr>
        <w:t>5</w:t>
      </w:r>
      <w:r>
        <w:rPr>
          <w:rFonts w:hint="eastAsia" w:cs="方正仿宋_GB2312"/>
          <w:b w:val="0"/>
          <w:bCs w:val="0"/>
          <w:color w:val="auto"/>
          <w:spacing wpsCustomData:val="-6" w:val="9"/>
          <w:sz w:val="32"/>
          <w:szCs w:val="32"/>
          <w:lang w:val="en-US" w:eastAsia="zh-CN"/>
        </w:rPr>
        <w:t>日</w:t>
      </w:r>
      <w:r>
        <w:rPr>
          <w:rFonts w:hint="eastAsia" w:cs="方正仿宋_GB2312"/>
          <w:b w:val="0"/>
          <w:bCs w:val="0"/>
          <w:color w:val="auto"/>
          <w:spacing wpsCustomData:val="9" w:val="17"/>
          <w:sz w:val="32"/>
          <w:szCs w:val="32"/>
          <w:lang w:val="en-US" w:eastAsia="zh-CN"/>
        </w:rPr>
        <w:t>内结算</w:t>
      </w:r>
      <w:r>
        <w:rPr>
          <w:rFonts w:hint="eastAsia" w:cs="方正仿宋_GB2312"/>
          <w:b w:val="0"/>
          <w:bCs w:val="0"/>
          <w:color w:val="auto"/>
          <w:spacing wpsCustomData:val="9" w:val="9"/>
          <w:sz w:val="32"/>
          <w:szCs w:val="32"/>
          <w:lang w:val="en-US" w:eastAsia="zh-CN"/>
        </w:rPr>
        <w:t>并</w:t>
      </w:r>
      <w:r>
        <w:rPr>
          <w:rFonts w:hint="eastAsia" w:cs="方正仿宋_GB2312"/>
          <w:b w:val="0"/>
          <w:bCs w:val="0"/>
          <w:color w:val="auto"/>
          <w:spacing wpsCustomData:val="-6" w:val="9"/>
          <w:sz w:val="32"/>
          <w:szCs w:val="32"/>
          <w:lang w:val="en-US" w:eastAsia="zh-CN"/>
        </w:rPr>
        <w:t>支付。</w:t>
      </w:r>
    </w:p>
    <w:p w14:paraId="51A17738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eastAsia="方正楷体_GB2312"/>
          <w:b w:val="0"/>
          <w:bCs w:val="0"/>
          <w:sz w:val="32"/>
          <w:szCs w:val="32"/>
          <w:lang w:eastAsia="zh-CN"/>
        </w:rPr>
      </w:pPr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（</w:t>
      </w:r>
      <w:r>
        <w:rPr>
          <w:rFonts w:hint="eastAsia" w:cs="方正楷体_GB2312"/>
          <w:b w:val="0"/>
          <w:bCs w:val="0"/>
          <w:sz w:val="32"/>
          <w:szCs w:val="32"/>
          <w:lang w:val="en-US" w:eastAsia="zh-CN"/>
        </w:rPr>
        <w:t>四</w:t>
      </w:r>
      <w:r>
        <w:rPr>
          <w:rFonts w:hint="eastAsia" w:cs="方正楷体_GB2312"/>
          <w:b w:val="0"/>
          <w:bCs w:val="0"/>
          <w:sz w:val="32"/>
          <w:szCs w:val="32"/>
          <w:lang w:eastAsia="zh-CN"/>
        </w:rPr>
        <w:t>）</w:t>
      </w:r>
      <w:r>
        <w:rPr>
          <w:rFonts w:hint="eastAsia" w:cs="方正楷体_GB2312"/>
          <w:b w:val="0"/>
          <w:bCs w:val="0"/>
          <w:sz w:val="32"/>
          <w:szCs w:val="32"/>
          <w:lang w:val="en-US" w:eastAsia="zh-CN"/>
        </w:rPr>
        <w:t>其它</w:t>
      </w:r>
    </w:p>
    <w:p w14:paraId="50C82484">
      <w:pPr>
        <w:pStyle w:val="1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/>
        <w:textAlignment w:val="auto"/>
        <w:rPr>
          <w:rFonts w:hint="default" w:cs="方正仿宋_GB2312"/>
          <w:b w:val="0"/>
          <w:bCs w:val="0"/>
          <w:spacing wpsCustomData:val="-6" w:val="9"/>
          <w:sz w:val="32"/>
          <w:szCs w:val="32"/>
          <w:lang w:val="en-US" w:eastAsia="zh-CN"/>
        </w:rPr>
      </w:pPr>
      <w:r>
        <w:rPr>
          <w:rFonts w:hint="eastAsia" w:cs="方正仿宋_GB2312"/>
          <w:b w:val="0"/>
          <w:bCs w:val="0"/>
          <w:spacing wpsCustomData:val="-6" w:val="9"/>
          <w:sz w:val="32"/>
          <w:szCs w:val="32"/>
          <w:lang w:val="en-US" w:eastAsia="zh-CN"/>
        </w:rPr>
        <w:t>其它项目合作，采取一事一议的原则另行协商。</w:t>
      </w:r>
    </w:p>
    <w:p w14:paraId="30DC1D1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eastAsia="黑体"/>
          <w:b w:val="0"/>
          <w:bCs w:val="0"/>
          <w:sz w:val="32"/>
          <w:szCs w:val="32"/>
        </w:rPr>
      </w:pPr>
      <w:bookmarkStart w:id="10" w:name="heading_28"/>
      <w:r>
        <w:rPr>
          <w:rFonts w:hint="eastAsia" w:cs="黑体"/>
          <w:b w:val="0"/>
          <w:bCs w:val="0"/>
          <w:sz w:val="32"/>
          <w:szCs w:val="32"/>
          <w:lang w:val="en-US" w:eastAsia="zh-CN"/>
        </w:rPr>
        <w:t xml:space="preserve">第三条 </w:t>
      </w:r>
      <w:r>
        <w:rPr>
          <w:rFonts w:ascii="黑体" w:hAnsi="黑体" w:eastAsia="黑体" w:cs="黑体"/>
          <w:b w:val="0"/>
          <w:bCs w:val="0"/>
          <w:sz w:val="32"/>
          <w:szCs w:val="32"/>
        </w:rPr>
        <w:t>双方权利与义务</w:t>
      </w:r>
      <w:bookmarkEnd w:id="10"/>
    </w:p>
    <w:p w14:paraId="2D6375BE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双方严格遵守国家法律法规、行业规范及本方案约定，合</w:t>
      </w:r>
      <w:r>
        <w:rPr>
          <w:rFonts w:ascii="Times New Roman" w:hAnsi="Times New Roman" w:eastAsia="方正仿宋_GB2312" w:cs="方正仿宋_GB2312"/>
          <w:b w:val="0"/>
          <w:bCs w:val="0"/>
          <w:spacing wpsCustomData:val="7" w:val="13"/>
          <w:sz w:val="32"/>
          <w:szCs w:val="32"/>
        </w:rPr>
        <w:t>规开展所有运营</w:t>
      </w:r>
      <w:r>
        <w:rPr>
          <w:rFonts w:ascii="Times New Roman" w:hAnsi="Times New Roman" w:eastAsia="方正仿宋_GB2312" w:cs="方正仿宋_GB2312"/>
          <w:b w:val="0"/>
          <w:bCs w:val="0"/>
          <w:spacing wpsCustomData:val="-6" w:val="7"/>
          <w:sz w:val="32"/>
          <w:szCs w:val="32"/>
        </w:rPr>
        <w:t>、</w:t>
      </w:r>
      <w:r>
        <w:rPr>
          <w:rFonts w:ascii="Times New Roman" w:hAnsi="Times New Roman" w:eastAsia="方正仿宋_GB2312" w:cs="方正仿宋_GB2312"/>
          <w:b w:val="0"/>
          <w:bCs w:val="0"/>
          <w:spacing wpsCustomData:val="7" w:val="13"/>
          <w:sz w:val="32"/>
          <w:szCs w:val="32"/>
        </w:rPr>
        <w:t>教</w:t>
      </w:r>
      <w:r>
        <w:rPr>
          <w:rFonts w:ascii="Times New Roman" w:hAnsi="Times New Roman" w:eastAsia="方正仿宋_GB2312" w:cs="方正仿宋_GB2312"/>
          <w:b w:val="0"/>
          <w:bCs w:val="0"/>
          <w:spacing wpsCustomData:val="-6" w:val="7"/>
          <w:sz w:val="32"/>
          <w:szCs w:val="32"/>
        </w:rPr>
        <w:t>学</w:t>
      </w:r>
      <w:r>
        <w:rPr>
          <w:rFonts w:ascii="Times New Roman" w:hAnsi="Times New Roman" w:eastAsia="方正仿宋_GB2312" w:cs="方正仿宋_GB2312"/>
          <w:b w:val="0"/>
          <w:bCs w:val="0"/>
          <w:spacing wpsCustomData:val="7" w:val="13"/>
          <w:sz w:val="32"/>
          <w:szCs w:val="32"/>
        </w:rPr>
        <w:t>、赛事活动</w:t>
      </w:r>
      <w:r>
        <w:rPr>
          <w:rFonts w:ascii="Times New Roman" w:hAnsi="Times New Roman" w:eastAsia="方正仿宋_GB2312" w:cs="方正仿宋_GB2312"/>
          <w:b w:val="0"/>
          <w:bCs w:val="0"/>
          <w:spacing wpsCustomData:val="-6" w:val="7"/>
          <w:sz w:val="32"/>
          <w:szCs w:val="32"/>
        </w:rPr>
        <w:t>，</w:t>
      </w:r>
      <w:r>
        <w:rPr>
          <w:rFonts w:ascii="Times New Roman" w:hAnsi="Times New Roman" w:eastAsia="方正仿宋_GB2312" w:cs="方正仿宋_GB2312"/>
          <w:b w:val="0"/>
          <w:bCs w:val="0"/>
          <w:spacing wpsCustomData:val="7" w:val="13"/>
          <w:sz w:val="32"/>
          <w:szCs w:val="32"/>
        </w:rPr>
        <w:t>杜绝虚假</w:t>
      </w:r>
      <w:r>
        <w:rPr>
          <w:rFonts w:ascii="Times New Roman" w:hAnsi="Times New Roman" w:eastAsia="方正仿宋_GB2312" w:cs="方正仿宋_GB2312"/>
          <w:b w:val="0"/>
          <w:bCs w:val="0"/>
          <w:spacing wpsCustomData:val="13" w:val="20"/>
          <w:sz w:val="32"/>
          <w:szCs w:val="32"/>
        </w:rPr>
        <w:t>宣</w:t>
      </w:r>
      <w:r>
        <w:rPr>
          <w:rFonts w:ascii="Times New Roman" w:hAnsi="Times New Roman" w:eastAsia="方正仿宋_GB2312" w:cs="方正仿宋_GB2312"/>
          <w:b w:val="0"/>
          <w:bCs w:val="0"/>
          <w:spacing wpsCustomData:val="7" w:val="13"/>
          <w:sz w:val="32"/>
          <w:szCs w:val="32"/>
        </w:rPr>
        <w:t>传</w:t>
      </w:r>
      <w:r>
        <w:rPr>
          <w:rFonts w:ascii="Times New Roman" w:hAnsi="Times New Roman" w:eastAsia="方正仿宋_GB2312" w:cs="方正仿宋_GB2312"/>
          <w:b w:val="0"/>
          <w:bCs w:val="0"/>
          <w:spacing wpsCustomData:val="-6" w:val="7"/>
          <w:sz w:val="32"/>
          <w:szCs w:val="32"/>
        </w:rPr>
        <w:t>、</w:t>
      </w:r>
      <w:r>
        <w:rPr>
          <w:rFonts w:ascii="Times New Roman" w:hAnsi="Times New Roman" w:eastAsia="方正仿宋_GB2312" w:cs="方正仿宋_GB2312"/>
          <w:b w:val="0"/>
          <w:bCs w:val="0"/>
          <w:spacing wpsCustomData:val="13" w:val="19"/>
          <w:sz w:val="32"/>
          <w:szCs w:val="32"/>
        </w:rPr>
        <w:t>违</w:t>
      </w:r>
      <w:r>
        <w:rPr>
          <w:rFonts w:ascii="Times New Roman" w:hAnsi="Times New Roman" w:eastAsia="方正仿宋_GB2312" w:cs="方正仿宋_GB2312"/>
          <w:b w:val="0"/>
          <w:bCs w:val="0"/>
          <w:spacing wpsCustomData:val="-6" w:val="-6"/>
          <w:sz w:val="32"/>
          <w:szCs w:val="32"/>
        </w:rPr>
        <w:t>规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操作。</w:t>
      </w:r>
    </w:p>
    <w:p w14:paraId="70947928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共同维护“工信部教考中心</w:t>
      </w:r>
      <w:r>
        <w:rPr>
          <w:rFonts w:hint="eastAsia" w:ascii="Times New Roman" w:hAnsi="Times New Roman" w:eastAsia="方正仿宋_GB2312" w:cs="方正仿宋_GB2312"/>
          <w:b w:val="0"/>
          <w:bCs w:val="0"/>
          <w:sz w:val="32"/>
          <w:szCs w:val="32"/>
          <w:lang w:val="en-US" w:eastAsia="zh-CN"/>
        </w:rPr>
        <w:t>新能源汽车动力电池检修工程师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培训中心”品牌、宁德时代原厂技术品牌及赛事官方品牌形象，不得做出损害双方品牌声誉的行为。</w:t>
      </w:r>
    </w:p>
    <w:p w14:paraId="5863AD93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eastAsia="方正仿宋_GB2312"/>
          <w:b w:val="0"/>
          <w:bCs w:val="0"/>
          <w:sz w:val="32"/>
          <w:szCs w:val="32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建立每周项目推进会机制，同步工作进度、解决运营问题、迭代优化项目方案，保障项目高效推进。</w:t>
      </w:r>
    </w:p>
    <w:p w14:paraId="47317100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C00000"/>
          <w:spacing w:val="-6"/>
          <w:sz w:val="32"/>
          <w:szCs w:val="32"/>
          <w:lang w:eastAsia="zh-CN"/>
        </w:rPr>
      </w:pP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严格保密合作商业秘密、技术资料、课程题库、学员数据、赛事方案、渠道资源，不得向第三方泄露。</w:t>
      </w:r>
    </w:p>
    <w:p w14:paraId="00730D3E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双方联合研发的课程、教材、题库、赛事体系、数字化系统等知识产权（以下简称“共有知识产权”）归双方按份</w:t>
      </w:r>
      <w:r>
        <w:rPr>
          <w:rFonts w:hint="eastAsia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额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共有。具体份额根据研发过程中双方投入的核心技术、资金、人力、场地等资源进行协商确定，并作为本协议附件。</w:t>
      </w:r>
    </w:p>
    <w:p w14:paraId="2070EBB3">
      <w:pPr>
        <w:pStyle w:val="11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对于共有知识产权，任何一方许可第三方使用或转让其享有的份额，必须经双方书面一致同意，所得收益（扣除必要成本后）按双方约定的份额比例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psCustomData:val="-6" w:val="0"/>
          <w:sz w:val="32"/>
          <w:szCs w:val="32"/>
          <w:lang w:eastAsia="zh-CN"/>
        </w:rPr>
        <w:t>分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psCustomData:val="-6" w:val="1"/>
          <w:sz w:val="32"/>
          <w:szCs w:val="32"/>
          <w:lang w:eastAsia="zh-CN"/>
        </w:rPr>
        <w:t>配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psCustomData:val="-6" w:val="0"/>
          <w:sz w:val="32"/>
          <w:szCs w:val="32"/>
          <w:lang w:eastAsia="zh-CN"/>
        </w:rPr>
        <w:t>。一方转让其份额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psCustomData:val="-6" w:val="1"/>
          <w:sz w:val="32"/>
          <w:szCs w:val="32"/>
          <w:lang w:eastAsia="zh-CN"/>
        </w:rPr>
        <w:t>时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psCustomData:val="-6" w:val="0"/>
          <w:sz w:val="32"/>
          <w:szCs w:val="32"/>
          <w:lang w:eastAsia="zh-CN"/>
        </w:rPr>
        <w:t>，另一方在同等条件下享有优先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psCustomData:val="-6" w:val="-6"/>
          <w:sz w:val="32"/>
          <w:szCs w:val="32"/>
          <w:lang w:eastAsia="zh-CN"/>
        </w:rPr>
        <w:t>购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买权。</w:t>
      </w:r>
    </w:p>
    <w:p w14:paraId="448F9AE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cs="黑体"/>
          <w:b w:val="0"/>
          <w:bCs w:val="0"/>
          <w:color w:val="auto"/>
          <w:sz w:val="32"/>
          <w:szCs w:val="32"/>
          <w:lang w:eastAsia="zh-CN"/>
        </w:rPr>
      </w:pPr>
      <w:r>
        <w:rPr>
          <w:rFonts w:hint="eastAsia" w:cs="黑体"/>
          <w:b w:val="0"/>
          <w:bCs w:val="0"/>
          <w:color w:val="auto"/>
          <w:sz w:val="32"/>
          <w:szCs w:val="32"/>
          <w:lang w:val="en-US" w:eastAsia="zh-CN"/>
        </w:rPr>
        <w:t xml:space="preserve">第四条 </w:t>
      </w:r>
      <w:r>
        <w:rPr>
          <w:rFonts w:hint="eastAsia" w:cs="黑体"/>
          <w:b w:val="0"/>
          <w:bCs w:val="0"/>
          <w:color w:val="auto"/>
          <w:sz w:val="32"/>
          <w:szCs w:val="32"/>
          <w:lang w:eastAsia="zh-CN"/>
        </w:rPr>
        <w:t>合作期限与终止</w:t>
      </w:r>
    </w:p>
    <w:p w14:paraId="5803FD7E">
      <w:pPr>
        <w:pStyle w:val="1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本协议合作期限自双方盖章之日起生效，有效期为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年。合作期满前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个月，双方可协商续签事宜。</w:t>
      </w:r>
    </w:p>
    <w:p w14:paraId="6D444416">
      <w:pPr>
        <w:pStyle w:val="1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任何一方存在以下严重违约行为的，守约方有权书面通知违约方解除本协议，并要求违约方赔偿损失：</w:t>
      </w:r>
    </w:p>
    <w:p w14:paraId="748ECB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16" w:firstLineChars="0"/>
        <w:jc w:val="both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（1） 违反本协议第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三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条第4项保密义务，造成严重后果的；</w:t>
      </w:r>
    </w:p>
    <w:p w14:paraId="4A1250C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16" w:firstLineChars="0"/>
        <w:jc w:val="both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（2） 因一方原因导致其官方授权、资质、认证等被撤销，无法继续履行本协议核心义务的；</w:t>
      </w:r>
    </w:p>
    <w:p w14:paraId="03407C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16" w:firstLineChars="0"/>
        <w:jc w:val="both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3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） 未经对方书面同意，擅自将共有知识产权许可第三方使用或转让，或在合作期间实施损害“培训中心”品牌、宁德时代原厂技术品牌及赛事官方品牌声誉的行为，经书面警告后 7 日内仍未停止的；</w:t>
      </w:r>
    </w:p>
    <w:p w14:paraId="39E6B11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16" w:firstLineChars="0"/>
        <w:jc w:val="both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4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） 违反本协议关于收益分配、成本分担、引荐服务费支付等核心财务条款，经书面催告后 30 日内仍未支付的；</w:t>
      </w:r>
    </w:p>
    <w:p w14:paraId="523E97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16" w:firstLineChars="0"/>
        <w:jc w:val="both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） 法律规定的其他根本违约情形。</w:t>
      </w:r>
    </w:p>
    <w:p w14:paraId="3EBEC061">
      <w:pPr>
        <w:pStyle w:val="11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本协议终止或解除后，双方应在 30 日内进行清算。具体包括：拆除或归还相关牌匾及标识；就共有知识产权的后续使用达成书面协议；对已收取但尚未完成服务的培训费、赛事报名费等，按比例进行退还或结算；对双方投入的资产进行协商处置。</w:t>
      </w:r>
    </w:p>
    <w:p w14:paraId="617924F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cs="黑体"/>
          <w:b w:val="0"/>
          <w:bCs w:val="0"/>
          <w:color w:val="auto"/>
          <w:sz w:val="32"/>
          <w:szCs w:val="32"/>
          <w:lang w:val="en-US" w:eastAsia="zh-CN"/>
        </w:rPr>
      </w:pPr>
      <w:r>
        <w:rPr>
          <w:rFonts w:hint="eastAsia" w:cs="黑体"/>
          <w:b w:val="0"/>
          <w:bCs w:val="0"/>
          <w:color w:val="auto"/>
          <w:sz w:val="32"/>
          <w:szCs w:val="32"/>
          <w:lang w:val="en-US" w:eastAsia="zh-CN"/>
        </w:rPr>
        <w:t>第五条 违约责任</w:t>
      </w:r>
    </w:p>
    <w:p w14:paraId="621164AA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一般违约责任</w:t>
      </w:r>
    </w:p>
    <w:p w14:paraId="18D7B7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16" w:firstLineChars="200"/>
        <w:jc w:val="both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任何一方违反本协议项下的任何约定、承诺或保证，未构成根本违约的，违约方应在收到守约方书面通知后 15 日内纠正其违约行为。若逾期未纠正，违约方应向守约方支付违约金人民币               元，并赔偿守约方因此遭受的全部实际损失（包括但不限于直接经济损失；为实现债权而支出的律师费、诉讼费、保全费、差旅费等； 若违约方恶意违约，守约方有权要求违约方承担其因违约行为所获得的全部利益）。</w:t>
      </w:r>
      <w:bookmarkStart w:id="11" w:name="heading_35"/>
      <w:bookmarkStart w:id="12" w:name="_GoBack"/>
      <w:bookmarkEnd w:id="12"/>
    </w:p>
    <w:p w14:paraId="5586BA49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根本违约责任</w:t>
      </w:r>
    </w:p>
    <w:p w14:paraId="4F9A935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16" w:firstLineChars="200"/>
        <w:jc w:val="both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发生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第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四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条第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2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eastAsia="zh-CN"/>
        </w:rPr>
        <w:t>项</w:t>
      </w: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情形之一的，构成根本违约，守约方有权单方书面通知违约方解除本协议，并要求违约方承担本协议第五条第1项约定的违约责任。</w:t>
      </w:r>
    </w:p>
    <w:p w14:paraId="56C9F2BE">
      <w:pPr>
        <w:pStyle w:val="11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 w:firstLineChars="200"/>
        <w:textAlignment w:val="auto"/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免责条款</w:t>
      </w:r>
    </w:p>
    <w:p w14:paraId="4FEB2A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616" w:firstLineChars="200"/>
        <w:jc w:val="both"/>
        <w:textAlignment w:val="auto"/>
        <w:rPr>
          <w:rFonts w:hint="default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仿宋_GB2312" w:cs="方正仿宋_GB2312"/>
          <w:b w:val="0"/>
          <w:bCs w:val="0"/>
          <w:color w:val="auto"/>
          <w:spacing w:val="-6"/>
          <w:sz w:val="32"/>
          <w:szCs w:val="32"/>
          <w:lang w:val="en-US" w:eastAsia="zh-CN"/>
        </w:rPr>
        <w:t>因不可抗力（包括但不限于地震、洪水、台风、战争、政府行为、疫情防控等不能预见、不能避免且不能克服的客观情况）导致一方无法履行或迟延履行本协议义务的，该方不承担违约责任，但应在事件发生后 24 小时内通知对方，并在 7 日内提供相关证明文件。受不可抗力影响的一方应采取一切合理措施减少损失，并在不可抗力事件消除后尽快恢复履行。</w:t>
      </w:r>
    </w:p>
    <w:p w14:paraId="68BCAA5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40"/>
        <w:textAlignment w:val="auto"/>
        <w:rPr>
          <w:rFonts w:hint="eastAsia" w:cs="黑体"/>
          <w:b w:val="0"/>
          <w:bCs w:val="0"/>
          <w:sz w:val="32"/>
          <w:szCs w:val="32"/>
          <w:lang w:val="en-US" w:eastAsia="zh-CN"/>
        </w:rPr>
      </w:pPr>
      <w:r>
        <w:rPr>
          <w:rFonts w:hint="eastAsia" w:cs="黑体"/>
          <w:b w:val="0"/>
          <w:bCs w:val="0"/>
          <w:sz w:val="32"/>
          <w:szCs w:val="32"/>
          <w:lang w:val="en-US" w:eastAsia="zh-CN"/>
        </w:rPr>
        <w:t>第六条 其他补充约定</w:t>
      </w:r>
      <w:bookmarkEnd w:id="11"/>
    </w:p>
    <w:p w14:paraId="7F2E3BE6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/>
        <w:textAlignment w:val="auto"/>
        <w:rPr>
          <w:rFonts w:eastAsia="方正仿宋_GB2312"/>
          <w:b w:val="0"/>
          <w:bCs w:val="0"/>
          <w:sz w:val="32"/>
          <w:szCs w:val="32"/>
        </w:rPr>
      </w:pP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1.</w:t>
      </w:r>
      <w:r>
        <w:rPr>
          <w:rFonts w:hint="eastAsia" w:ascii="仿宋" w:hAnsi="仿宋" w:eastAsia="仿宋" w:cs="仿宋"/>
          <w:b w:val="0"/>
          <w:bCs w:val="0"/>
          <w:spacing w:val="-6"/>
          <w:sz w:val="32"/>
          <w:szCs w:val="32"/>
          <w:lang w:eastAsia="zh-CN"/>
        </w:rPr>
        <w:t xml:space="preserve"> 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本方案为双方战略合作框架方案，具体执行细则、出资明细、院校合作协议可另行签订补充协议，补充协议与本方案具备同等法律效力。</w:t>
      </w:r>
    </w:p>
    <w:p w14:paraId="1EF8EB85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/>
        <w:textAlignment w:val="auto"/>
        <w:rPr>
          <w:rFonts w:eastAsia="方正仿宋_GB2312"/>
          <w:b w:val="0"/>
          <w:bCs w:val="0"/>
          <w:sz w:val="32"/>
          <w:szCs w:val="32"/>
        </w:rPr>
      </w:pP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2.</w:t>
      </w:r>
      <w:r>
        <w:rPr>
          <w:rFonts w:hint="eastAsia" w:ascii="仿宋" w:hAnsi="仿宋" w:eastAsia="仿宋" w:cs="仿宋"/>
          <w:b w:val="0"/>
          <w:bCs w:val="0"/>
          <w:spacing w:val="-6"/>
          <w:sz w:val="32"/>
          <w:szCs w:val="32"/>
          <w:lang w:eastAsia="zh-CN"/>
        </w:rPr>
        <w:t xml:space="preserve"> 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本方案未尽事宜，由双方友好协商解决；协商不成的，提交项目所在地人民法院诉讼解决。</w:t>
      </w:r>
    </w:p>
    <w:p w14:paraId="438C6F28">
      <w:pPr>
        <w:pStyle w:val="11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616"/>
        <w:textAlignment w:val="auto"/>
        <w:rPr>
          <w:rFonts w:eastAsia="方正仿宋_GB2312"/>
          <w:b w:val="0"/>
          <w:bCs w:val="0"/>
          <w:sz w:val="32"/>
          <w:szCs w:val="32"/>
        </w:rPr>
      </w:pPr>
      <w:r>
        <w:rPr>
          <w:rFonts w:hint="eastAsia" w:cs="方正仿宋_GB2312"/>
          <w:b w:val="0"/>
          <w:bCs w:val="0"/>
          <w:sz w:val="32"/>
          <w:szCs w:val="32"/>
          <w:lang w:eastAsia="zh-CN"/>
        </w:rPr>
        <w:t>3.</w:t>
      </w:r>
      <w:r>
        <w:rPr>
          <w:rFonts w:hint="eastAsia" w:ascii="仿宋" w:hAnsi="仿宋" w:eastAsia="仿宋" w:cs="仿宋"/>
          <w:b w:val="0"/>
          <w:bCs w:val="0"/>
          <w:spacing w:val="-6"/>
          <w:sz w:val="32"/>
          <w:szCs w:val="32"/>
          <w:lang w:eastAsia="zh-CN"/>
        </w:rPr>
        <w:t xml:space="preserve"> </w:t>
      </w:r>
      <w:r>
        <w:rPr>
          <w:rFonts w:ascii="Times New Roman" w:hAnsi="Times New Roman" w:eastAsia="方正仿宋_GB2312" w:cs="方正仿宋_GB2312"/>
          <w:b w:val="0"/>
          <w:bCs w:val="0"/>
          <w:sz w:val="32"/>
          <w:szCs w:val="32"/>
        </w:rPr>
        <w:t>本方案一式两份，甲乙双方各执一份，签字盖章后生效，具备同等法律效力。</w:t>
      </w:r>
    </w:p>
    <w:p w14:paraId="0FB0AF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1134B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方正仿宋_GB2312" w:cs="方正仿宋_GB2312"/>
          <w:sz w:val="32"/>
          <w:szCs w:val="32"/>
        </w:rPr>
      </w:pPr>
      <w:r>
        <w:rPr>
          <w:rFonts w:hint="eastAsia" w:ascii="Times New Roman" w:hAnsi="Times New Roman" w:eastAsia="方正仿宋_GB2312" w:cs="方正仿宋_GB2312"/>
          <w:sz w:val="32"/>
          <w:szCs w:val="32"/>
        </w:rPr>
        <w:t>甲方（盖章）：宁家（北京）汽车服务有限公司</w:t>
      </w:r>
    </w:p>
    <w:p w14:paraId="0FE1B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方正仿宋_GB2312" w:cs="方正仿宋_GB2312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sz w:val="32"/>
          <w:szCs w:val="32"/>
        </w:rPr>
        <w:t>签字：</w:t>
      </w:r>
      <w:r>
        <w:rPr>
          <w:rFonts w:hint="eastAsia" w:ascii="Times New Roman" w:hAnsi="Times New Roman" w:eastAsia="方正仿宋_GB2312" w:cs="方正仿宋_GB2312"/>
          <w:sz w:val="32"/>
          <w:szCs w:val="32"/>
          <w:lang w:eastAsia="zh-CN"/>
        </w:rPr>
        <w:t>＿＿＿＿＿＿＿＿＿＿</w:t>
      </w:r>
      <w:r>
        <w:rPr>
          <w:rFonts w:hint="eastAsia" w:ascii="Times New Roman" w:hAnsi="Times New Roman" w:eastAsia="方正仿宋_GB2312" w:cs="方正仿宋_GB2312"/>
          <w:sz w:val="32"/>
          <w:szCs w:val="32"/>
        </w:rPr>
        <w:t>日期：</w:t>
      </w:r>
      <w:r>
        <w:rPr>
          <w:rFonts w:hint="eastAsia" w:ascii="Times New Roman" w:hAnsi="Times New Roman" w:eastAsia="方正仿宋_GB2312" w:cs="方正仿宋_GB2312"/>
          <w:sz w:val="32"/>
          <w:szCs w:val="32"/>
          <w:lang w:eastAsia="zh-CN"/>
        </w:rPr>
        <w:t>＿＿＿＿＿＿＿＿＿＿</w:t>
      </w:r>
    </w:p>
    <w:p w14:paraId="6FC30F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方正仿宋_GB2312" w:cs="方正仿宋_GB2312"/>
          <w:sz w:val="32"/>
          <w:szCs w:val="32"/>
        </w:rPr>
      </w:pPr>
    </w:p>
    <w:p w14:paraId="00623C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方正仿宋_GB2312" w:cs="方正仿宋_GB2312"/>
          <w:sz w:val="32"/>
          <w:szCs w:val="32"/>
        </w:rPr>
      </w:pPr>
      <w:r>
        <w:rPr>
          <w:rFonts w:hint="eastAsia" w:ascii="Times New Roman" w:hAnsi="Times New Roman" w:eastAsia="方正仿宋_GB2312" w:cs="方正仿宋_GB2312"/>
          <w:sz w:val="32"/>
          <w:szCs w:val="32"/>
        </w:rPr>
        <w:t>乙方（盖章）：北京中保知行科技有限公司</w:t>
      </w:r>
    </w:p>
    <w:p w14:paraId="0D71D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方正仿宋_GB2312" w:cs="方正仿宋_GB2312"/>
          <w:sz w:val="32"/>
          <w:szCs w:val="32"/>
          <w:lang w:eastAsia="zh-CN"/>
        </w:rPr>
      </w:pPr>
      <w:r>
        <w:rPr>
          <w:rFonts w:hint="eastAsia" w:ascii="Times New Roman" w:hAnsi="Times New Roman" w:eastAsia="方正仿宋_GB2312" w:cs="方正仿宋_GB2312"/>
          <w:sz w:val="32"/>
          <w:szCs w:val="32"/>
        </w:rPr>
        <w:t>签字：</w:t>
      </w:r>
      <w:r>
        <w:rPr>
          <w:rFonts w:hint="eastAsia" w:ascii="Times New Roman" w:hAnsi="Times New Roman" w:eastAsia="方正仿宋_GB2312" w:cs="方正仿宋_GB2312"/>
          <w:sz w:val="32"/>
          <w:szCs w:val="32"/>
          <w:lang w:eastAsia="zh-CN"/>
        </w:rPr>
        <w:t>＿＿＿＿＿＿＿＿＿＿</w:t>
      </w:r>
      <w:r>
        <w:rPr>
          <w:rFonts w:hint="eastAsia" w:ascii="Times New Roman" w:hAnsi="Times New Roman" w:eastAsia="方正仿宋_GB2312" w:cs="方正仿宋_GB2312"/>
          <w:sz w:val="32"/>
          <w:szCs w:val="32"/>
        </w:rPr>
        <w:t>日期：</w:t>
      </w:r>
      <w:r>
        <w:rPr>
          <w:rFonts w:hint="eastAsia" w:ascii="Times New Roman" w:hAnsi="Times New Roman" w:eastAsia="方正仿宋_GB2312" w:cs="方正仿宋_GB2312"/>
          <w:sz w:val="32"/>
          <w:szCs w:val="32"/>
          <w:lang w:eastAsia="zh-CN"/>
        </w:rPr>
        <w:t>＿＿＿＿＿＿＿＿＿＿</w:t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5" w:h="16840"/>
      <w:pgMar w:top="2098" w:right="1474" w:bottom="1984" w:left="1587" w:header="851" w:footer="1417" w:gutter="0"/>
      <w:pgNumType w:fmt="decimal" w:start="1"/>
      <w:cols w:space="720" w:num="1"/>
      <w:docGrid w:type="linesAndChars" w:linePitch="579" w:charSpace="1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79EA397-3492-4786-B6C3-668CA094F6F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2" w:fontKey="{0E8443CA-5CD1-4BBF-9384-893956D033BC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AFF9C3D1-7AE3-42C7-A0F8-78244EA6A5DB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522A0646-7ACC-4509-93D8-A63CE506D572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9D128754-4D9F-4E1A-BA94-4766B8FC1A1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FD6606"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F806B98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AalSs7WAAAABgEAAA8AAAAAAAAAAQAgAAAAIgAAAGRycy9kb3ducmV2&#10;LnhtbFBLAQIUABQAAAAIAIdO4kAMiZEMNwIAAGsEAAAOAAAAAAAAAAEAIAAAACUBAABkcnMvZTJv&#10;RG9jLnhtbFBLBQYAAAAABgAGAFkBAADOBQAAAAA=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1F806B98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1DCB98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12700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47B36D7">
                          <w:pPr>
                            <w:pStyle w:val="12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2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03200" tIns="0" rIns="20320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1pt;height:144pt;width:144pt;mso-position-horizontal:outside;mso-position-horizontal-relative:margin;mso-wrap-style:none;z-index:251660288;mso-width-relative:page;mso-height-relative:page;" filled="f" stroked="f" coordsize="21600,21600" o:gfxdata="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AGpUrO1gAAAAYBAAAPAAAAAAAAAAEAIAAAACIAAABkcnMvZG93bnJl&#10;di54bWxQSwECFAAUAAAACACHTuJAc3nUujgCAABrBAAADgAAAAAAAAABACAAAAAlAQAAZHJzL2Uy&#10;b0RvYy54bWxQSwUGAAAAAAYABgBZAQAAzwUAAAAA&#10;">
              <v:fill on="f" focussize="0,0"/>
              <v:stroke on="f" weight="0.5pt"/>
              <v:imagedata o:title=""/>
              <o:lock v:ext="edit" aspectratio="f"/>
              <v:textbox inset="16pt,0mm,16pt,0mm" style="mso-fit-shape-to-text:t;">
                <w:txbxContent>
                  <w:p w14:paraId="547B36D7">
                    <w:pPr>
                      <w:pStyle w:val="12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2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 xml:space="preserve"> 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A437E">
    <w:pPr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56E7C">
    <w:pPr>
      <w:pStyle w:val="13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F69EA0"/>
    <w:multiLevelType w:val="singleLevel"/>
    <w:tmpl w:val="86F69E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BDEB834"/>
    <w:multiLevelType w:val="singleLevel"/>
    <w:tmpl w:val="9BDEB8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10B3677"/>
    <w:multiLevelType w:val="singleLevel"/>
    <w:tmpl w:val="A10B367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1D1802A"/>
    <w:multiLevelType w:val="singleLevel"/>
    <w:tmpl w:val="11D1802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evenAndOddHeaders w:val="1"/>
  <w:drawingGridHorizontalSpacing w:val="158"/>
  <w:drawingGridVerticalSpacing w:val="29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26402"/>
    <w:rsid w:val="00770308"/>
    <w:rsid w:val="00B05FE3"/>
    <w:rsid w:val="01B666C0"/>
    <w:rsid w:val="01E23011"/>
    <w:rsid w:val="01FF3117"/>
    <w:rsid w:val="02290C40"/>
    <w:rsid w:val="03253AFD"/>
    <w:rsid w:val="04114082"/>
    <w:rsid w:val="049802FF"/>
    <w:rsid w:val="04A44EF6"/>
    <w:rsid w:val="04F76DD4"/>
    <w:rsid w:val="05564CEA"/>
    <w:rsid w:val="064F3FBF"/>
    <w:rsid w:val="0673692E"/>
    <w:rsid w:val="07230354"/>
    <w:rsid w:val="074408E8"/>
    <w:rsid w:val="07827A92"/>
    <w:rsid w:val="07F92E63"/>
    <w:rsid w:val="086504F8"/>
    <w:rsid w:val="08DA0EE6"/>
    <w:rsid w:val="093305F6"/>
    <w:rsid w:val="099B68C7"/>
    <w:rsid w:val="09B47989"/>
    <w:rsid w:val="0A3C34DB"/>
    <w:rsid w:val="0AA479FE"/>
    <w:rsid w:val="0B6B051B"/>
    <w:rsid w:val="0C063DA0"/>
    <w:rsid w:val="0C264442"/>
    <w:rsid w:val="0DB77A48"/>
    <w:rsid w:val="0E341099"/>
    <w:rsid w:val="0EE05E53"/>
    <w:rsid w:val="0F5B2655"/>
    <w:rsid w:val="101822F4"/>
    <w:rsid w:val="10240C99"/>
    <w:rsid w:val="10A157DE"/>
    <w:rsid w:val="10B65D95"/>
    <w:rsid w:val="112076B2"/>
    <w:rsid w:val="126C68F8"/>
    <w:rsid w:val="12BD548F"/>
    <w:rsid w:val="12D44BF8"/>
    <w:rsid w:val="131B08C8"/>
    <w:rsid w:val="13203999"/>
    <w:rsid w:val="13781A27"/>
    <w:rsid w:val="13B660AC"/>
    <w:rsid w:val="14A93055"/>
    <w:rsid w:val="152022D9"/>
    <w:rsid w:val="16C759ED"/>
    <w:rsid w:val="16E64EFA"/>
    <w:rsid w:val="172779EC"/>
    <w:rsid w:val="17981F4E"/>
    <w:rsid w:val="190A1374"/>
    <w:rsid w:val="19470E61"/>
    <w:rsid w:val="1AC673E6"/>
    <w:rsid w:val="1C5A43C0"/>
    <w:rsid w:val="1C99656B"/>
    <w:rsid w:val="1CB02232"/>
    <w:rsid w:val="1D526E45"/>
    <w:rsid w:val="1D81597C"/>
    <w:rsid w:val="1DC73954"/>
    <w:rsid w:val="1DCA2E80"/>
    <w:rsid w:val="1E234C86"/>
    <w:rsid w:val="1E6378B0"/>
    <w:rsid w:val="1EBF49AE"/>
    <w:rsid w:val="1EE67F9A"/>
    <w:rsid w:val="1EEB7551"/>
    <w:rsid w:val="1FE04BDC"/>
    <w:rsid w:val="20274907"/>
    <w:rsid w:val="20803CC9"/>
    <w:rsid w:val="20F46465"/>
    <w:rsid w:val="21400CDB"/>
    <w:rsid w:val="21433770"/>
    <w:rsid w:val="21D658D4"/>
    <w:rsid w:val="21E01EA3"/>
    <w:rsid w:val="221F5BA9"/>
    <w:rsid w:val="22F64717"/>
    <w:rsid w:val="23FE3F8C"/>
    <w:rsid w:val="258B27FF"/>
    <w:rsid w:val="26DD3342"/>
    <w:rsid w:val="27196C26"/>
    <w:rsid w:val="29934A6D"/>
    <w:rsid w:val="2A24600D"/>
    <w:rsid w:val="2AB775C5"/>
    <w:rsid w:val="2AEA2DB3"/>
    <w:rsid w:val="2B14398C"/>
    <w:rsid w:val="2B7408CF"/>
    <w:rsid w:val="2BDD6A1B"/>
    <w:rsid w:val="2BFD2672"/>
    <w:rsid w:val="2C0B1F53"/>
    <w:rsid w:val="2C212804"/>
    <w:rsid w:val="2C491D5B"/>
    <w:rsid w:val="2D263E4A"/>
    <w:rsid w:val="2D517119"/>
    <w:rsid w:val="2D636E4D"/>
    <w:rsid w:val="2DDB435F"/>
    <w:rsid w:val="2EB42A3E"/>
    <w:rsid w:val="2FA8323D"/>
    <w:rsid w:val="307C6970"/>
    <w:rsid w:val="31EB4A74"/>
    <w:rsid w:val="32323FE6"/>
    <w:rsid w:val="323C7F64"/>
    <w:rsid w:val="3244724D"/>
    <w:rsid w:val="32E40324"/>
    <w:rsid w:val="32FF13C6"/>
    <w:rsid w:val="32FF3174"/>
    <w:rsid w:val="33582884"/>
    <w:rsid w:val="340D4DC7"/>
    <w:rsid w:val="341B3FDD"/>
    <w:rsid w:val="34790D04"/>
    <w:rsid w:val="34D978D6"/>
    <w:rsid w:val="358A32CD"/>
    <w:rsid w:val="36F16EB3"/>
    <w:rsid w:val="377D0B0B"/>
    <w:rsid w:val="378679C0"/>
    <w:rsid w:val="37F60FE9"/>
    <w:rsid w:val="39727535"/>
    <w:rsid w:val="39763A64"/>
    <w:rsid w:val="39AD1B7B"/>
    <w:rsid w:val="3AA06FEA"/>
    <w:rsid w:val="3B702E61"/>
    <w:rsid w:val="3BA21765"/>
    <w:rsid w:val="3BCE7B87"/>
    <w:rsid w:val="3BD238CE"/>
    <w:rsid w:val="3C0B0DDB"/>
    <w:rsid w:val="3C265C15"/>
    <w:rsid w:val="3C3D6ABB"/>
    <w:rsid w:val="3D121C40"/>
    <w:rsid w:val="3DB42DAD"/>
    <w:rsid w:val="3DEB4A20"/>
    <w:rsid w:val="3DFB09DB"/>
    <w:rsid w:val="3F395C5F"/>
    <w:rsid w:val="3F9D61EE"/>
    <w:rsid w:val="40572841"/>
    <w:rsid w:val="40714F85"/>
    <w:rsid w:val="40AA0BC3"/>
    <w:rsid w:val="424E37D0"/>
    <w:rsid w:val="42E12896"/>
    <w:rsid w:val="436C03B1"/>
    <w:rsid w:val="43B458B4"/>
    <w:rsid w:val="44692B43"/>
    <w:rsid w:val="457D1EA4"/>
    <w:rsid w:val="45CB4C8D"/>
    <w:rsid w:val="46E42955"/>
    <w:rsid w:val="47392CA0"/>
    <w:rsid w:val="4769611A"/>
    <w:rsid w:val="477041E8"/>
    <w:rsid w:val="47CD163B"/>
    <w:rsid w:val="486620A5"/>
    <w:rsid w:val="4A0B7969"/>
    <w:rsid w:val="4BB772C7"/>
    <w:rsid w:val="4E3C5F56"/>
    <w:rsid w:val="4E916F1E"/>
    <w:rsid w:val="4F820F5D"/>
    <w:rsid w:val="4F8E5B53"/>
    <w:rsid w:val="4F9E46AF"/>
    <w:rsid w:val="5080549C"/>
    <w:rsid w:val="52107E9A"/>
    <w:rsid w:val="521F2B95"/>
    <w:rsid w:val="52C75604"/>
    <w:rsid w:val="54532EC8"/>
    <w:rsid w:val="546926EB"/>
    <w:rsid w:val="5479292E"/>
    <w:rsid w:val="54BD75DE"/>
    <w:rsid w:val="5503669C"/>
    <w:rsid w:val="55A0213D"/>
    <w:rsid w:val="5640122A"/>
    <w:rsid w:val="56D06A51"/>
    <w:rsid w:val="57E24C8E"/>
    <w:rsid w:val="5A1B263D"/>
    <w:rsid w:val="5A655703"/>
    <w:rsid w:val="5A897643"/>
    <w:rsid w:val="5AD20FEA"/>
    <w:rsid w:val="5C6914DA"/>
    <w:rsid w:val="5C875E04"/>
    <w:rsid w:val="5CC11316"/>
    <w:rsid w:val="5D1E0517"/>
    <w:rsid w:val="5E0B1125"/>
    <w:rsid w:val="5E23390B"/>
    <w:rsid w:val="5E31427A"/>
    <w:rsid w:val="5E3478C6"/>
    <w:rsid w:val="5F5226F9"/>
    <w:rsid w:val="5F5C5326"/>
    <w:rsid w:val="5F9D6692"/>
    <w:rsid w:val="60FB422E"/>
    <w:rsid w:val="60FB46CB"/>
    <w:rsid w:val="62083543"/>
    <w:rsid w:val="62BE1E54"/>
    <w:rsid w:val="631D6B7A"/>
    <w:rsid w:val="63F35708"/>
    <w:rsid w:val="63FC4707"/>
    <w:rsid w:val="64F05555"/>
    <w:rsid w:val="65F75DA9"/>
    <w:rsid w:val="668D04BB"/>
    <w:rsid w:val="670C5884"/>
    <w:rsid w:val="6727621A"/>
    <w:rsid w:val="67A07D7A"/>
    <w:rsid w:val="683A1F7D"/>
    <w:rsid w:val="6933534A"/>
    <w:rsid w:val="6962178B"/>
    <w:rsid w:val="6A9478E7"/>
    <w:rsid w:val="6AD20C96"/>
    <w:rsid w:val="6BC93D43"/>
    <w:rsid w:val="6C5F5EE9"/>
    <w:rsid w:val="6C5F6456"/>
    <w:rsid w:val="6CC174CE"/>
    <w:rsid w:val="6EA77C40"/>
    <w:rsid w:val="6EB32A89"/>
    <w:rsid w:val="6EF015E7"/>
    <w:rsid w:val="6F1E6154"/>
    <w:rsid w:val="6F8F2BAE"/>
    <w:rsid w:val="70271038"/>
    <w:rsid w:val="70B4759B"/>
    <w:rsid w:val="71F94C57"/>
    <w:rsid w:val="72730565"/>
    <w:rsid w:val="739A7D73"/>
    <w:rsid w:val="73F456D6"/>
    <w:rsid w:val="74247460"/>
    <w:rsid w:val="74730CF0"/>
    <w:rsid w:val="75241FEA"/>
    <w:rsid w:val="75CA2B92"/>
    <w:rsid w:val="76326989"/>
    <w:rsid w:val="76726D86"/>
    <w:rsid w:val="78484242"/>
    <w:rsid w:val="785C1A9B"/>
    <w:rsid w:val="790C1713"/>
    <w:rsid w:val="792F72FA"/>
    <w:rsid w:val="7ADB4602"/>
    <w:rsid w:val="7BF00E78"/>
    <w:rsid w:val="7BFA1CF7"/>
    <w:rsid w:val="7C3418DE"/>
    <w:rsid w:val="7DD722F0"/>
    <w:rsid w:val="7E835FD4"/>
    <w:rsid w:val="7EED78F1"/>
    <w:rsid w:val="7EFB200E"/>
    <w:rsid w:val="7F2247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officialmode val="1"/>
    </mc:Choice>
  </mc:AlternateContent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0"/>
    </w:pPr>
    <w:rPr>
      <w:rFonts w:ascii="黑体" w:hAnsi="黑体" w:eastAsia="黑体" w:cs="黑体"/>
      <w:kern w:val="44"/>
      <w:sz w:val="32"/>
      <w:szCs w:val="32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1"/>
    </w:pPr>
    <w:rPr>
      <w:rFonts w:ascii="Times New Roman" w:hAnsi="Times New Roman" w:eastAsia="方正楷体_GB2312" w:cs="方正楷体_GB2312"/>
      <w:sz w:val="32"/>
      <w:szCs w:val="32"/>
    </w:rPr>
  </w:style>
  <w:style w:type="paragraph" w:styleId="4">
    <w:name w:val="heading 3"/>
    <w:next w:val="1"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2"/>
    </w:pPr>
    <w:rPr>
      <w:rFonts w:ascii="Times New Roman" w:hAnsi="Times New Roman" w:eastAsia="方正仿宋_GB2312" w:cs="方正仿宋_GB2312"/>
      <w:sz w:val="32"/>
      <w:szCs w:val="32"/>
    </w:rPr>
  </w:style>
  <w:style w:type="paragraph" w:styleId="5">
    <w:name w:val="heading 4"/>
    <w:next w:val="1"/>
    <w:link w:val="19"/>
    <w:semiHidden/>
    <w:unhideWhenUsed/>
    <w:qFormat/>
    <w:uiPriority w:val="0"/>
    <w:pPr>
      <w:keepNext/>
      <w:keepLines/>
      <w:spacing w:beforeLines="0" w:beforeAutospacing="0" w:afterLines="0" w:afterAutospacing="0" w:line="560" w:lineRule="exact"/>
      <w:ind w:firstLine="894" w:firstLineChars="200"/>
      <w:outlineLvl w:val="3"/>
    </w:pPr>
    <w:rPr>
      <w:rFonts w:ascii="Times New Roman" w:hAnsi="Times New Roman" w:eastAsia="方正仿宋_GB2312" w:cs="方正仿宋_GB2312"/>
      <w:sz w:val="32"/>
      <w:szCs w:val="32"/>
    </w:rPr>
  </w:style>
  <w:style w:type="paragraph" w:styleId="6">
    <w:name w:val="heading 5"/>
    <w:next w:val="1"/>
    <w:semiHidden/>
    <w:unhideWhenUsed/>
    <w:qFormat/>
    <w:uiPriority w:val="0"/>
    <w:pPr>
      <w:spacing w:line="560" w:lineRule="exact"/>
      <w:ind w:firstLine="894" w:firstLineChars="200"/>
      <w:outlineLvl w:val="4"/>
    </w:pPr>
    <w:rPr>
      <w:rFonts w:ascii="Times New Roman" w:hAnsi="Times New Roman" w:eastAsia="方正仿宋_GB2312" w:cs="方正仿宋_GB2312"/>
      <w:sz w:val="32"/>
      <w:szCs w:val="32"/>
    </w:rPr>
  </w:style>
  <w:style w:type="paragraph" w:styleId="7">
    <w:name w:val="heading 6"/>
    <w:next w:val="1"/>
    <w:semiHidden/>
    <w:unhideWhenUsed/>
    <w:qFormat/>
    <w:uiPriority w:val="0"/>
    <w:pPr>
      <w:spacing w:line="560" w:lineRule="exact"/>
      <w:ind w:firstLine="894" w:firstLineChars="200"/>
      <w:outlineLvl w:val="5"/>
    </w:pPr>
    <w:rPr>
      <w:rFonts w:ascii="Times New Roman" w:hAnsi="Times New Roman" w:eastAsia="方正仿宋_GB2312" w:cs="方正仿宋_GB2312"/>
      <w:sz w:val="32"/>
      <w:szCs w:val="32"/>
    </w:rPr>
  </w:style>
  <w:style w:type="paragraph" w:styleId="8">
    <w:name w:val="heading 7"/>
    <w:next w:val="1"/>
    <w:semiHidden/>
    <w:unhideWhenUsed/>
    <w:qFormat/>
    <w:uiPriority w:val="0"/>
    <w:pPr>
      <w:spacing w:line="560" w:lineRule="exact"/>
      <w:ind w:firstLine="894" w:firstLineChars="200"/>
      <w:outlineLvl w:val="6"/>
    </w:pPr>
    <w:rPr>
      <w:rFonts w:ascii="Times New Roman" w:hAnsi="Times New Roman" w:eastAsia="方正仿宋_GB2312" w:cs="方正仿宋_GB2312"/>
      <w:sz w:val="32"/>
      <w:szCs w:val="32"/>
    </w:rPr>
  </w:style>
  <w:style w:type="paragraph" w:styleId="9">
    <w:name w:val="heading 8"/>
    <w:next w:val="1"/>
    <w:semiHidden/>
    <w:unhideWhenUsed/>
    <w:qFormat/>
    <w:uiPriority w:val="0"/>
    <w:pPr>
      <w:spacing w:line="560" w:lineRule="exact"/>
      <w:ind w:firstLine="894" w:firstLineChars="200"/>
      <w:outlineLvl w:val="7"/>
    </w:pPr>
    <w:rPr>
      <w:rFonts w:ascii="Times New Roman" w:hAnsi="Times New Roman" w:eastAsia="方正仿宋_GB2312" w:cs="方正仿宋_GB2312"/>
      <w:sz w:val="32"/>
      <w:szCs w:val="32"/>
    </w:rPr>
  </w:style>
  <w:style w:type="paragraph" w:styleId="10">
    <w:name w:val="heading 9"/>
    <w:next w:val="1"/>
    <w:semiHidden/>
    <w:unhideWhenUsed/>
    <w:qFormat/>
    <w:uiPriority w:val="0"/>
    <w:pPr>
      <w:spacing w:line="560" w:lineRule="exact"/>
      <w:ind w:firstLine="894" w:firstLineChars="200"/>
      <w:outlineLvl w:val="8"/>
    </w:pPr>
    <w:rPr>
      <w:rFonts w:ascii="Times New Roman" w:hAnsi="Times New Roman" w:eastAsia="方正仿宋_GB2312" w:cs="方正仿宋_GB2312"/>
      <w:sz w:val="32"/>
      <w:szCs w:val="32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spacing w:line="560" w:lineRule="exact"/>
      <w:ind w:firstLine="630" w:firstLineChars="200"/>
      <w:jc w:val="both"/>
    </w:pPr>
    <w:rPr>
      <w:rFonts w:ascii="Times New Roman" w:hAnsi="Times New Roman" w:eastAsia="方正仿宋_GB2312" w:cs="方正仿宋_GB2312"/>
      <w:spacing w:val="-6"/>
      <w:sz w:val="32"/>
      <w:szCs w:val="32"/>
    </w:rPr>
  </w:style>
  <w:style w:type="paragraph" w:styleId="1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Subtitle"/>
    <w:qFormat/>
    <w:uiPriority w:val="0"/>
    <w:pPr>
      <w:spacing w:beforeLines="0" w:beforeAutospacing="0" w:afterLines="0" w:afterAutospacing="0" w:line="720" w:lineRule="exact"/>
      <w:jc w:val="center"/>
      <w:outlineLvl w:val="9"/>
    </w:pPr>
    <w:rPr>
      <w:rFonts w:ascii="Times New Roman" w:hAnsi="Times New Roman" w:eastAsia="方正仿宋_GB2312" w:cs="方正仿宋_GB2312"/>
      <w:kern w:val="28"/>
      <w:sz w:val="32"/>
      <w:szCs w:val="32"/>
    </w:rPr>
  </w:style>
  <w:style w:type="paragraph" w:styleId="15">
    <w:name w:val="Title"/>
    <w:qFormat/>
    <w:uiPriority w:val="0"/>
    <w:pPr>
      <w:spacing w:line="720" w:lineRule="exact"/>
      <w:jc w:val="center"/>
      <w:outlineLvl w:val="9"/>
    </w:pPr>
    <w:rPr>
      <w:rFonts w:ascii="方正小标宋简体" w:hAnsi="方正小标宋简体" w:eastAsia="方正小标宋简体" w:cs="方正小标宋简体"/>
      <w:sz w:val="44"/>
      <w:szCs w:val="44"/>
    </w:rPr>
  </w:style>
  <w:style w:type="character" w:styleId="18">
    <w:name w:val="Strong"/>
    <w:basedOn w:val="17"/>
    <w:qFormat/>
    <w:uiPriority w:val="0"/>
    <w:rPr>
      <w:b/>
    </w:rPr>
  </w:style>
  <w:style w:type="character" w:customStyle="1" w:styleId="19">
    <w:name w:val="标题 4 Char"/>
    <w:link w:val="5"/>
    <w:qFormat/>
    <w:uiPriority w:val="0"/>
    <w:rPr>
      <w:rFonts w:ascii="Times New Roman" w:hAnsi="Times New Roman" w:eastAsia="方正仿宋_GB2312" w:cs="方正仿宋_GB231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4100</Words>
  <Characters>4131</Characters>
  <TotalTime>3</TotalTime>
  <ScaleCrop>false</ScaleCrop>
  <LinksUpToDate>false</LinksUpToDate>
  <CharactersWithSpaces>4175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2026-08-16T03:02:00Z</dcterms:created>
  <dc:creator>Apache POI</dc:creator>
  <cp:lastModifiedBy>许国亮</cp:lastModifiedBy>
  <dcterms:modified xsi:type="dcterms:W3CDTF">2026-09-09T01:25:31Z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{"Label":"1","ContentProducer":"001191110102MACQD9K64010000","ProduceID":"7674459547428162738","ReservedCode1":"","ContentPropagator":"","PropagateID":"","ReservedCode2":""}</vt:lpwstr>
  </property>
  <property fmtid="{D5CDD505-2E9C-101B-9397-08002B2CF9AE}" pid="3" name="KSOProductBuildVer">
    <vt:lpwstr>2052-12.1.0.28505</vt:lpwstr>
  </property>
  <property fmtid="{D5CDD505-2E9C-101B-9397-08002B2CF9AE}" pid="4" name="ICV">
    <vt:lpwstr>87600A59FEDD4CBA97D86EF8720EBAFF_13</vt:lpwstr>
  </property>
  <property fmtid="{D5CDD505-2E9C-101B-9397-08002B2CF9AE}" pid="5" name="KSOTemplateDocerSaveRecord">
    <vt:lpwstr>eyJoZGlkIjoiMzEwNTM5NzYwMDRjMzkwZTVkZjY2ODkwMGIxNGU0OTUiLCJ1c2VySWQiOiIzMDk0NTU0ODcifQ==</vt:lpwstr>
  </property>
</Properties>
</file>