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2B3990" w:val="clear"/>
        <w:spacing w:after="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CPS 向度提示卡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兒童遊戲性量表 (Children's Playfulness Scale) 五大向度分析指南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auto" w:w="100"/>
        <w:tblBorders>
          <w:top w:val="single" w:color="2B3990" w:sz="4"/>
          <w:left w:val="single" w:color="2B3990" w:sz="12"/>
          <w:bottom w:val="single" w:color="2B3990" w:sz="4"/>
          <w:right w:val="single" w:color="2B399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社交自發性 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Social Spontaneity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兒童在遊戲中與他人互動的主動性、靈活性及合作能力。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思考問題：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這項挑戰如何阻礙了兒童主動加入別人的遊戲？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環境或規則是否限制了兒童之間的協商與合作？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我們可以如何創造更多安全的社交互動機會？</w:t>
            </w:r>
          </w:p>
          <w:p>
            <w:pPr>
              <w:spacing w:after="0" w:before="80"/>
            </w:pPr>
            <w:r>
              <w:t xml:space="preserve"/>
            </w:r>
          </w:p>
        </w:tc>
      </w:tr>
    </w:tbl>
    <w:p>
      <w:pPr>
        <w:spacing w:after="180" w:before="0"/>
      </w:pPr>
      <w:r>
        <w:t xml:space="preserve"/>
      </w:r>
    </w:p>
    <w:tbl>
      <w:tblPr>
        <w:tblW w:type="auto" w:w="100"/>
        <w:tblBorders>
          <w:top w:val="single" w:color="F99D33" w:sz="4"/>
          <w:left w:val="single" w:color="F99D33" w:sz="12"/>
          <w:bottom w:val="single" w:color="F99D33" w:sz="4"/>
          <w:right w:val="single" w:color="F99D33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9D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認知自發性 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Cognitive Spontaneity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兒童在遊戲中展現的想像力、創造力及以新方式運用物料的能力（如：扮演不同角色、以非原本用途使用物件）。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思考問題：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是否過度依賴成人指令，導致兒童缺乏自主創作玩法的空間？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物料是否太過單一或具結構性，限制了兒童嘗試新角色或創意延伸？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我們能否讓兒童有更多主導角色及玩法發展的機會？</w:t>
            </w:r>
          </w:p>
          <w:p>
            <w:pPr>
              <w:spacing w:after="0" w:before="80"/>
            </w:pPr>
            <w:r>
              <w:t xml:space="preserve"/>
            </w:r>
          </w:p>
        </w:tc>
      </w:tr>
    </w:tbl>
    <w:p>
      <w:pPr>
        <w:spacing w:after="180" w:before="0"/>
      </w:pPr>
      <w:r>
        <w:t xml:space="preserve"/>
      </w:r>
    </w:p>
    <w:tbl>
      <w:tblPr>
        <w:tblW w:type="auto" w:w="100"/>
        <w:tblBorders>
          <w:top w:val="single" w:color="F04E69" w:sz="4"/>
          <w:left w:val="single" w:color="F04E69" w:sz="12"/>
          <w:bottom w:val="single" w:color="F04E69" w:sz="4"/>
          <w:right w:val="single" w:color="F04E69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4E6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身體自發性 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Physical Spontaneity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兒童在遊戲中自由活動身體、探索空間及展現肢體協調的活躍程度。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思考問題：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空間限制或安全考量是否過度抑制了兒童的動作？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日常規則是否令兒童不敢隨意跑跳或探索？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如何在有限空間內平衡大肌肉活動與安全？</w:t>
            </w:r>
          </w:p>
          <w:p>
            <w:pPr>
              <w:spacing w:after="0" w:before="80"/>
            </w:pPr>
            <w:r>
              <w:t xml:space="preserve"/>
            </w:r>
          </w:p>
        </w:tc>
      </w:tr>
    </w:tbl>
    <w:p>
      <w:pPr>
        <w:spacing w:after="180" w:before="0"/>
      </w:pPr>
      <w:r>
        <w:t xml:space="preserve"/>
      </w:r>
    </w:p>
    <w:tbl>
      <w:tblPr>
        <w:tblW w:type="auto" w:w="100"/>
        <w:tblBorders>
          <w:top w:val="single" w:color="8DBE50" w:sz="4"/>
          <w:left w:val="single" w:color="8DBE50" w:sz="12"/>
          <w:bottom w:val="single" w:color="8DBE50" w:sz="4"/>
          <w:right w:val="single" w:color="8DBE5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DBE5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幽默感 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Sense of Humour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兒童在遊戲中展現的玩笑、幽默、搞怪行為，以及對荒謬或不協調事物的理解與欣賞。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思考問題：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班房氣氛是否過於嚴肅，令兒童不敢開玩笑？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成人是否常將「無厘頭」或「搞怪」視為需要糾正的行為？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我們可以如何接納並回應兒童的幽默感而不失控？</w:t>
            </w:r>
          </w:p>
          <w:p>
            <w:pPr>
              <w:spacing w:after="0" w:before="80"/>
            </w:pPr>
            <w:r>
              <w:t xml:space="preserve"/>
            </w:r>
          </w:p>
        </w:tc>
      </w:tr>
    </w:tbl>
    <w:p>
      <w:pPr>
        <w:spacing w:after="180" w:before="0"/>
      </w:pPr>
      <w:r>
        <w:t xml:space="preserve"/>
      </w:r>
    </w:p>
    <w:tbl>
      <w:tblPr>
        <w:tblW w:type="auto" w:w="100"/>
        <w:tblBorders>
          <w:top w:val="single" w:color="F4D036" w:sz="4"/>
          <w:left w:val="single" w:color="F4D036" w:sz="12"/>
          <w:bottom w:val="single" w:color="F4D036" w:sz="4"/>
          <w:right w:val="single" w:color="F4D036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D03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A6800"/>
                <w:sz w:val="26"/>
                <w:szCs w:val="26"/>
              </w:rPr>
              <w:t xml:space="preserve">表達喜悅  </w:t>
            </w:r>
            <w:r>
              <w:rPr>
                <w:rFonts w:ascii="Arial" w:cs="Arial" w:eastAsia="Arial" w:hAnsi="Arial"/>
                <w:color w:val="7A6800"/>
                <w:sz w:val="20"/>
                <w:szCs w:val="20"/>
              </w:rPr>
              <w:t xml:space="preserve">Manifest Joy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兒童在遊戲中自然流露的快樂、享受、熱情及投入感（如：笑容、歡呼、專注）。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思考問題：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兒童是否因為害怕失敗或被責備而顯得緊張、不敢放鬆玩？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過度強調學習成果或拍照記錄，是否剝奪了純粹玩的樂趣？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成人的焦慮（如怕髒、怕吵）如何影響了兒童的投入感？</w:t>
            </w:r>
          </w:p>
          <w:p>
            <w:pPr>
              <w:spacing w:after="0" w:before="80"/>
            </w:pPr>
            <w:r>
              <w:t xml:space="preserve"/>
            </w:r>
          </w:p>
        </w:tc>
      </w:tr>
    </w:tbl>
    <w:p>
      <w:pPr>
        <w:spacing w:after="18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  <w:rPr>
        <w:rFonts w:ascii="Symbol" w:cs="Symbol" w:eastAsia="Symbol" w:hAnsi="Symbo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Header">
    <w:name w:val="Card Header"/>
    <w:basedOn w:val="Normal"/>
    <w:pPr>
      <w:spacing w:after="0" w:before="0"/>
    </w:pPr>
    <w:rPr>
      <w:rFonts w:ascii="Arial" w:cs="Arial" w:eastAsia="Arial" w:hAnsi="Arial"/>
      <w:b/>
      <w:bCs/>
      <w:color w:val="FFFFFF"/>
      <w:sz w:val="24"/>
      <w:szCs w:val="24"/>
    </w:rPr>
  </w:style>
  <w:style w:type="paragraph" w:styleId="sectionTitle">
    <w:name w:val="Section Title"/>
    <w:basedOn w:val="Normal"/>
    <w:pPr>
      <w:spacing w:after="120" w:before="240"/>
    </w:pPr>
    <w:rPr>
      <w:rFonts w:ascii="Arial" w:cs="Arial" w:eastAsia="Arial" w:hAnsi="Arial"/>
      <w:b/>
      <w:bCs/>
      <w:color w:val="2B3990"/>
      <w:sz w:val="28"/>
      <w:szCs w:val="28"/>
    </w:rPr>
  </w:style>
  <w:style w:type="paragraph" w:styleId="promptLabel">
    <w:name w:val="Prompt Label"/>
    <w:basedOn w:val="Normal"/>
    <w:pPr>
      <w:spacing w:after="60" w:before="100"/>
    </w:pPr>
    <w:rPr>
      <w:rFonts w:ascii="Arial" w:cs="Arial" w:eastAsia="Arial" w:hAnsi="Arial"/>
      <w:b/>
      <w:bCs/>
      <w:color w:val="666666"/>
      <w:sz w:val="20"/>
      <w:szCs w:val="20"/>
    </w:rPr>
  </w:style>
  <w:style w:type="paragraph" w:styleId="bodySmall">
    <w:name w:val="Body Small"/>
    <w:basedOn w:val="Normal"/>
    <w:pPr>
      <w:spacing w:after="60" w:before="60"/>
    </w:pPr>
    <w:rPr>
      <w:rFonts w:ascii="Arial" w:cs="Arial" w:eastAsia="Arial" w:hAnsi="Arial"/>
      <w:color w:val="1A1A2E"/>
      <w:sz w:val="20"/>
      <w:szCs w:val="20"/>
    </w:rPr>
  </w:style>
  <w:style w:type="paragraph" w:styleId="footer">
    <w:name w:val="Footer"/>
    <w:basedOn w:val="Normal"/>
    <w:pPr>
      <w:spacing w:after="0" w:before="0"/>
    </w:pPr>
    <w:rPr>
      <w:rFonts w:ascii="Arial" w:cs="Arial" w:eastAsia="Arial" w:hAnsi="Arial"/>
      <w:color w:val="666666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2026-02-27T08:38:22.509Z</dcterms:created>
  <dcterms:modified xsi:type="dcterms:W3CDTF">2026-02-27T08:38:22.509Z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