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74B" w14:textId="77777777" w:rsidR="00FD00E5" w:rsidRPr="00E42F18" w:rsidRDefault="00FD00E5" w:rsidP="00FD00E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42F18">
        <w:rPr>
          <w:rFonts w:ascii="Times New Roman" w:hAnsi="Times New Roman" w:cs="Times New Roman"/>
          <w:b/>
          <w:sz w:val="24"/>
        </w:rPr>
        <w:t>香港聖公會福利協會</w:t>
      </w:r>
    </w:p>
    <w:p w14:paraId="47C388AF" w14:textId="0C113C0D" w:rsidR="00FD00E5" w:rsidRPr="00E42F18" w:rsidRDefault="00A30BFF" w:rsidP="00FD00E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42F18">
        <w:rPr>
          <w:rFonts w:ascii="Times New Roman" w:hAnsi="Times New Roman" w:cs="Times New Roman"/>
          <w:b/>
          <w:sz w:val="24"/>
        </w:rPr>
        <w:t>Project E</w:t>
      </w:r>
      <w:r w:rsidRPr="00E42F18">
        <w:rPr>
          <w:rFonts w:ascii="Times New Roman" w:hAnsi="Times New Roman" w:cs="Times New Roman"/>
          <w:b/>
          <w:sz w:val="24"/>
        </w:rPr>
        <w:t>工作小組</w:t>
      </w:r>
      <w:r w:rsidRPr="00E42F18">
        <w:rPr>
          <w:rFonts w:ascii="Times New Roman" w:hAnsi="Times New Roman" w:cs="Times New Roman"/>
          <w:b/>
          <w:sz w:val="24"/>
        </w:rPr>
        <w:t xml:space="preserve"> – </w:t>
      </w:r>
      <w:r w:rsidRPr="00E42F18">
        <w:rPr>
          <w:rFonts w:ascii="Times New Roman" w:hAnsi="Times New Roman" w:cs="Times New Roman"/>
          <w:b/>
          <w:sz w:val="24"/>
        </w:rPr>
        <w:t>第一次會議</w:t>
      </w:r>
    </w:p>
    <w:p w14:paraId="335F8382" w14:textId="77777777" w:rsidR="00FD00E5" w:rsidRPr="00E42F18" w:rsidRDefault="00FD00E5" w:rsidP="00FD00E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42F18">
        <w:rPr>
          <w:rFonts w:ascii="Times New Roman" w:hAnsi="Times New Roman" w:cs="Times New Roman"/>
          <w:b/>
          <w:sz w:val="24"/>
        </w:rPr>
        <w:t>會議紀錄</w:t>
      </w:r>
    </w:p>
    <w:p w14:paraId="7244EC36" w14:textId="77777777" w:rsidR="00FD00E5" w:rsidRPr="00E42F18" w:rsidRDefault="00FD00E5" w:rsidP="00FD00E5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788"/>
      </w:tblGrid>
      <w:tr w:rsidR="00E35D36" w:rsidRPr="00E42F18" w14:paraId="4E8EC056" w14:textId="77777777" w:rsidTr="001E11FA">
        <w:tc>
          <w:tcPr>
            <w:tcW w:w="993" w:type="dxa"/>
          </w:tcPr>
          <w:p w14:paraId="5926D996" w14:textId="77777777" w:rsidR="00FD00E5" w:rsidRPr="00E42F18" w:rsidRDefault="00FD00E5" w:rsidP="00FD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日期：</w:t>
            </w:r>
          </w:p>
        </w:tc>
        <w:tc>
          <w:tcPr>
            <w:tcW w:w="8788" w:type="dxa"/>
          </w:tcPr>
          <w:p w14:paraId="42764701" w14:textId="56EB6893" w:rsidR="00FD00E5" w:rsidRPr="00E42F18" w:rsidRDefault="00FD00E5" w:rsidP="001E11FA">
            <w:pPr>
              <w:ind w:rightChars="-240" w:right="-528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E946DE" w:rsidRPr="00E42F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日（星期</w:t>
            </w:r>
            <w:r w:rsidR="00E946DE" w:rsidRPr="00E42F18"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</w:tr>
      <w:tr w:rsidR="00E35D36" w:rsidRPr="00E42F18" w14:paraId="7B5A6636" w14:textId="77777777" w:rsidTr="001E11FA">
        <w:tc>
          <w:tcPr>
            <w:tcW w:w="993" w:type="dxa"/>
          </w:tcPr>
          <w:p w14:paraId="55758E50" w14:textId="77777777" w:rsidR="00FD00E5" w:rsidRPr="00E42F18" w:rsidRDefault="00FD00E5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時間：</w:t>
            </w:r>
          </w:p>
        </w:tc>
        <w:tc>
          <w:tcPr>
            <w:tcW w:w="8788" w:type="dxa"/>
          </w:tcPr>
          <w:p w14:paraId="19E1828F" w14:textId="5F45E660" w:rsidR="00FD00E5" w:rsidRPr="00E42F18" w:rsidRDefault="00E946DE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上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午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時</w:t>
            </w:r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分至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中午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時</w:t>
            </w:r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E35D36" w:rsidRPr="00E42F18">
              <w:rPr>
                <w:rFonts w:ascii="Times New Roman" w:hAnsi="Times New Roman" w:cs="Times New Roman"/>
                <w:sz w:val="24"/>
                <w:szCs w:val="24"/>
              </w:rPr>
              <w:t>分</w:t>
            </w:r>
          </w:p>
        </w:tc>
      </w:tr>
      <w:tr w:rsidR="00E35D36" w:rsidRPr="00E42F18" w14:paraId="282809AC" w14:textId="77777777" w:rsidTr="001E11FA">
        <w:tc>
          <w:tcPr>
            <w:tcW w:w="993" w:type="dxa"/>
          </w:tcPr>
          <w:p w14:paraId="561023A5" w14:textId="77777777" w:rsidR="00FD00E5" w:rsidRPr="00E42F18" w:rsidRDefault="00FD00E5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地點：</w:t>
            </w:r>
          </w:p>
        </w:tc>
        <w:tc>
          <w:tcPr>
            <w:tcW w:w="8788" w:type="dxa"/>
          </w:tcPr>
          <w:p w14:paraId="44345EDC" w14:textId="759C7709" w:rsidR="00FD00E5" w:rsidRPr="00E42F18" w:rsidRDefault="00A30BFF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灣仔總會辦事處會議室</w:t>
            </w:r>
          </w:p>
        </w:tc>
      </w:tr>
      <w:tr w:rsidR="00E35D36" w:rsidRPr="00E42F18" w14:paraId="4FAE1B29" w14:textId="77777777" w:rsidTr="001E11FA">
        <w:tc>
          <w:tcPr>
            <w:tcW w:w="993" w:type="dxa"/>
          </w:tcPr>
          <w:p w14:paraId="2307C69B" w14:textId="77777777" w:rsidR="00FD00E5" w:rsidRPr="00E42F18" w:rsidRDefault="00FD00E5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出席：</w:t>
            </w:r>
          </w:p>
        </w:tc>
        <w:tc>
          <w:tcPr>
            <w:tcW w:w="8788" w:type="dxa"/>
          </w:tcPr>
          <w:p w14:paraId="7BEF44FD" w14:textId="77777777" w:rsidR="001A01BD" w:rsidRDefault="00E35D36" w:rsidP="00A30BFF">
            <w:pPr>
              <w:ind w:rightChars="-48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劉冼靜儀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E42F18">
              <w:rPr>
                <w:rFonts w:ascii="Times New Roman" w:hAnsi="Times New Roman" w:cs="Times New Roman" w:hint="eastAsia"/>
                <w:sz w:val="24"/>
                <w:szCs w:val="24"/>
              </w:rPr>
              <w:t>主席</w:t>
            </w:r>
            <w:r w:rsidR="00FD00E5" w:rsidRPr="00E42F18">
              <w:rPr>
                <w:rFonts w:ascii="Times New Roman" w:hAnsi="Times New Roman" w:cs="Times New Roman"/>
                <w:sz w:val="24"/>
                <w:szCs w:val="24"/>
              </w:rPr>
              <w:t>）、</w:t>
            </w:r>
            <w:proofErr w:type="gramStart"/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文孔義</w:t>
            </w:r>
            <w:proofErr w:type="gramEnd"/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、吳煜明、姜彩燕、黃翠恩、</w:t>
            </w:r>
            <w:r w:rsidR="001A01BD" w:rsidRPr="00E42F18">
              <w:rPr>
                <w:rFonts w:ascii="Times New Roman" w:hAnsi="Times New Roman" w:cs="Times New Roman"/>
                <w:sz w:val="24"/>
                <w:szCs w:val="24"/>
              </w:rPr>
              <w:t>周佩波</w:t>
            </w:r>
            <w:r w:rsidR="001A01BD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1A01BD" w:rsidRPr="00E42F18">
              <w:rPr>
                <w:rFonts w:ascii="Times New Roman" w:hAnsi="Times New Roman" w:cs="Times New Roman"/>
                <w:sz w:val="24"/>
                <w:szCs w:val="24"/>
              </w:rPr>
              <w:t>陳慕寧</w:t>
            </w:r>
            <w:r w:rsidR="001A01BD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</w:p>
          <w:p w14:paraId="467D4ADF" w14:textId="25369D5D" w:rsidR="00FD00E5" w:rsidRPr="00E42F18" w:rsidRDefault="00A30BFF" w:rsidP="00A30BFF">
            <w:pPr>
              <w:ind w:rightChars="-48" w:right="-106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譚芷筠、袁玉珍、鄭琬莉、黃若</w:t>
            </w:r>
            <w:proofErr w:type="gramStart"/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恒</w:t>
            </w:r>
            <w:proofErr w:type="gramEnd"/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、莊偉文、馬嬋玉、黃珮琳</w:t>
            </w:r>
          </w:p>
        </w:tc>
      </w:tr>
      <w:tr w:rsidR="00E946DE" w:rsidRPr="00E42F18" w14:paraId="7D4D0DE3" w14:textId="77777777" w:rsidTr="001E11FA">
        <w:tc>
          <w:tcPr>
            <w:tcW w:w="993" w:type="dxa"/>
          </w:tcPr>
          <w:p w14:paraId="452FFAC3" w14:textId="172C3339" w:rsidR="00E946DE" w:rsidRPr="00E42F18" w:rsidRDefault="00E946DE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致歉：</w:t>
            </w:r>
          </w:p>
        </w:tc>
        <w:tc>
          <w:tcPr>
            <w:tcW w:w="8788" w:type="dxa"/>
          </w:tcPr>
          <w:p w14:paraId="5CB3EB0C" w14:textId="48023280" w:rsidR="00E946DE" w:rsidRPr="00E42F18" w:rsidRDefault="00A30BFF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鄒耀忠</w:t>
            </w:r>
            <w:r w:rsidR="00E946DE" w:rsidRPr="00E42F18">
              <w:rPr>
                <w:rFonts w:ascii="Times New Roman" w:hAnsi="Times New Roman" w:cs="Times New Roman"/>
                <w:sz w:val="24"/>
                <w:szCs w:val="24"/>
              </w:rPr>
              <w:t>（在假）</w:t>
            </w:r>
          </w:p>
        </w:tc>
      </w:tr>
      <w:tr w:rsidR="00504ED7" w:rsidRPr="00E42F18" w14:paraId="5A02DB97" w14:textId="77777777" w:rsidTr="001E11FA">
        <w:tc>
          <w:tcPr>
            <w:tcW w:w="993" w:type="dxa"/>
          </w:tcPr>
          <w:p w14:paraId="6D607F1C" w14:textId="77777777" w:rsidR="00FD00E5" w:rsidRPr="00E42F18" w:rsidRDefault="00FD00E5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記錄：</w:t>
            </w:r>
          </w:p>
        </w:tc>
        <w:tc>
          <w:tcPr>
            <w:tcW w:w="8788" w:type="dxa"/>
          </w:tcPr>
          <w:p w14:paraId="29F93F6C" w14:textId="30515720" w:rsidR="00FD00E5" w:rsidRPr="00E42F18" w:rsidRDefault="00E35D36" w:rsidP="008758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李</w:t>
            </w:r>
            <w:proofErr w:type="gramStart"/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蒨</w:t>
            </w:r>
            <w:proofErr w:type="gramEnd"/>
            <w:r w:rsidR="00A30BFF" w:rsidRPr="00E42F18">
              <w:rPr>
                <w:rFonts w:ascii="Times New Roman" w:hAnsi="Times New Roman" w:cs="Times New Roman"/>
                <w:sz w:val="24"/>
                <w:szCs w:val="24"/>
              </w:rPr>
              <w:t>兒</w:t>
            </w:r>
          </w:p>
        </w:tc>
      </w:tr>
    </w:tbl>
    <w:p w14:paraId="3AAF0307" w14:textId="77777777" w:rsidR="00FD00E5" w:rsidRPr="00E42F18" w:rsidRDefault="00FD00E5" w:rsidP="00FD00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97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8797"/>
      </w:tblGrid>
      <w:tr w:rsidR="00E35D36" w:rsidRPr="00E42F18" w14:paraId="6776F72E" w14:textId="77777777" w:rsidTr="007737F1">
        <w:tc>
          <w:tcPr>
            <w:tcW w:w="989" w:type="dxa"/>
          </w:tcPr>
          <w:p w14:paraId="6713EED8" w14:textId="560910E7" w:rsidR="00FD00E5" w:rsidRPr="00885102" w:rsidRDefault="00DF55AD" w:rsidP="00875860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7" w:type="dxa"/>
          </w:tcPr>
          <w:p w14:paraId="02BEC35E" w14:textId="77777777" w:rsidR="00FD00E5" w:rsidRPr="00885102" w:rsidRDefault="00FD00E5" w:rsidP="00FD00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開會祈禱</w:t>
            </w:r>
          </w:p>
          <w:p w14:paraId="6B599A07" w14:textId="77777777" w:rsidR="00FD00E5" w:rsidRPr="00885102" w:rsidRDefault="00FD00E5" w:rsidP="00FD00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35D36" w:rsidRPr="00E42F18" w14:paraId="72B4A7D0" w14:textId="77777777" w:rsidTr="007737F1">
        <w:tc>
          <w:tcPr>
            <w:tcW w:w="989" w:type="dxa"/>
          </w:tcPr>
          <w:p w14:paraId="59F57B32" w14:textId="77777777" w:rsidR="00FD00E5" w:rsidRPr="00E42F18" w:rsidRDefault="00FD00E5" w:rsidP="00FD0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3984250D" w14:textId="499C3050" w:rsidR="00FD00E5" w:rsidRPr="00E42F18" w:rsidRDefault="00FD00E5" w:rsidP="001E11FA">
            <w:pPr>
              <w:ind w:rightChars="-240" w:right="-5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由</w:t>
            </w:r>
            <w:r w:rsidR="00E42F18" w:rsidRPr="00E42F18">
              <w:rPr>
                <w:rFonts w:ascii="Times New Roman" w:hAnsi="Times New Roman" w:cs="Times New Roman"/>
                <w:sz w:val="24"/>
                <w:szCs w:val="24"/>
              </w:rPr>
              <w:t>黃若</w:t>
            </w:r>
            <w:proofErr w:type="gramStart"/>
            <w:r w:rsidR="00E42F18" w:rsidRPr="00E42F18">
              <w:rPr>
                <w:rFonts w:ascii="Times New Roman" w:hAnsi="Times New Roman" w:cs="Times New Roman"/>
                <w:sz w:val="24"/>
                <w:szCs w:val="24"/>
              </w:rPr>
              <w:t>恒</w:t>
            </w: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領禱開始</w:t>
            </w:r>
            <w:proofErr w:type="gramEnd"/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會議。</w:t>
            </w:r>
          </w:p>
          <w:p w14:paraId="1D8E2F2E" w14:textId="77777777" w:rsidR="00FD00E5" w:rsidRPr="00E42F18" w:rsidRDefault="00FD00E5" w:rsidP="00FD00E5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42F18" w:rsidRPr="00885102" w14:paraId="38B4EF2C" w14:textId="77777777" w:rsidTr="007737F1">
        <w:tc>
          <w:tcPr>
            <w:tcW w:w="989" w:type="dxa"/>
          </w:tcPr>
          <w:p w14:paraId="1796C7EF" w14:textId="3FEC30BD" w:rsidR="00FD00E5" w:rsidRPr="00885102" w:rsidRDefault="00A84E87" w:rsidP="008758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97" w:type="dxa"/>
          </w:tcPr>
          <w:p w14:paraId="512F5260" w14:textId="77777777" w:rsidR="009D3183" w:rsidRPr="00885102" w:rsidRDefault="00E42F18" w:rsidP="00FD00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簡介工作小組成立背景、目標、架構及工作範疇</w:t>
            </w:r>
          </w:p>
          <w:p w14:paraId="7D9ADA48" w14:textId="52ABA5A3" w:rsidR="00E42F18" w:rsidRPr="00885102" w:rsidRDefault="00E42F18" w:rsidP="00FD00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2F18" w:rsidRPr="00E42F18" w14:paraId="0BD79912" w14:textId="77777777" w:rsidTr="007737F1">
        <w:tc>
          <w:tcPr>
            <w:tcW w:w="989" w:type="dxa"/>
          </w:tcPr>
          <w:p w14:paraId="10483DEF" w14:textId="77777777" w:rsidR="00FD00E5" w:rsidRPr="00E42F18" w:rsidRDefault="00FD00E5" w:rsidP="00FD00E5">
            <w:pPr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19793B0D" w14:textId="767432BE" w:rsidR="000C52F7" w:rsidRPr="000C52F7" w:rsidRDefault="000C52F7" w:rsidP="000C52F7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主席簡介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Project E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的構想背景，指出福利協會現時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不少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服務資金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來源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主要依賴贊助，長遠而言其可持續性及團隊穩定性存有隱憂。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因此，主席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認為有需要思考如何將服務轉型為具備自負盈虧能力的營運模式，藉以確保服務能長遠持續，並維持專業團隊的穩定發展。</w:t>
            </w:r>
          </w:p>
          <w:p w14:paraId="5ADB2CF3" w14:textId="77777777" w:rsidR="000C52F7" w:rsidRPr="000C52F7" w:rsidRDefault="000C52F7" w:rsidP="000C5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993B8" w14:textId="7B14CA2E" w:rsidR="00EB73CD" w:rsidRDefault="000C52F7" w:rsidP="000C52F7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主席亦闡述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Project E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的初步目標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為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結合安寧服務團隊既有的專業知識及經驗，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並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整合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福利協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會不同單位和服務平台，讓安寧服務得以更廣泛地滲透至不同類型的服務使用者群體。在擴大社會影響力的同時，亦探索達致自負盈虧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的模式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，展望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長遠可持續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性</w:t>
            </w:r>
            <w:r w:rsidRPr="000C52F7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14:paraId="50814F9A" w14:textId="353213DA" w:rsidR="00042F6E" w:rsidRPr="00E42F18" w:rsidRDefault="00042F6E" w:rsidP="000C52F7">
            <w:pPr>
              <w:jc w:val="both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</w:p>
        </w:tc>
      </w:tr>
      <w:tr w:rsidR="00E42F18" w:rsidRPr="00885102" w14:paraId="37F8CACA" w14:textId="77777777" w:rsidTr="007737F1">
        <w:tc>
          <w:tcPr>
            <w:tcW w:w="989" w:type="dxa"/>
          </w:tcPr>
          <w:p w14:paraId="6917FE02" w14:textId="023B2423" w:rsidR="00FD00E5" w:rsidRPr="00885102" w:rsidRDefault="00A84E87" w:rsidP="008758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97" w:type="dxa"/>
          </w:tcPr>
          <w:p w14:paraId="5BBED375" w14:textId="77777777" w:rsidR="00960740" w:rsidRPr="00885102" w:rsidRDefault="00BD3D78" w:rsidP="00FD00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安寧服務部現有服務概況</w:t>
            </w:r>
          </w:p>
          <w:p w14:paraId="24F722A5" w14:textId="32C342BE" w:rsidR="00BD3D78" w:rsidRPr="00885102" w:rsidRDefault="00BD3D78" w:rsidP="00FD00E5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E42F18" w:rsidRPr="00E42F18" w14:paraId="1CE3C083" w14:textId="77777777" w:rsidTr="007737F1">
        <w:tc>
          <w:tcPr>
            <w:tcW w:w="989" w:type="dxa"/>
          </w:tcPr>
          <w:p w14:paraId="1774E50A" w14:textId="42C311BC" w:rsidR="00E94E1B" w:rsidRPr="00E42F18" w:rsidRDefault="00E94E1B" w:rsidP="00E94E1B">
            <w:pPr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1EC73041" w14:textId="6DC6C7B8" w:rsidR="00026C7F" w:rsidRDefault="00BD3D78" w:rsidP="00BD3D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F18">
              <w:rPr>
                <w:rFonts w:ascii="Times New Roman" w:hAnsi="Times New Roman" w:cs="Times New Roman"/>
                <w:sz w:val="24"/>
                <w:szCs w:val="24"/>
              </w:rPr>
              <w:t>陳慕寧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介紹</w:t>
            </w:r>
            <w:r w:rsidR="005D5E66">
              <w:rPr>
                <w:rFonts w:ascii="Times New Roman" w:hAnsi="Times New Roman" w:cs="Times New Roman" w:hint="eastAsia"/>
                <w:sz w:val="24"/>
                <w:szCs w:val="24"/>
              </w:rPr>
              <w:t>福利協會</w:t>
            </w:r>
            <w:r w:rsidR="005D5E66" w:rsidRPr="00BD3D78">
              <w:rPr>
                <w:rFonts w:ascii="Times New Roman" w:hAnsi="Times New Roman" w:cs="Times New Roman" w:hint="eastAsia"/>
                <w:sz w:val="24"/>
                <w:szCs w:val="24"/>
              </w:rPr>
              <w:t>安寧服務部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目前提供的主要八項服務，其中自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2004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年起開展的「</w:t>
            </w:r>
            <w:proofErr w:type="spell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DEAtHFEST</w:t>
            </w:r>
            <w:proofErr w:type="spellEnd"/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說生道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死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—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生死教育及培訓工作」為唯一非資助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自負盈虧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項目，其餘七項服務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均屬獲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資助計劃。服務涵蓋四大核心範疇，包括「好生、好死、善終、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善別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」，並秉承「生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者善生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、去者善終、留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者善別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」的服務理念，持續推動生命教育及安寧照顧於社區層面的落實。</w:t>
            </w:r>
          </w:p>
          <w:p w14:paraId="7081C30F" w14:textId="77777777" w:rsidR="00012F42" w:rsidRDefault="00012F42" w:rsidP="00BD3D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53011" w14:textId="20FCD567" w:rsidR="00026C7F" w:rsidRDefault="00026C7F" w:rsidP="00026C7F">
            <w:pPr>
              <w:jc w:val="both"/>
              <w:rPr>
                <w:rFonts w:ascii="PMingLiU" w:eastAsia="PMingLiU" w:hAnsi="PMingLiU" w:cs="PMingLiU"/>
                <w:sz w:val="24"/>
                <w:szCs w:val="24"/>
              </w:rPr>
            </w:pPr>
            <w:r w:rsidRPr="00026C7F">
              <w:rPr>
                <w:rFonts w:ascii="PMingLiU" w:eastAsia="PMingLiU" w:hAnsi="PMingLiU" w:cs="PMingLiU" w:hint="eastAsia"/>
                <w:sz w:val="24"/>
                <w:szCs w:val="24"/>
              </w:rPr>
              <w:t>與會者就相關服務及資源配套提出查詢，陳慕寧</w:t>
            </w:r>
            <w:r>
              <w:rPr>
                <w:rFonts w:ascii="PMingLiU" w:eastAsia="PMingLiU" w:hAnsi="PMingLiU" w:cs="PMingLiU" w:hint="eastAsia"/>
                <w:sz w:val="24"/>
                <w:szCs w:val="24"/>
              </w:rPr>
              <w:t>作</w:t>
            </w:r>
            <w:r w:rsidRPr="00026C7F">
              <w:rPr>
                <w:rFonts w:ascii="PMingLiU" w:eastAsia="PMingLiU" w:hAnsi="PMingLiU" w:cs="PMingLiU" w:hint="eastAsia"/>
                <w:sz w:val="24"/>
                <w:szCs w:val="24"/>
              </w:rPr>
              <w:t>以下補充說明：</w:t>
            </w:r>
          </w:p>
          <w:p w14:paraId="1F70B4C0" w14:textId="77777777" w:rsidR="00026C7F" w:rsidRPr="00026C7F" w:rsidRDefault="00026C7F" w:rsidP="00026C7F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4BF82799" w14:textId="507105FF" w:rsidR="00702B6C" w:rsidRDefault="00702B6C" w:rsidP="00702B6C">
            <w:pPr>
              <w:pStyle w:val="ListParagraph"/>
              <w:numPr>
                <w:ilvl w:val="0"/>
                <w:numId w:val="12"/>
              </w:numPr>
              <w:ind w:left="460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賽馬會安寧頌</w:t>
            </w:r>
            <w:r w:rsidR="00026C7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（</w:t>
            </w:r>
            <w:r w:rsidR="00026C7F" w:rsidRPr="00026C7F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涵蓋「安寧在家」及「安寧在院舍」）</w:t>
            </w:r>
            <w:r w:rsidR="00C61198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項目剛獲賽馬會口頭通知將延長資助十八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個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月，至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2027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月，現正等待於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月底前接獲正式書面批覆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6D7517CE" w14:textId="5F03E345" w:rsidR="00026C7F" w:rsidRPr="00026C7F" w:rsidRDefault="00702B6C" w:rsidP="00026C7F">
            <w:pPr>
              <w:pStyle w:val="ListParagraph"/>
              <w:numPr>
                <w:ilvl w:val="0"/>
                <w:numId w:val="12"/>
              </w:numPr>
              <w:ind w:left="460" w:hanging="44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賽馬會</w:t>
            </w:r>
            <w:r w:rsidR="005476BE"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安寧頌</w:t>
            </w:r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「安寧在院舍」</w:t>
            </w:r>
            <w:r w:rsidR="00C61198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目前由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福利協會、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靈實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、救世軍及東華三院共四個非牟利機構，為全港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間安老院舍提供安寧服務支援。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福利協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會每年服務約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240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個個案，即平均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每院舍約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個個案，每</w:t>
            </w:r>
            <w:proofErr w:type="gramStart"/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個</w:t>
            </w:r>
            <w:proofErr w:type="gramEnd"/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個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案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介</w:t>
            </w:r>
            <w:proofErr w:type="gramEnd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乎港幣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$18,000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至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$20,000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2CACE9CC" w14:textId="75477E33" w:rsidR="003E6C38" w:rsidRDefault="00C61198" w:rsidP="003E6C38">
            <w:pPr>
              <w:pStyle w:val="ListParagraph"/>
              <w:numPr>
                <w:ilvl w:val="0"/>
                <w:numId w:val="12"/>
              </w:numPr>
              <w:ind w:left="460" w:hanging="44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賽馬會「後事支援大使」計劃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計劃為期三年，預計分六至九個批次培育「後事支援大使」。馮穎麟現正研究與僱員再培訓局（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ERB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）協作之課程發展，主席建議團隊應主動盡快「入場」，掌握先機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59D45A30" w14:textId="77777777" w:rsidR="00A0494E" w:rsidRPr="00A0494E" w:rsidRDefault="00A0494E" w:rsidP="00A0494E"/>
          <w:p w14:paraId="2A7E58E8" w14:textId="6D458C9C" w:rsidR="00F209E0" w:rsidRPr="00026C7F" w:rsidRDefault="003E6C38" w:rsidP="00026C7F">
            <w:pPr>
              <w:pStyle w:val="ListParagraph"/>
              <w:numPr>
                <w:ilvl w:val="0"/>
                <w:numId w:val="12"/>
              </w:numPr>
              <w:ind w:left="460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賽馬會「</w:t>
            </w:r>
            <w:proofErr w:type="gramStart"/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摯</w:t>
            </w:r>
            <w:proofErr w:type="gramEnd"/>
            <w:r w:rsidRPr="00C07535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伴行」喪親兒童及青少年成長支援計劃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目前團隊編制為四人，預計下年度擴充至八人，最終增至十人。今年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月至今已接獲逾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個個案，當中約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70</w:t>
            </w:r>
            <w:r w:rsidR="00026C7F">
              <w:rPr>
                <w:rFonts w:ascii="Times New Roman" w:hAnsi="Times New Roman" w:cs="Times New Roman" w:hint="eastAsia"/>
                <w:sz w:val="24"/>
                <w:szCs w:val="24"/>
              </w:rPr>
              <w:t>個個案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正積極跟進中</w:t>
            </w:r>
            <w:r w:rsidR="00F209E0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7ADE21B9" w14:textId="3B845C68" w:rsidR="003A6BE2" w:rsidRPr="003A6BE2" w:rsidRDefault="00C07535" w:rsidP="003A6BE2">
            <w:pPr>
              <w:pStyle w:val="ListParagraph"/>
              <w:numPr>
                <w:ilvl w:val="0"/>
                <w:numId w:val="12"/>
              </w:numPr>
              <w:ind w:left="460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BE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DEAtHFEST</w:t>
            </w:r>
            <w:proofErr w:type="spellEnd"/>
            <w:r w:rsidRPr="003A6BE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 w:rsidRPr="003A6BE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說生道死</w:t>
            </w:r>
            <w:r w:rsidR="003A6BE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- </w:t>
            </w:r>
            <w:r w:rsidRPr="003A6BE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生死教育及培訓工作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目前收費介乎港幣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$1,200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至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$1,800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（每小時），屬市場中價水平（坊間收費普遍介乎港幣數百至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$3,000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不等）。主席建議由周佩波與陳慕寧探討是否有調整收費及加強推廣的空間，並需考慮團隊負荷及服務容量（</w:t>
            </w:r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capacity</w:t>
            </w:r>
            <w:proofErr w:type="gramStart"/>
            <w:r w:rsidR="00026C7F" w:rsidRPr="00026C7F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="00491731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proofErr w:type="gramEnd"/>
          </w:p>
          <w:p w14:paraId="12A45AD8" w14:textId="77777777" w:rsidR="003A6BE2" w:rsidRDefault="003A6BE2" w:rsidP="00567A5D">
            <w:pPr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599C7" w14:textId="0159D9CE" w:rsidR="00FA34A5" w:rsidRPr="00FA34A5" w:rsidRDefault="00FA34A5" w:rsidP="00FA34A5">
            <w:pPr>
              <w:ind w:left="2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主席同時指出，雖然安寧服務部現時已涵蓋多個服務層面，惟尚未建立一套清晰主軸的敘事（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narrative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="007C4EEC">
              <w:rPr>
                <w:rFonts w:ascii="PMingLiU-ExtB" w:eastAsia="PMingLiU-ExtB" w:hAnsi="PMingLiU-ExtB" w:cs="PMingLiU-ExtB" w:hint="eastAsia"/>
                <w:sz w:val="24"/>
                <w:szCs w:val="24"/>
              </w:rPr>
              <w:t>𨤳</w:t>
            </w:r>
            <w:r w:rsidR="007C4EEC">
              <w:rPr>
                <w:rFonts w:ascii="PMingLiU" w:eastAsia="PMingLiU" w:hAnsi="PMingLiU" w:cs="PMingLiU" w:hint="eastAsia"/>
                <w:sz w:val="24"/>
                <w:szCs w:val="24"/>
              </w:rPr>
              <w:t>清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福利協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會在安寧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服務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方面的理念與定位，</w:t>
            </w:r>
            <w:r w:rsidR="00DA03CA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推動資源整合及跨界協作。陳慕寧將與周佩波及黃珮琳協作，檢視現有元素並共同擬定部門的敘事方向。</w:t>
            </w:r>
          </w:p>
          <w:p w14:paraId="30E9367E" w14:textId="77777777" w:rsidR="00FA34A5" w:rsidRPr="00FA34A5" w:rsidRDefault="00FA34A5" w:rsidP="00FA34A5">
            <w:pPr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F948B" w14:textId="5B29C329" w:rsidR="00FA34A5" w:rsidRDefault="00FA34A5" w:rsidP="00FA34A5">
            <w:pPr>
              <w:ind w:lef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黃珮琳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亦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將於會後彙整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福利協</w:t>
            </w:r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會安寧</w:t>
            </w:r>
            <w:proofErr w:type="gramStart"/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服務部於公關</w:t>
            </w:r>
            <w:proofErr w:type="gramEnd"/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觸及層面的相關數據，如社交媒體追蹤人數、</w:t>
            </w:r>
            <w:proofErr w:type="gramStart"/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貼文點擊率</w:t>
            </w:r>
            <w:proofErr w:type="gramEnd"/>
            <w:r w:rsidRPr="00FA34A5">
              <w:rPr>
                <w:rFonts w:ascii="Times New Roman" w:hAnsi="Times New Roman" w:cs="Times New Roman" w:hint="eastAsia"/>
                <w:sz w:val="24"/>
                <w:szCs w:val="24"/>
              </w:rPr>
              <w:t>等，供日後作宣傳及發展策略參考。</w:t>
            </w:r>
          </w:p>
          <w:p w14:paraId="7A835F16" w14:textId="7DDC5962" w:rsidR="00FA34A5" w:rsidRPr="00567A5D" w:rsidRDefault="00FA34A5" w:rsidP="00FA34A5">
            <w:pPr>
              <w:ind w:left="2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E42F18" w:rsidRPr="00885102" w14:paraId="103C2FD7" w14:textId="77777777" w:rsidTr="007737F1">
        <w:tc>
          <w:tcPr>
            <w:tcW w:w="989" w:type="dxa"/>
          </w:tcPr>
          <w:p w14:paraId="5E887FB9" w14:textId="349553EF" w:rsidR="00FD00E5" w:rsidRPr="00885102" w:rsidRDefault="00DF55AD" w:rsidP="00FD00E5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8797" w:type="dxa"/>
          </w:tcPr>
          <w:p w14:paraId="453BE47A" w14:textId="1CA16144" w:rsidR="00E220A7" w:rsidRPr="00885102" w:rsidRDefault="00DF55AD" w:rsidP="00DF55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殯</w:t>
            </w:r>
            <w:proofErr w:type="gramEnd"/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儀</w:t>
            </w:r>
            <w:r w:rsidR="00BB0CF9"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SPO</w:t>
            </w: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概念及進展</w:t>
            </w:r>
          </w:p>
          <w:p w14:paraId="01F43259" w14:textId="35F79ABD" w:rsidR="00DF55AD" w:rsidRPr="00885102" w:rsidRDefault="00DF55AD" w:rsidP="00DF55AD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9F7D44" w:rsidRPr="00E42F18" w14:paraId="654F7706" w14:textId="77777777" w:rsidTr="007737F1">
        <w:trPr>
          <w:trHeight w:val="592"/>
        </w:trPr>
        <w:tc>
          <w:tcPr>
            <w:tcW w:w="989" w:type="dxa"/>
          </w:tcPr>
          <w:p w14:paraId="7B016289" w14:textId="77777777" w:rsidR="009F7D44" w:rsidRDefault="009F7D44" w:rsidP="00DF55AD">
            <w:pPr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</w:p>
          <w:p w14:paraId="26EAE4DE" w14:textId="43E6BBF5" w:rsidR="009F7D44" w:rsidRPr="00E42F18" w:rsidRDefault="009F7D44" w:rsidP="00DF55AD">
            <w:pPr>
              <w:rPr>
                <w:rFonts w:ascii="Times New Roman" w:hAnsi="Times New Roman" w:cs="Times New Roman" w:hint="eastAsia"/>
                <w:color w:val="EE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027DEB5F" w14:textId="77777777" w:rsidR="009F7D44" w:rsidRDefault="009F7D44" w:rsidP="009B0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主席指出，為避免「</w:t>
            </w: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社企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」一詞所帶來的標籤化及邊緣化印象，建議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暫時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統一使用「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SPO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」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Social Purpose Organisation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以作稱呼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。與會者一致認同。</w:t>
            </w:r>
          </w:p>
          <w:p w14:paraId="1C5ADFFC" w14:textId="490035C1" w:rsidR="009B0C0B" w:rsidRPr="009F7D44" w:rsidRDefault="009B0C0B" w:rsidP="009B0C0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F7D44" w:rsidRPr="00E42F18" w14:paraId="3E61ED60" w14:textId="77777777" w:rsidTr="007737F1">
        <w:trPr>
          <w:trHeight w:val="1115"/>
        </w:trPr>
        <w:tc>
          <w:tcPr>
            <w:tcW w:w="989" w:type="dxa"/>
          </w:tcPr>
          <w:p w14:paraId="1555E9AE" w14:textId="2E729D78" w:rsidR="009F7D44" w:rsidRDefault="009F7D44" w:rsidP="00DF55AD">
            <w:pPr>
              <w:rPr>
                <w:rFonts w:ascii="Times New Roman" w:hAnsi="Times New Roman" w:cs="Times New Roman" w:hint="eastAsia"/>
                <w:color w:val="EE0000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4.1</w:t>
            </w:r>
          </w:p>
        </w:tc>
        <w:tc>
          <w:tcPr>
            <w:tcW w:w="8797" w:type="dxa"/>
          </w:tcPr>
          <w:p w14:paraId="1AA277D4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法規與申請安排：</w:t>
            </w:r>
          </w:p>
          <w:p w14:paraId="57B872BF" w14:textId="77777777" w:rsidR="009F7D44" w:rsidRDefault="009F7D44" w:rsidP="00FA3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文孔義建議，由於</w:t>
            </w: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殯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儀行業涉及多種政府牌照，陳慕寧可於會後整合不同牌照（如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牌）的功能限制，列明各類牌照可涵蓋之服務範疇，協助小組更清晰掌握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SPO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未來的營運空間。</w:t>
            </w:r>
          </w:p>
          <w:p w14:paraId="7AD15B62" w14:textId="77777777" w:rsidR="009B0C0B" w:rsidRDefault="009B0C0B" w:rsidP="00FA34A5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67C9609B" w14:textId="77777777" w:rsidR="009B0C0B" w:rsidRPr="00A16556" w:rsidRDefault="009B0C0B" w:rsidP="009B0C0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項目預計選址於聖公會聖十架堂（黃大仙親仁街，鄰近警署及港鐵站）。陳慕寧表示，正籌備</w:t>
            </w: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向食環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署申請所需牌照，預期三至四個月內可完成，目標於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2026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月正式投入服務。</w:t>
            </w:r>
          </w:p>
          <w:p w14:paraId="338C15CB" w14:textId="77777777" w:rsidR="009B0C0B" w:rsidRPr="00A16556" w:rsidRDefault="009B0C0B" w:rsidP="009B0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CCD69" w14:textId="77777777" w:rsidR="009B0C0B" w:rsidRDefault="009B0C0B" w:rsidP="009B0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文孔義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提醒，項目團隊須事前</w:t>
            </w: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釐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清能否獲批獨立出入口及註冊編號，否則可能影響日後與聖十架堂的簽約及裝修進度，甚至引發營運爭議。</w:t>
            </w:r>
          </w:p>
          <w:p w14:paraId="1BF26D90" w14:textId="13FE8BBB" w:rsidR="009F7D44" w:rsidRPr="00A16556" w:rsidRDefault="009F7D44" w:rsidP="00FA34A5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F7D44" w:rsidRPr="00E42F18" w14:paraId="1BC484D0" w14:textId="77777777" w:rsidTr="007737F1">
        <w:trPr>
          <w:trHeight w:val="1550"/>
        </w:trPr>
        <w:tc>
          <w:tcPr>
            <w:tcW w:w="989" w:type="dxa"/>
          </w:tcPr>
          <w:p w14:paraId="5FB32EB3" w14:textId="557E6E1C" w:rsidR="009F7D44" w:rsidRDefault="009F7D44" w:rsidP="00DF55AD">
            <w:pPr>
              <w:rPr>
                <w:rFonts w:ascii="Times New Roman" w:hAnsi="Times New Roman" w:cs="Times New Roman" w:hint="eastAsia"/>
                <w:color w:val="EE0000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4.2</w:t>
            </w:r>
          </w:p>
        </w:tc>
        <w:tc>
          <w:tcPr>
            <w:tcW w:w="8797" w:type="dxa"/>
          </w:tcPr>
          <w:p w14:paraId="05D3F318" w14:textId="77777777" w:rsidR="009B0C0B" w:rsidRPr="009B0C0B" w:rsidRDefault="009B0C0B" w:rsidP="009B0C0B">
            <w:pPr>
              <w:jc w:val="both"/>
              <w:rPr>
                <w:rFonts w:ascii="Times New Roman" w:eastAsia="PMingLiU" w:hAnsi="Times New Roman" w:cs="Times New Roman"/>
                <w:sz w:val="24"/>
                <w:szCs w:val="24"/>
                <w:u w:val="single"/>
              </w:rPr>
            </w:pPr>
            <w:r w:rsidRPr="009B0C0B">
              <w:rPr>
                <w:rFonts w:ascii="Times New Roman" w:eastAsia="PMingLiU" w:hAnsi="Times New Roman" w:cs="Times New Roman" w:hint="eastAsia"/>
                <w:sz w:val="24"/>
                <w:szCs w:val="24"/>
                <w:u w:val="single"/>
              </w:rPr>
              <w:t>目標服務對象：</w:t>
            </w:r>
          </w:p>
          <w:p w14:paraId="706B1D1F" w14:textId="77777777" w:rsidR="009B0C0B" w:rsidRDefault="009B0C0B" w:rsidP="009B0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主席指出，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SPO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首階段主要目標服務群為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聖公會群體（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堂校社服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及其現有服務使用者。文孔義亦建議，鄭琬莉可因應張國亮伉儷安老服務大樓的服務情況，向有需要的服務使用者推</w:t>
            </w:r>
            <w:proofErr w:type="gramStart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介</w:t>
            </w:r>
            <w:proofErr w:type="gramEnd"/>
            <w:r w:rsidRPr="00A16556">
              <w:rPr>
                <w:rFonts w:ascii="Times New Roman" w:hAnsi="Times New Roman" w:cs="Times New Roman" w:hint="eastAsia"/>
                <w:sz w:val="24"/>
                <w:szCs w:val="24"/>
              </w:rPr>
              <w:t>此服務，以擴展應用場景及接觸層面。</w:t>
            </w:r>
          </w:p>
          <w:p w14:paraId="78136988" w14:textId="77777777" w:rsidR="009F7D44" w:rsidRPr="00A16556" w:rsidRDefault="009F7D44" w:rsidP="00FA34A5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F7D44" w:rsidRPr="00E42F18" w14:paraId="6A259F70" w14:textId="77777777" w:rsidTr="007737F1">
        <w:trPr>
          <w:trHeight w:val="699"/>
        </w:trPr>
        <w:tc>
          <w:tcPr>
            <w:tcW w:w="989" w:type="dxa"/>
          </w:tcPr>
          <w:p w14:paraId="20F0ED44" w14:textId="18285B95" w:rsidR="009F7D44" w:rsidRPr="009F7D44" w:rsidRDefault="009F7D44" w:rsidP="00DF55A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4.3</w:t>
            </w:r>
          </w:p>
        </w:tc>
        <w:tc>
          <w:tcPr>
            <w:tcW w:w="8797" w:type="dxa"/>
          </w:tcPr>
          <w:p w14:paraId="35911E00" w14:textId="77777777" w:rsidR="009B0C0B" w:rsidRPr="009B0C0B" w:rsidRDefault="009B0C0B" w:rsidP="009B0C0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9B0C0B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財務預算與商業模型：</w:t>
            </w:r>
          </w:p>
          <w:p w14:paraId="1B38ACA9" w14:textId="77777777" w:rsidR="009B0C0B" w:rsidRDefault="009B0C0B" w:rsidP="009B0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>陳慕寧簡介初步營運收支預算安排，並與與會者進行討論，重點如下：</w:t>
            </w:r>
          </w:p>
          <w:p w14:paraId="68448DE2" w14:textId="77777777" w:rsidR="009B0C0B" w:rsidRDefault="009B0C0B" w:rsidP="009B0C0B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290403AD" w14:textId="77777777" w:rsidR="009B0C0B" w:rsidRPr="00335D17" w:rsidRDefault="009B0C0B" w:rsidP="009B0C0B">
            <w:pPr>
              <w:pStyle w:val="ListParagraph"/>
              <w:numPr>
                <w:ilvl w:val="0"/>
                <w:numId w:val="19"/>
              </w:numPr>
              <w:ind w:left="514" w:hanging="4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>預計營運首年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因開設初期投入及員工適應期，純利較低（約港幣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$16,635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）；而於營運第四年，隨服務趨成熟，純利可望增至約港幣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$1,111,</w:t>
            </w: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>113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  <w:p w14:paraId="1A0DBEE5" w14:textId="77777777" w:rsidR="009B0C0B" w:rsidRDefault="009B0C0B" w:rsidP="009B0C0B">
            <w:pPr>
              <w:pStyle w:val="ListParagraph"/>
              <w:ind w:left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根據預算，首年需服務約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個個案方可收支平衡，其中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個為具經濟困難人士（如綜援或低收入人士），其餘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個為具經濟能力而有後事支援需要的家庭。與會者認為估算過於保守，周佩波將於會後協助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finetune</w:t>
            </w:r>
            <w:r w:rsidRPr="00335D17">
              <w:rPr>
                <w:rFonts w:ascii="Times New Roman" w:hAnsi="Times New Roman" w:cs="Times New Roman"/>
                <w:sz w:val="24"/>
                <w:szCs w:val="24"/>
              </w:rPr>
              <w:t>預算表內容，以提升預測準確度及閱讀清晰度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7A527619" w14:textId="77777777" w:rsidR="009B0C0B" w:rsidRDefault="009B0C0B" w:rsidP="009B0C0B">
            <w:pPr>
              <w:pStyle w:val="ListParagraph"/>
              <w:ind w:left="50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601F2563" w14:textId="4CC67100" w:rsidR="009B0C0B" w:rsidRPr="002700FF" w:rsidRDefault="009B0C0B" w:rsidP="002700FF">
            <w:pPr>
              <w:pStyle w:val="ListParagraph"/>
              <w:numPr>
                <w:ilvl w:val="0"/>
                <w:numId w:val="19"/>
              </w:numPr>
              <w:ind w:left="500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>主席指出，</w:t>
            </w: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SPO</w:t>
            </w:r>
            <w:r w:rsidRPr="00335D17">
              <w:rPr>
                <w:rFonts w:ascii="Times New Roman" w:hAnsi="Times New Roman" w:cs="Times New Roman" w:hint="eastAsia"/>
                <w:sz w:val="24"/>
                <w:szCs w:val="24"/>
              </w:rPr>
              <w:t>應優先針對具經濟能力而有後事支援需要的客群，以創造利潤用作補貼其他有需要人士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14:paraId="421B72BE" w14:textId="77777777" w:rsidR="009B0C0B" w:rsidRDefault="009B0C0B" w:rsidP="009B0C0B">
            <w:pPr>
              <w:pStyle w:val="ListParagraph"/>
              <w:numPr>
                <w:ilvl w:val="0"/>
                <w:numId w:val="19"/>
              </w:numPr>
              <w:ind w:left="500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C0B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與會者關注，</w:t>
            </w:r>
            <w:r w:rsidRPr="009B0C0B">
              <w:rPr>
                <w:rFonts w:ascii="Times New Roman" w:hAnsi="Times New Roman" w:cs="Times New Roman" w:hint="eastAsia"/>
                <w:sz w:val="24"/>
                <w:szCs w:val="24"/>
              </w:rPr>
              <w:t>SPO</w:t>
            </w:r>
            <w:r w:rsidRPr="009B0C0B">
              <w:rPr>
                <w:rFonts w:ascii="Times New Roman" w:hAnsi="Times New Roman" w:cs="Times New Roman" w:hint="eastAsia"/>
                <w:sz w:val="24"/>
                <w:szCs w:val="24"/>
              </w:rPr>
              <w:t>選址於聖十架堂，可能令人誤會只處理基督教喪禮，從而影響接觸其他宗教或非宗教客戶的潛力。有必要及早建立清晰品牌形象及宣傳語言，以</w:t>
            </w:r>
            <w:proofErr w:type="gramStart"/>
            <w:r w:rsidRPr="009B0C0B">
              <w:rPr>
                <w:rFonts w:ascii="Times New Roman" w:hAnsi="Times New Roman" w:cs="Times New Roman" w:hint="eastAsia"/>
                <w:sz w:val="24"/>
                <w:szCs w:val="24"/>
              </w:rPr>
              <w:t>釐</w:t>
            </w:r>
            <w:proofErr w:type="gramEnd"/>
            <w:r w:rsidRPr="009B0C0B">
              <w:rPr>
                <w:rFonts w:ascii="Times New Roman" w:hAnsi="Times New Roman" w:cs="Times New Roman" w:hint="eastAsia"/>
                <w:sz w:val="24"/>
                <w:szCs w:val="24"/>
              </w:rPr>
              <w:t>清其服務中立性與多元化。</w:t>
            </w:r>
          </w:p>
          <w:p w14:paraId="55CB0FAF" w14:textId="45B7C43A" w:rsidR="002700FF" w:rsidRPr="002700FF" w:rsidRDefault="002700FF" w:rsidP="002700FF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A01BD" w:rsidRPr="00885102" w14:paraId="2CBF2E78" w14:textId="77777777" w:rsidTr="007737F1">
        <w:tc>
          <w:tcPr>
            <w:tcW w:w="989" w:type="dxa"/>
          </w:tcPr>
          <w:p w14:paraId="30321526" w14:textId="3D667F38" w:rsidR="001A01BD" w:rsidRPr="00885102" w:rsidRDefault="001A01BD" w:rsidP="00DF55AD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8797" w:type="dxa"/>
          </w:tcPr>
          <w:p w14:paraId="74B14EF3" w14:textId="77777777" w:rsidR="001A01BD" w:rsidRPr="00885102" w:rsidRDefault="001A01BD" w:rsidP="00FA34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Project E</w:t>
            </w: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市場概況、機遇及構思</w:t>
            </w:r>
          </w:p>
          <w:p w14:paraId="0C6228AD" w14:textId="0026A591" w:rsidR="00AD499E" w:rsidRPr="00885102" w:rsidRDefault="00AD499E" w:rsidP="00FA34A5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9F7D44" w:rsidRPr="00E42F18" w14:paraId="248EBA3F" w14:textId="77777777" w:rsidTr="007737F1">
        <w:trPr>
          <w:trHeight w:val="605"/>
        </w:trPr>
        <w:tc>
          <w:tcPr>
            <w:tcW w:w="989" w:type="dxa"/>
          </w:tcPr>
          <w:p w14:paraId="6CC0B60F" w14:textId="77777777" w:rsidR="009F7D44" w:rsidRPr="00E42F18" w:rsidRDefault="009F7D44" w:rsidP="00DF55AD">
            <w:pPr>
              <w:rPr>
                <w:rFonts w:ascii="Times New Roman" w:hAnsi="Times New Roman" w:cs="Times New Roman" w:hint="eastAsia"/>
                <w:color w:val="EE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03CEAD95" w14:textId="77777777" w:rsid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周佩波簡介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Project E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相關市場概況，指出本港人口老化情況持續加劇，死亡人數亦隨之上升，惟現時僅約兩成</w:t>
            </w: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人口曾預早</w:t>
            </w:r>
            <w:proofErr w:type="gramEnd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安排自身後事，反映市場潛力龐大。</w:t>
            </w:r>
          </w:p>
          <w:p w14:paraId="38154F44" w14:textId="77777777" w:rsidR="009F7D44" w:rsidRPr="009F7D44" w:rsidRDefault="009F7D44" w:rsidP="00AD499E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2700FF" w:rsidRPr="00E42F18" w14:paraId="0429792F" w14:textId="77777777" w:rsidTr="007737F1">
        <w:trPr>
          <w:trHeight w:val="4196"/>
        </w:trPr>
        <w:tc>
          <w:tcPr>
            <w:tcW w:w="989" w:type="dxa"/>
          </w:tcPr>
          <w:p w14:paraId="7967C09B" w14:textId="4B438029" w:rsidR="002700FF" w:rsidRPr="009F7D44" w:rsidRDefault="002700FF" w:rsidP="00DF55A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5.1</w:t>
            </w:r>
          </w:p>
        </w:tc>
        <w:tc>
          <w:tcPr>
            <w:tcW w:w="8797" w:type="dxa"/>
          </w:tcPr>
          <w:p w14:paraId="34C8D0CE" w14:textId="77777777" w:rsidR="002700FF" w:rsidRPr="009F7D44" w:rsidRDefault="002700FF" w:rsidP="00AD499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市場觀察與合作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機遇</w:t>
            </w:r>
          </w:p>
          <w:p w14:paraId="583841AD" w14:textId="77777777" w:rsidR="002700FF" w:rsidRDefault="002700FF" w:rsidP="00AD4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3D9B5" w14:textId="77777777" w:rsidR="002700FF" w:rsidRDefault="002700FF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周佩波分享市面現有提供「平安三寶」服務之收費水平，並正探討與「</w:t>
            </w: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遺善最</w:t>
            </w:r>
            <w:proofErr w:type="gramEnd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樂」合作的可能性，以整合相關資源。</w:t>
            </w:r>
          </w:p>
          <w:p w14:paraId="083B15B1" w14:textId="77777777" w:rsidR="002700FF" w:rsidRDefault="002700FF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EE13F" w14:textId="5A481102" w:rsidR="002700FF" w:rsidRDefault="002700FF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同時，周佩波提到市面上另一品牌「安心三寶」的營運方式或涉及道德爭議。由於「安心三寶」曾就合作事宜接觸本會，主席提醒，如日後再次接洽，須謹慎應對，並應預先與主教溝通，以確保合作符合本會宗旨與原則。</w:t>
            </w:r>
          </w:p>
          <w:p w14:paraId="20FEDAC4" w14:textId="77777777" w:rsidR="002700FF" w:rsidRDefault="002700FF" w:rsidP="00AD4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B0C78" w14:textId="77777777" w:rsidR="002700FF" w:rsidRDefault="002700FF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周佩波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提出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，目前市場上多數殯葬服務仍以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轉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介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／人傳人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形式進行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聖公會憑其良好聲譽於此領域具發展優勢。根據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他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早前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於自身圈子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所作的初步詢問，部分移民人士表示，若其年長親屬仍居於香港，福利協會提供預設後事安排服務，將具高度吸引力。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因此，他提出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Project E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可從品牌建立入手，逐步擴展服務規模與影響力。</w:t>
            </w:r>
          </w:p>
          <w:p w14:paraId="1C55018F" w14:textId="184963CD" w:rsidR="008A60E2" w:rsidRPr="009F7D44" w:rsidRDefault="008A60E2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F7D44" w:rsidRPr="00E42F18" w14:paraId="2D8D6614" w14:textId="77777777" w:rsidTr="007737F1">
        <w:trPr>
          <w:trHeight w:val="2772"/>
        </w:trPr>
        <w:tc>
          <w:tcPr>
            <w:tcW w:w="989" w:type="dxa"/>
          </w:tcPr>
          <w:p w14:paraId="24377CDC" w14:textId="560D60D1" w:rsidR="009F7D44" w:rsidRPr="009F7D44" w:rsidRDefault="009F7D44" w:rsidP="00DF55A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797" w:type="dxa"/>
          </w:tcPr>
          <w:p w14:paraId="3875CEB3" w14:textId="77777777" w:rsidR="009F7D44" w:rsidRPr="009F7D44" w:rsidRDefault="009F7D44" w:rsidP="00AD499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一站式平台構想與服務模式</w:t>
            </w:r>
          </w:p>
          <w:p w14:paraId="5C5828F3" w14:textId="77777777" w:rsidR="009F7D44" w:rsidRDefault="009F7D44" w:rsidP="00AD4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2F23E" w14:textId="600F9A6E" w:rsidR="009F7D44" w:rsidRPr="009F7D44" w:rsidRDefault="002700FF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周佩波</w:t>
            </w:r>
            <w:r w:rsidR="009F7D44"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提出可由福利協會設立一個一站式平台，涵蓋服務介紹、諮詢、轉</w:t>
            </w:r>
            <w:proofErr w:type="gramStart"/>
            <w:r w:rsidR="009F7D44"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介</w:t>
            </w:r>
            <w:proofErr w:type="gramEnd"/>
            <w:r w:rsidR="009F7D44"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及支援功能，並按不同對象分為以下三類發展策略：</w:t>
            </w:r>
          </w:p>
          <w:p w14:paraId="09B41DE0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4F573" w14:textId="77777777" w:rsidR="009F7D44" w:rsidRDefault="009F7D44" w:rsidP="009F7D44">
            <w:pPr>
              <w:pStyle w:val="ListParagraph"/>
              <w:numPr>
                <w:ilvl w:val="0"/>
                <w:numId w:val="18"/>
              </w:numPr>
              <w:ind w:left="322" w:hanging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B2C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：涵蓋公眾教育、講座及個案轉介</w:t>
            </w:r>
          </w:p>
          <w:p w14:paraId="37BC775E" w14:textId="391A26CF" w:rsidR="009F7D44" w:rsidRDefault="009F7D44" w:rsidP="009F7D44">
            <w:pPr>
              <w:pStyle w:val="ListParagraph"/>
              <w:numPr>
                <w:ilvl w:val="0"/>
                <w:numId w:val="18"/>
              </w:numPr>
              <w:ind w:left="322" w:hanging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B2B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：針對專業團體或業界合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</w:t>
            </w:r>
          </w:p>
          <w:p w14:paraId="7E7FA6BB" w14:textId="51A45E81" w:rsidR="009F7D44" w:rsidRPr="009F7D44" w:rsidRDefault="009F7D44" w:rsidP="009F7D44">
            <w:pPr>
              <w:pStyle w:val="ListParagraph"/>
              <w:numPr>
                <w:ilvl w:val="0"/>
                <w:numId w:val="18"/>
              </w:numPr>
              <w:tabs>
                <w:tab w:val="right" w:pos="374"/>
              </w:tabs>
              <w:ind w:left="304" w:hanging="322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B2G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：與政府機構（如醫管局、衛生署）建立合作渠道</w:t>
            </w:r>
          </w:p>
          <w:p w14:paraId="022C5F4E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A4421" w14:textId="63828021" w:rsid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預期參與單位包括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DECC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MOST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地區康健中心、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RCH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等。平台可引導服務使用者依其需要，分流至「生前規劃諮詢」、「照顧諮詢」或「喪葬諮詢」等專屬服務。</w:t>
            </w:r>
          </w:p>
          <w:p w14:paraId="7FBDC076" w14:textId="7B50E11D" w:rsidR="009F7D44" w:rsidRPr="009F7D44" w:rsidRDefault="009F7D44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9F7D44" w:rsidRPr="00E42F18" w14:paraId="669CF183" w14:textId="77777777" w:rsidTr="007737F1">
        <w:trPr>
          <w:trHeight w:val="54"/>
        </w:trPr>
        <w:tc>
          <w:tcPr>
            <w:tcW w:w="989" w:type="dxa"/>
          </w:tcPr>
          <w:p w14:paraId="0152B261" w14:textId="3A0C29B1" w:rsidR="009F7D44" w:rsidRPr="009F7D44" w:rsidRDefault="009F7D44" w:rsidP="00DF55A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5.4</w:t>
            </w:r>
          </w:p>
        </w:tc>
        <w:tc>
          <w:tcPr>
            <w:tcW w:w="8797" w:type="dxa"/>
          </w:tcPr>
          <w:p w14:paraId="10C232FD" w14:textId="3DCBEEEB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服務切入點與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其他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考慮</w:t>
            </w:r>
          </w:p>
          <w:p w14:paraId="06883FCC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052ABF26" w14:textId="15C2B19F" w:rsidR="009F7D44" w:rsidRPr="009F7D44" w:rsidRDefault="009F7D44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初期可由安寧</w:t>
            </w: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服務部聯同</w:t>
            </w:r>
            <w:proofErr w:type="gramEnd"/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協會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ERB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團隊合作推動項目發展，並與「</w:t>
            </w: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遺善最</w:t>
            </w:r>
            <w:proofErr w:type="gramEnd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樂」協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作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。部分服務項目僅需醫生或律師參與，部分則需二者於同日內完成程序。周佩波認為，「預設照顧計劃（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ACP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）」及「持久授權書（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EPA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）」為</w:t>
            </w:r>
            <w:r w:rsidR="002700FF">
              <w:rPr>
                <w:rFonts w:ascii="Times New Roman" w:hAnsi="Times New Roman" w:cs="Times New Roman" w:hint="eastAsia"/>
                <w:sz w:val="24"/>
                <w:szCs w:val="24"/>
              </w:rPr>
              <w:t>福利協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會專長，具備優勢條件開展。</w:t>
            </w:r>
          </w:p>
          <w:p w14:paraId="53F3C0DD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AB0A2" w14:textId="718DB196" w:rsidR="009F7D44" w:rsidRPr="009F7D44" w:rsidRDefault="009F7D44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惟</w:t>
            </w:r>
            <w:proofErr w:type="gramEnd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考慮部分安排或涉及直系親屬參與，建議服務初期設定篩選機制，</w:t>
            </w:r>
            <w:r w:rsidR="00603C01">
              <w:rPr>
                <w:rFonts w:ascii="Times New Roman" w:hAnsi="Times New Roman" w:cs="Times New Roman" w:hint="eastAsia"/>
                <w:sz w:val="24"/>
                <w:szCs w:val="24"/>
              </w:rPr>
              <w:t>只</w:t>
            </w: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處理無直系親屬之服務對象，以減低倫理及法律風險。</w:t>
            </w:r>
          </w:p>
          <w:p w14:paraId="6B97023A" w14:textId="77777777" w:rsidR="009F7D44" w:rsidRP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C9033" w14:textId="77777777" w:rsidR="009F7D44" w:rsidRDefault="009F7D44" w:rsidP="009F7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周佩波將於會後與法律事務部跟進相關法律框架事宜，並與</w:t>
            </w:r>
            <w:proofErr w:type="gramStart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財務部就財務</w:t>
            </w:r>
            <w:proofErr w:type="gramEnd"/>
            <w:r w:rsidRPr="009F7D44">
              <w:rPr>
                <w:rFonts w:ascii="Times New Roman" w:hAnsi="Times New Roman" w:cs="Times New Roman" w:hint="eastAsia"/>
                <w:sz w:val="24"/>
                <w:szCs w:val="24"/>
              </w:rPr>
              <w:t>安排展開初步討論。</w:t>
            </w:r>
          </w:p>
          <w:p w14:paraId="5C91F626" w14:textId="5F53A857" w:rsidR="009A6528" w:rsidRPr="009F7D44" w:rsidRDefault="009A6528" w:rsidP="009F7D4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A01BD" w:rsidRPr="00885102" w14:paraId="332F656C" w14:textId="77777777" w:rsidTr="007737F1">
        <w:tc>
          <w:tcPr>
            <w:tcW w:w="989" w:type="dxa"/>
          </w:tcPr>
          <w:p w14:paraId="1A90179B" w14:textId="3C52B966" w:rsidR="001A01BD" w:rsidRPr="009F7D44" w:rsidRDefault="001A01BD" w:rsidP="00DF55AD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9F7D44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797" w:type="dxa"/>
          </w:tcPr>
          <w:p w14:paraId="08C08A43" w14:textId="77777777" w:rsidR="001A01BD" w:rsidRPr="00885102" w:rsidRDefault="001A01BD" w:rsidP="00FA34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分工及時間表</w:t>
            </w:r>
          </w:p>
          <w:p w14:paraId="24E653F3" w14:textId="666F2F0B" w:rsidR="00AD499E" w:rsidRPr="00885102" w:rsidRDefault="00AD499E" w:rsidP="00FA34A5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1A01BD" w:rsidRPr="00E42F18" w14:paraId="16137609" w14:textId="77777777" w:rsidTr="007737F1">
        <w:tc>
          <w:tcPr>
            <w:tcW w:w="989" w:type="dxa"/>
          </w:tcPr>
          <w:p w14:paraId="5DBB86FF" w14:textId="77777777" w:rsidR="001A01BD" w:rsidRPr="009F7D44" w:rsidRDefault="001A01BD" w:rsidP="00DF55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7" w:type="dxa"/>
          </w:tcPr>
          <w:p w14:paraId="131956A6" w14:textId="78ACED44" w:rsidR="001A01BD" w:rsidRDefault="002032C3" w:rsidP="00FA3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2C3">
              <w:rPr>
                <w:rFonts w:ascii="Times New Roman" w:hAnsi="Times New Roman" w:cs="Times New Roman" w:hint="eastAsia"/>
                <w:sz w:val="24"/>
                <w:szCs w:val="24"/>
              </w:rPr>
              <w:t>以下為工作小組成員於本次會議後的後續工作安排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2032C3">
              <w:rPr>
                <w:rFonts w:ascii="Times New Roman" w:hAnsi="Times New Roman" w:cs="Times New Roman" w:hint="eastAsia"/>
                <w:sz w:val="24"/>
                <w:szCs w:val="24"/>
              </w:rPr>
              <w:t>已按時序及負責人分類列述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部分已於上文提及）</w:t>
            </w:r>
            <w:r w:rsidRPr="00885102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14:paraId="2390EFB5" w14:textId="4695D765" w:rsidR="00AB0C95" w:rsidRDefault="00AB0C95" w:rsidP="00FA34A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5528"/>
              <w:gridCol w:w="1593"/>
            </w:tblGrid>
            <w:tr w:rsidR="00AB0C95" w:rsidRPr="00AB0C95" w14:paraId="3BB8D599" w14:textId="77777777" w:rsidTr="005B0934">
              <w:tc>
                <w:tcPr>
                  <w:tcW w:w="1450" w:type="dxa"/>
                </w:tcPr>
                <w:p w14:paraId="520C8CCD" w14:textId="5CF04742" w:rsidR="00AB0C95" w:rsidRPr="00AB0C95" w:rsidRDefault="00AB0C95" w:rsidP="005B093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b/>
                      <w:bCs/>
                      <w:sz w:val="24"/>
                      <w:szCs w:val="24"/>
                    </w:rPr>
                    <w:t>時間</w:t>
                  </w:r>
                </w:p>
              </w:tc>
              <w:tc>
                <w:tcPr>
                  <w:tcW w:w="5528" w:type="dxa"/>
                </w:tcPr>
                <w:p w14:paraId="468273DB" w14:textId="3E930518" w:rsidR="00AB0C95" w:rsidRPr="00AB0C95" w:rsidRDefault="00AB0C95" w:rsidP="005B093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b/>
                      <w:bCs/>
                      <w:sz w:val="24"/>
                      <w:szCs w:val="24"/>
                    </w:rPr>
                    <w:t>項目</w:t>
                  </w:r>
                </w:p>
              </w:tc>
              <w:tc>
                <w:tcPr>
                  <w:tcW w:w="1593" w:type="dxa"/>
                </w:tcPr>
                <w:p w14:paraId="15A37B2B" w14:textId="7AF1EBDB" w:rsidR="00AB0C95" w:rsidRPr="00AB0C95" w:rsidRDefault="00AB0C95" w:rsidP="005B093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b/>
                      <w:bCs/>
                      <w:sz w:val="24"/>
                      <w:szCs w:val="24"/>
                    </w:rPr>
                    <w:t>負責同工</w:t>
                  </w:r>
                </w:p>
              </w:tc>
            </w:tr>
            <w:tr w:rsidR="005B0934" w:rsidRPr="00AB0C95" w14:paraId="2BC0597D" w14:textId="77777777" w:rsidTr="005B0934">
              <w:trPr>
                <w:trHeight w:val="687"/>
              </w:trPr>
              <w:tc>
                <w:tcPr>
                  <w:tcW w:w="1450" w:type="dxa"/>
                  <w:vMerge w:val="restart"/>
                </w:tcPr>
                <w:p w14:paraId="3CE7122B" w14:textId="28CB0C54" w:rsidR="005B0934" w:rsidRPr="00AB0C95" w:rsidRDefault="005B0934" w:rsidP="00284379">
                  <w:pP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此會議後</w:t>
                  </w:r>
                </w:p>
              </w:tc>
              <w:tc>
                <w:tcPr>
                  <w:tcW w:w="5528" w:type="dxa"/>
                </w:tcPr>
                <w:p w14:paraId="4B59EB35" w14:textId="77777777" w:rsidR="005B0934" w:rsidRDefault="00E83152" w:rsidP="00E83152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與</w:t>
                  </w:r>
                  <w:r w:rsidRPr="00E83152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陳慕寧將與周佩波協作，檢視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安寧服務部</w:t>
                  </w:r>
                  <w:r w:rsidRPr="00E83152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現有元素並共同擬定部門的敘事方向</w:t>
                  </w:r>
                </w:p>
                <w:p w14:paraId="56F22F76" w14:textId="09FDF884" w:rsidR="00F12F36" w:rsidRDefault="00F12F36" w:rsidP="00E83152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2F3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彙整福利協會安寧</w:t>
                  </w:r>
                  <w:proofErr w:type="gramStart"/>
                  <w:r w:rsidRPr="00F12F3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服務部於公關</w:t>
                  </w:r>
                  <w:proofErr w:type="gramEnd"/>
                  <w:r w:rsidRPr="00F12F3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觸及層面的相關數據</w:t>
                  </w:r>
                </w:p>
                <w:p w14:paraId="07B0CF52" w14:textId="044BC66C" w:rsidR="00E83152" w:rsidRPr="00E83152" w:rsidRDefault="00E83152" w:rsidP="00E83152">
                  <w:pPr>
                    <w:pStyle w:val="ListParagraph"/>
                    <w:ind w:left="31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250E2C25" w14:textId="3A5AF334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黃珮琳</w:t>
                  </w:r>
                </w:p>
              </w:tc>
            </w:tr>
            <w:tr w:rsidR="005B0934" w:rsidRPr="00AB0C95" w14:paraId="2F5CF2D7" w14:textId="77777777" w:rsidTr="005B0934">
              <w:trPr>
                <w:trHeight w:val="687"/>
              </w:trPr>
              <w:tc>
                <w:tcPr>
                  <w:tcW w:w="1450" w:type="dxa"/>
                  <w:vMerge/>
                </w:tcPr>
                <w:p w14:paraId="6B90DAE3" w14:textId="77777777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14:paraId="04E63AE7" w14:textId="4CBC4BCE" w:rsidR="007737F1" w:rsidRDefault="007737F1" w:rsidP="005B0934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探討</w:t>
                  </w:r>
                  <w:proofErr w:type="spellStart"/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DEAtHFEST</w:t>
                  </w:r>
                  <w:proofErr w:type="spellEnd"/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說生道死</w:t>
                  </w:r>
                  <w:proofErr w:type="gramEnd"/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- </w:t>
                  </w:r>
                  <w:r w:rsidRPr="007737F1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生死教育及培訓工作是否有調整收費及加強推廣的空間</w:t>
                  </w:r>
                </w:p>
                <w:p w14:paraId="31F1C80F" w14:textId="29999B44" w:rsidR="005B0934" w:rsidRDefault="005B0934" w:rsidP="005B0934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彙整</w:t>
                  </w:r>
                  <w:proofErr w:type="gramStart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殯</w:t>
                  </w:r>
                  <w:proofErr w:type="gramEnd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儀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SPO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營運預算表，提升預測準確度及清晰度</w:t>
                  </w:r>
                </w:p>
                <w:p w14:paraId="2F2A218A" w14:textId="097B22CF" w:rsidR="005B0934" w:rsidRPr="005B0934" w:rsidRDefault="005B0934" w:rsidP="005B0934">
                  <w:pPr>
                    <w:ind w:left="33"/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71296F2F" w14:textId="77777777" w:rsidR="005B0934" w:rsidRDefault="005B0934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周</w:t>
                  </w:r>
                  <w:r w:rsidRPr="009F7D4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佩波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及</w:t>
                  </w:r>
                </w:p>
                <w:p w14:paraId="7E557456" w14:textId="463773CF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陳慕寧</w:t>
                  </w:r>
                </w:p>
              </w:tc>
            </w:tr>
            <w:tr w:rsidR="005B0934" w:rsidRPr="00AB0C95" w14:paraId="4233E2E4" w14:textId="77777777" w:rsidTr="005B0934">
              <w:trPr>
                <w:trHeight w:val="687"/>
              </w:trPr>
              <w:tc>
                <w:tcPr>
                  <w:tcW w:w="1450" w:type="dxa"/>
                  <w:vMerge/>
                </w:tcPr>
                <w:p w14:paraId="66267D73" w14:textId="77777777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14:paraId="6A4F4A80" w14:textId="77777777" w:rsidR="005B0934" w:rsidRDefault="005B0934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與法律</w:t>
                  </w:r>
                  <w:proofErr w:type="gramStart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事務部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及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財務</w:t>
                  </w:r>
                  <w:proofErr w:type="gramEnd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部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討論，以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跟進後事安排平台相關法律框架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及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有關財務安排</w:t>
                  </w:r>
                </w:p>
                <w:p w14:paraId="6DA7801D" w14:textId="3361C8EC" w:rsidR="005B0934" w:rsidRPr="005B0934" w:rsidRDefault="005B0934" w:rsidP="005B0934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4DEAC27C" w14:textId="709170F4" w:rsidR="005B0934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周</w:t>
                  </w:r>
                  <w:r w:rsidRPr="009F7D4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佩波</w:t>
                  </w:r>
                </w:p>
              </w:tc>
            </w:tr>
            <w:tr w:rsidR="005B0934" w:rsidRPr="00AB0C95" w14:paraId="390F0C3F" w14:textId="77777777" w:rsidTr="005B0934">
              <w:trPr>
                <w:trHeight w:val="687"/>
              </w:trPr>
              <w:tc>
                <w:tcPr>
                  <w:tcW w:w="1450" w:type="dxa"/>
                  <w:vMerge/>
                </w:tcPr>
                <w:p w14:paraId="19B73053" w14:textId="77777777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14:paraId="23C5A4CA" w14:textId="7242B344" w:rsidR="005B0934" w:rsidRPr="005B0934" w:rsidRDefault="00284379" w:rsidP="005B0934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整合不同牌照（如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A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、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B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、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C</w:t>
                  </w:r>
                  <w:r w:rsidRPr="0028437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牌）的功能限制</w:t>
                  </w:r>
                </w:p>
              </w:tc>
              <w:tc>
                <w:tcPr>
                  <w:tcW w:w="1593" w:type="dxa"/>
                </w:tcPr>
                <w:p w14:paraId="704F9B8B" w14:textId="5862A583" w:rsidR="005B0934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陳慕寧</w:t>
                  </w:r>
                </w:p>
              </w:tc>
            </w:tr>
            <w:tr w:rsidR="005B0934" w:rsidRPr="00AB0C95" w14:paraId="1B30341B" w14:textId="77777777" w:rsidTr="005B0934">
              <w:tc>
                <w:tcPr>
                  <w:tcW w:w="1450" w:type="dxa"/>
                  <w:vMerge w:val="restart"/>
                </w:tcPr>
                <w:p w14:paraId="0D35E648" w14:textId="4BFC073A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2025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月上旬</w:t>
                  </w:r>
                </w:p>
              </w:tc>
              <w:tc>
                <w:tcPr>
                  <w:tcW w:w="5528" w:type="dxa"/>
                </w:tcPr>
                <w:p w14:paraId="1966DC12" w14:textId="77777777" w:rsidR="005B0934" w:rsidRDefault="005B0934" w:rsidP="00AB0C95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進行「顧客需求分析（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customer needs analysis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）」，將與相熟高級公務員、海外朋友溝通，了解不同族群對安寧服務的實際需求</w:t>
                  </w:r>
                </w:p>
                <w:p w14:paraId="2F806F49" w14:textId="77777777" w:rsidR="005B0934" w:rsidRDefault="005B0934" w:rsidP="00AB0C95">
                  <w:pPr>
                    <w:pStyle w:val="ListParagraph"/>
                    <w:ind w:left="31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8EBC880" w14:textId="77777777" w:rsidR="005B0934" w:rsidRDefault="005B0934" w:rsidP="00AB0C95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探討舉辦與</w:t>
                  </w:r>
                  <w:proofErr w:type="gramStart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堂校社</w:t>
                  </w:r>
                  <w:proofErr w:type="gramEnd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服的焦點小組（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focus group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），以了解其需求並作初步宣傳</w:t>
                  </w:r>
                </w:p>
                <w:p w14:paraId="654F3497" w14:textId="77777777" w:rsidR="005B0934" w:rsidRPr="00AB0C95" w:rsidRDefault="005B0934" w:rsidP="00AB0C9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965D54A" w14:textId="77777777" w:rsidR="005B0934" w:rsidRDefault="005B0934" w:rsidP="005B0934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分析市場上的主要服務提供者（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market players analysis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</w:t>
                  </w:r>
                </w:p>
                <w:p w14:paraId="67D011C6" w14:textId="3BEAFC76" w:rsidR="005B0934" w:rsidRPr="005B0934" w:rsidRDefault="005B0934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3446CCEB" w14:textId="42D68A25" w:rsidR="005B0934" w:rsidRPr="00AB0C95" w:rsidRDefault="005B0934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周</w:t>
                  </w:r>
                  <w:r w:rsidRPr="009F7D4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佩波</w:t>
                  </w:r>
                </w:p>
              </w:tc>
            </w:tr>
            <w:tr w:rsidR="005B0934" w:rsidRPr="00AB0C95" w14:paraId="7B7077F5" w14:textId="77777777" w:rsidTr="005B0934">
              <w:tc>
                <w:tcPr>
                  <w:tcW w:w="1450" w:type="dxa"/>
                  <w:vMerge/>
                </w:tcPr>
                <w:p w14:paraId="6404D154" w14:textId="77777777" w:rsidR="005B0934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14:paraId="5A5F573F" w14:textId="77777777" w:rsidR="005B0934" w:rsidRPr="005B0934" w:rsidRDefault="005B0934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向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周佩波推薦曾接觸過的</w:t>
                  </w:r>
                  <w:proofErr w:type="gramStart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殯</w:t>
                  </w:r>
                  <w:proofErr w:type="gramEnd"/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儀公司或相關單位，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予其</w:t>
                  </w:r>
                  <w:r w:rsidRPr="005B093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作進一步聯繫</w:t>
                  </w:r>
                </w:p>
                <w:p w14:paraId="27DF7389" w14:textId="32EA6BCF" w:rsidR="005B0934" w:rsidRPr="005B0934" w:rsidRDefault="005B0934" w:rsidP="005B0934">
                  <w:pPr>
                    <w:pStyle w:val="ListParagraph"/>
                    <w:ind w:left="317"/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42601773" w14:textId="558F9073" w:rsidR="005B0934" w:rsidRDefault="005B0934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與會者</w:t>
                  </w:r>
                </w:p>
              </w:tc>
            </w:tr>
            <w:tr w:rsidR="00AB0C95" w:rsidRPr="00AB0C95" w14:paraId="686757BB" w14:textId="77777777" w:rsidTr="005B0934">
              <w:tc>
                <w:tcPr>
                  <w:tcW w:w="1450" w:type="dxa"/>
                </w:tcPr>
                <w:p w14:paraId="234BB665" w14:textId="5C26AC5A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2025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528" w:type="dxa"/>
                </w:tcPr>
                <w:p w14:paraId="6F092514" w14:textId="77777777" w:rsidR="00AB0C95" w:rsidRDefault="00AB0C95" w:rsidP="00AB0C95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探討策略性合作機會（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Partnership Exploration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），包括保險公司、銀行（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wealth management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、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financial planning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部門）、醫療機構（如浸會醫院）等潛在夥伴</w:t>
                  </w:r>
                </w:p>
                <w:p w14:paraId="48188342" w14:textId="77777777" w:rsidR="00AB0C95" w:rsidRPr="00AB0C95" w:rsidRDefault="00AB0C95" w:rsidP="00AB0C95">
                  <w:pPr>
                    <w:ind w:left="3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2C34CC0" w14:textId="77777777" w:rsidR="00AB0C95" w:rsidRDefault="00AB0C95" w:rsidP="00AB0C95">
                  <w:pPr>
                    <w:pStyle w:val="ListParagraph"/>
                    <w:numPr>
                      <w:ilvl w:val="0"/>
                      <w:numId w:val="21"/>
                    </w:numPr>
                    <w:ind w:left="317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制定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Project E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之初步商業計劃書（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business plan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）及財務預測（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financial projection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），包括團隊構建方案、種子資金來源、潛在外部協作方式，並將會預備一份初步文件（約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10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頁以內）供主席審核其可行性，包括其法律責任及可持續性</w:t>
                  </w:r>
                </w:p>
                <w:p w14:paraId="55D7B8F7" w14:textId="77777777" w:rsidR="00284379" w:rsidRDefault="00284379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705CB07" w14:textId="77777777" w:rsidR="00284379" w:rsidRDefault="00284379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1359591" w14:textId="77777777" w:rsidR="00284379" w:rsidRDefault="00284379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AA0F837" w14:textId="7CCA115D" w:rsidR="00284379" w:rsidRPr="005B0934" w:rsidRDefault="00284379" w:rsidP="005B093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7C5F204E" w14:textId="58F31105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周</w:t>
                  </w:r>
                  <w:r w:rsidRPr="009F7D44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佩波</w:t>
                  </w:r>
                </w:p>
              </w:tc>
            </w:tr>
            <w:tr w:rsidR="00AB0C95" w:rsidRPr="00AB0C95" w14:paraId="33F1A8FD" w14:textId="77777777" w:rsidTr="005B0934">
              <w:trPr>
                <w:trHeight w:val="247"/>
              </w:trPr>
              <w:tc>
                <w:tcPr>
                  <w:tcW w:w="1450" w:type="dxa"/>
                  <w:vMerge w:val="restart"/>
                </w:tcPr>
                <w:p w14:paraId="5F9D8376" w14:textId="0C6D9E14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lastRenderedPageBreak/>
                    <w:t>2025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528" w:type="dxa"/>
                </w:tcPr>
                <w:p w14:paraId="7CE2CB5E" w14:textId="77777777" w:rsidR="00AB0C95" w:rsidRDefault="00AB0C95" w:rsidP="00AB0C9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向食環</w:t>
                  </w:r>
                  <w:proofErr w:type="gramEnd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署遞交申請牌照，為</w:t>
                  </w:r>
                  <w:proofErr w:type="gramStart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殯</w:t>
                  </w:r>
                  <w:proofErr w:type="gramEnd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儀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SPO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項目鋪路</w:t>
                  </w:r>
                </w:p>
                <w:p w14:paraId="38C9409A" w14:textId="2F77C05B" w:rsidR="005B0934" w:rsidRPr="00AB0C95" w:rsidRDefault="005B0934" w:rsidP="00AB0C9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1BC01BA7" w14:textId="14C72B76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陳慕寧</w:t>
                  </w:r>
                </w:p>
              </w:tc>
            </w:tr>
            <w:tr w:rsidR="00AB0C95" w:rsidRPr="00AB0C95" w14:paraId="25F5EF39" w14:textId="77777777" w:rsidTr="005B0934">
              <w:trPr>
                <w:trHeight w:val="660"/>
              </w:trPr>
              <w:tc>
                <w:tcPr>
                  <w:tcW w:w="1450" w:type="dxa"/>
                  <w:vMerge/>
                </w:tcPr>
                <w:p w14:paraId="3AA3CC9F" w14:textId="77777777" w:rsidR="00AB0C95" w:rsidRDefault="00AB0C95" w:rsidP="00AB0C9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14:paraId="38EDBFB6" w14:textId="5B4B4F0D" w:rsidR="005B0934" w:rsidRPr="00AB0C95" w:rsidRDefault="00AB0C95" w:rsidP="00AB0C9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向執行委員會</w:t>
                  </w:r>
                  <w:proofErr w:type="gramStart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匯</w:t>
                  </w:r>
                  <w:proofErr w:type="gramEnd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報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Project E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初步商業計劃書，爭取初步同意，以便進一步爭取及整合所需資源</w:t>
                  </w:r>
                </w:p>
              </w:tc>
              <w:tc>
                <w:tcPr>
                  <w:tcW w:w="1593" w:type="dxa"/>
                </w:tcPr>
                <w:p w14:paraId="13E07BB1" w14:textId="15F206C6" w:rsidR="00AB0C95" w:rsidRDefault="00AB0C95" w:rsidP="00AB0C9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主席</w:t>
                  </w:r>
                </w:p>
              </w:tc>
            </w:tr>
            <w:tr w:rsidR="00AB0C95" w:rsidRPr="00AB0C95" w14:paraId="66D8B4BA" w14:textId="77777777" w:rsidTr="005B0934">
              <w:tc>
                <w:tcPr>
                  <w:tcW w:w="1450" w:type="dxa"/>
                </w:tcPr>
                <w:p w14:paraId="58ECCB26" w14:textId="69789E45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2026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528" w:type="dxa"/>
                </w:tcPr>
                <w:p w14:paraId="5A4A0877" w14:textId="77777777" w:rsidR="00AB0C95" w:rsidRDefault="00AB0C95" w:rsidP="00AB0C9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殯</w:t>
                  </w:r>
                  <w:proofErr w:type="gramEnd"/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儀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SPO</w:t>
                  </w: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正式投入服務</w:t>
                  </w:r>
                </w:p>
                <w:p w14:paraId="0F3A5776" w14:textId="734DA8B5" w:rsidR="007737F1" w:rsidRPr="00AB0C95" w:rsidRDefault="007737F1" w:rsidP="00AB0C95">
                  <w:pPr>
                    <w:jc w:val="both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593" w:type="dxa"/>
                </w:tcPr>
                <w:p w14:paraId="4C39F780" w14:textId="6441B24C" w:rsidR="00AB0C95" w:rsidRPr="00AB0C95" w:rsidRDefault="00AB0C95" w:rsidP="00FA34A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C95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陳慕寧</w:t>
                  </w:r>
                </w:p>
              </w:tc>
            </w:tr>
          </w:tbl>
          <w:p w14:paraId="7E36C43E" w14:textId="6D732070" w:rsidR="00AB0C95" w:rsidRPr="00A71609" w:rsidRDefault="00AB0C95" w:rsidP="005B0934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A01BD" w:rsidRPr="00885102" w14:paraId="5825482B" w14:textId="77777777" w:rsidTr="007737F1">
        <w:tc>
          <w:tcPr>
            <w:tcW w:w="989" w:type="dxa"/>
          </w:tcPr>
          <w:p w14:paraId="0B350DF7" w14:textId="77777777" w:rsidR="00284379" w:rsidRDefault="00284379" w:rsidP="00DF5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7C9EAB" w14:textId="068A85A0" w:rsidR="001A01BD" w:rsidRPr="00885102" w:rsidRDefault="001A01BD" w:rsidP="00DF55AD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97" w:type="dxa"/>
          </w:tcPr>
          <w:p w14:paraId="50CA9387" w14:textId="77777777" w:rsidR="00284379" w:rsidRDefault="00284379" w:rsidP="00FA34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6B07B" w14:textId="4FB7948C" w:rsidR="001A01BD" w:rsidRPr="00885102" w:rsidRDefault="001A01BD" w:rsidP="00FA34A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下次會議日期</w:t>
            </w:r>
          </w:p>
          <w:p w14:paraId="18DFAE10" w14:textId="39785A7A" w:rsidR="00AD499E" w:rsidRPr="00885102" w:rsidRDefault="00AD499E" w:rsidP="00FA34A5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1A01BD" w:rsidRPr="00E42F18" w14:paraId="4D2CD0FF" w14:textId="77777777" w:rsidTr="007737F1">
        <w:tc>
          <w:tcPr>
            <w:tcW w:w="989" w:type="dxa"/>
          </w:tcPr>
          <w:p w14:paraId="0FF16D3E" w14:textId="77777777" w:rsidR="001A01BD" w:rsidRPr="001A01BD" w:rsidRDefault="001A01BD" w:rsidP="00DF55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7" w:type="dxa"/>
          </w:tcPr>
          <w:p w14:paraId="0F530B11" w14:textId="77777777" w:rsidR="00AD499E" w:rsidRDefault="00885102" w:rsidP="00FA3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sz w:val="24"/>
                <w:szCs w:val="24"/>
              </w:rPr>
              <w:t>秘書處稍後通知與會者下次會議日期、時間及地點。</w:t>
            </w:r>
            <w:r w:rsidRPr="0088510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3BF8A709" w14:textId="237CE77D" w:rsidR="00885102" w:rsidRPr="00A71609" w:rsidRDefault="00885102" w:rsidP="00FA34A5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A01BD" w:rsidRPr="00885102" w14:paraId="5BC200F2" w14:textId="77777777" w:rsidTr="007737F1">
        <w:tc>
          <w:tcPr>
            <w:tcW w:w="989" w:type="dxa"/>
          </w:tcPr>
          <w:p w14:paraId="2948633A" w14:textId="3CAB2A44" w:rsidR="001A01BD" w:rsidRPr="00885102" w:rsidRDefault="001A01BD" w:rsidP="00DF55AD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97" w:type="dxa"/>
          </w:tcPr>
          <w:p w14:paraId="2FFF713F" w14:textId="549B8001" w:rsidR="001A01BD" w:rsidRPr="00885102" w:rsidRDefault="001A01BD" w:rsidP="001A01BD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8851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散會祈禱</w:t>
            </w:r>
          </w:p>
          <w:p w14:paraId="59137D7D" w14:textId="62591D43" w:rsidR="001A01BD" w:rsidRPr="00885102" w:rsidRDefault="001A01BD" w:rsidP="001A01BD">
            <w:pPr>
              <w:jc w:val="both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</w:p>
        </w:tc>
      </w:tr>
      <w:tr w:rsidR="001A01BD" w:rsidRPr="00E42F18" w14:paraId="43503FBF" w14:textId="77777777" w:rsidTr="007737F1">
        <w:tc>
          <w:tcPr>
            <w:tcW w:w="989" w:type="dxa"/>
          </w:tcPr>
          <w:p w14:paraId="6057B08F" w14:textId="77777777" w:rsidR="001A01BD" w:rsidRPr="00E42F18" w:rsidRDefault="001A01BD" w:rsidP="00DF55AD">
            <w:pPr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</w:p>
        </w:tc>
        <w:tc>
          <w:tcPr>
            <w:tcW w:w="8797" w:type="dxa"/>
          </w:tcPr>
          <w:p w14:paraId="340A4824" w14:textId="77777777" w:rsidR="001A01BD" w:rsidRDefault="001A01BD" w:rsidP="00FA3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01BD">
              <w:rPr>
                <w:rFonts w:ascii="Times New Roman" w:hAnsi="Times New Roman" w:cs="Times New Roman" w:hint="eastAsia"/>
                <w:sz w:val="24"/>
                <w:szCs w:val="24"/>
              </w:rPr>
              <w:t>與會者同</w:t>
            </w:r>
            <w:proofErr w:type="gramStart"/>
            <w:r w:rsidRPr="001A01BD">
              <w:rPr>
                <w:rFonts w:ascii="Times New Roman" w:hAnsi="Times New Roman" w:cs="Times New Roman" w:hint="eastAsia"/>
                <w:sz w:val="24"/>
                <w:szCs w:val="24"/>
              </w:rPr>
              <w:t>唸</w:t>
            </w:r>
            <w:proofErr w:type="gramEnd"/>
            <w:r w:rsidRPr="001A01BD">
              <w:rPr>
                <w:rFonts w:ascii="Times New Roman" w:hAnsi="Times New Roman" w:cs="Times New Roman" w:hint="eastAsia"/>
                <w:sz w:val="24"/>
                <w:szCs w:val="24"/>
              </w:rPr>
              <w:t>聖保羅祝文結束會議。</w:t>
            </w:r>
          </w:p>
          <w:p w14:paraId="1F1D54F0" w14:textId="711C0E27" w:rsidR="001A01BD" w:rsidRPr="00A71609" w:rsidRDefault="001A01BD" w:rsidP="00FA34A5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351E154D" w14:textId="77777777" w:rsidR="00FD00E5" w:rsidRPr="00E42F18" w:rsidRDefault="00FD00E5" w:rsidP="007C1553">
      <w:pPr>
        <w:spacing w:after="0"/>
        <w:rPr>
          <w:rFonts w:ascii="Times New Roman" w:hAnsi="Times New Roman" w:cs="Times New Roman"/>
          <w:color w:val="EE0000"/>
          <w:sz w:val="24"/>
          <w:szCs w:val="24"/>
        </w:rPr>
      </w:pPr>
    </w:p>
    <w:sectPr w:rsidR="00FD00E5" w:rsidRPr="00E42F18" w:rsidSect="00A0494E">
      <w:headerReference w:type="default" r:id="rId11"/>
      <w:footerReference w:type="default" r:id="rId12"/>
      <w:pgSz w:w="11906" w:h="16838"/>
      <w:pgMar w:top="993" w:right="1077" w:bottom="284" w:left="107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48134" w14:textId="77777777" w:rsidR="0039557F" w:rsidRDefault="0039557F" w:rsidP="00B76B5A">
      <w:pPr>
        <w:spacing w:after="0" w:line="240" w:lineRule="auto"/>
      </w:pPr>
      <w:r>
        <w:separator/>
      </w:r>
    </w:p>
  </w:endnote>
  <w:endnote w:type="continuationSeparator" w:id="0">
    <w:p w14:paraId="37EA0674" w14:textId="77777777" w:rsidR="0039557F" w:rsidRDefault="0039557F" w:rsidP="00B7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000699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285001C" w14:textId="77777777" w:rsidR="00B76B5A" w:rsidRPr="00B76B5A" w:rsidRDefault="00B76B5A">
        <w:pPr>
          <w:pStyle w:val="Footer"/>
          <w:jc w:val="center"/>
          <w:rPr>
            <w:sz w:val="20"/>
          </w:rPr>
        </w:pPr>
        <w:r w:rsidRPr="00B76B5A">
          <w:rPr>
            <w:sz w:val="20"/>
          </w:rPr>
          <w:fldChar w:fldCharType="begin"/>
        </w:r>
        <w:r w:rsidRPr="00B76B5A">
          <w:rPr>
            <w:sz w:val="20"/>
          </w:rPr>
          <w:instrText>PAGE   \* MERGEFORMAT</w:instrText>
        </w:r>
        <w:r w:rsidRPr="00B76B5A">
          <w:rPr>
            <w:sz w:val="20"/>
          </w:rPr>
          <w:fldChar w:fldCharType="separate"/>
        </w:r>
        <w:r w:rsidRPr="00B76B5A">
          <w:rPr>
            <w:sz w:val="20"/>
            <w:lang w:val="zh-TW"/>
          </w:rPr>
          <w:t>2</w:t>
        </w:r>
        <w:r w:rsidRPr="00B76B5A">
          <w:rPr>
            <w:sz w:val="20"/>
          </w:rPr>
          <w:fldChar w:fldCharType="end"/>
        </w:r>
        <w:r w:rsidRPr="00B76B5A">
          <w:rPr>
            <w:sz w:val="20"/>
          </w:rPr>
          <w:t>/</w:t>
        </w:r>
        <w:r w:rsidRPr="00B76B5A">
          <w:rPr>
            <w:sz w:val="20"/>
          </w:rPr>
          <w:fldChar w:fldCharType="begin"/>
        </w:r>
        <w:r w:rsidRPr="00B76B5A">
          <w:rPr>
            <w:sz w:val="20"/>
          </w:rPr>
          <w:instrText xml:space="preserve"> NUMPAGES  \* Arabic  \* MERGEFORMAT </w:instrText>
        </w:r>
        <w:r w:rsidRPr="00B76B5A">
          <w:rPr>
            <w:sz w:val="20"/>
          </w:rPr>
          <w:fldChar w:fldCharType="separate"/>
        </w:r>
        <w:r w:rsidRPr="00B76B5A">
          <w:rPr>
            <w:noProof/>
            <w:sz w:val="20"/>
          </w:rPr>
          <w:t>2</w:t>
        </w:r>
        <w:r w:rsidRPr="00B76B5A">
          <w:rPr>
            <w:sz w:val="20"/>
          </w:rPr>
          <w:fldChar w:fldCharType="end"/>
        </w:r>
      </w:p>
    </w:sdtContent>
  </w:sdt>
  <w:p w14:paraId="1361EF64" w14:textId="77777777" w:rsidR="00B76B5A" w:rsidRDefault="00B7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BBC2F" w14:textId="77777777" w:rsidR="0039557F" w:rsidRDefault="0039557F" w:rsidP="00B76B5A">
      <w:pPr>
        <w:spacing w:after="0" w:line="240" w:lineRule="auto"/>
      </w:pPr>
      <w:r>
        <w:separator/>
      </w:r>
    </w:p>
  </w:footnote>
  <w:footnote w:type="continuationSeparator" w:id="0">
    <w:p w14:paraId="03BC508F" w14:textId="77777777" w:rsidR="0039557F" w:rsidRDefault="0039557F" w:rsidP="00B7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35785" w14:textId="77777777" w:rsidR="00A51018" w:rsidRPr="00A51018" w:rsidRDefault="00A51018" w:rsidP="00A51018">
    <w:pPr>
      <w:pStyle w:val="Header"/>
      <w:jc w:val="right"/>
      <w:rPr>
        <w:color w:val="FF0000"/>
      </w:rPr>
    </w:pPr>
    <w:r>
      <w:rPr>
        <w:rFonts w:hint="eastAsia"/>
        <w:color w:val="FF0000"/>
      </w:rPr>
      <w:t>機密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1D25"/>
    <w:multiLevelType w:val="hybridMultilevel"/>
    <w:tmpl w:val="4B6A97FC"/>
    <w:lvl w:ilvl="0" w:tplc="F3CEA6B0">
      <w:start w:val="1"/>
      <w:numFmt w:val="decimal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" w15:restartNumberingAfterBreak="0">
    <w:nsid w:val="07265A2B"/>
    <w:multiLevelType w:val="hybridMultilevel"/>
    <w:tmpl w:val="DE5ACD1E"/>
    <w:lvl w:ilvl="0" w:tplc="9160943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DFB"/>
    <w:multiLevelType w:val="hybridMultilevel"/>
    <w:tmpl w:val="6CB2800A"/>
    <w:lvl w:ilvl="0" w:tplc="9160943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47754"/>
    <w:multiLevelType w:val="hybridMultilevel"/>
    <w:tmpl w:val="1C1841B8"/>
    <w:lvl w:ilvl="0" w:tplc="A44430A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3028C5F2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617E"/>
    <w:multiLevelType w:val="hybridMultilevel"/>
    <w:tmpl w:val="CFBABEF6"/>
    <w:lvl w:ilvl="0" w:tplc="A44430A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5BC8"/>
    <w:multiLevelType w:val="hybridMultilevel"/>
    <w:tmpl w:val="2FD2E7E2"/>
    <w:lvl w:ilvl="0" w:tplc="8A4E6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D119D"/>
    <w:multiLevelType w:val="hybridMultilevel"/>
    <w:tmpl w:val="493E472E"/>
    <w:lvl w:ilvl="0" w:tplc="C3E4B3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5A1737"/>
    <w:multiLevelType w:val="hybridMultilevel"/>
    <w:tmpl w:val="2FD2E7E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26500"/>
    <w:multiLevelType w:val="hybridMultilevel"/>
    <w:tmpl w:val="B824B7E2"/>
    <w:lvl w:ilvl="0" w:tplc="814E23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590FF2"/>
    <w:multiLevelType w:val="hybridMultilevel"/>
    <w:tmpl w:val="E1423950"/>
    <w:lvl w:ilvl="0" w:tplc="E70074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A1197"/>
    <w:multiLevelType w:val="hybridMultilevel"/>
    <w:tmpl w:val="E054A470"/>
    <w:lvl w:ilvl="0" w:tplc="03460380">
      <w:start w:val="1"/>
      <w:numFmt w:val="decimal"/>
      <w:lvlText w:val="(%1)"/>
      <w:lvlJc w:val="left"/>
      <w:pPr>
        <w:ind w:left="720" w:hanging="360"/>
      </w:pPr>
      <w:rPr>
        <w:rFonts w:hint="eastAsia"/>
        <w:color w:val="auto"/>
      </w:rPr>
    </w:lvl>
    <w:lvl w:ilvl="1" w:tplc="3028C5F2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A75EC"/>
    <w:multiLevelType w:val="hybridMultilevel"/>
    <w:tmpl w:val="299492F2"/>
    <w:lvl w:ilvl="0" w:tplc="8A4E6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B089E"/>
    <w:multiLevelType w:val="hybridMultilevel"/>
    <w:tmpl w:val="A40016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C1A02"/>
    <w:multiLevelType w:val="hybridMultilevel"/>
    <w:tmpl w:val="18FCCC18"/>
    <w:lvl w:ilvl="0" w:tplc="8A4E6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94727"/>
    <w:multiLevelType w:val="hybridMultilevel"/>
    <w:tmpl w:val="C7103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62C82"/>
    <w:multiLevelType w:val="hybridMultilevel"/>
    <w:tmpl w:val="DE805F4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01AB5"/>
    <w:multiLevelType w:val="hybridMultilevel"/>
    <w:tmpl w:val="2FD2E7E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10DAB"/>
    <w:multiLevelType w:val="hybridMultilevel"/>
    <w:tmpl w:val="4DF4F4F2"/>
    <w:lvl w:ilvl="0" w:tplc="8196F834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3028C5F2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F4795"/>
    <w:multiLevelType w:val="hybridMultilevel"/>
    <w:tmpl w:val="5D56307A"/>
    <w:lvl w:ilvl="0" w:tplc="8A4E6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57D8"/>
    <w:multiLevelType w:val="hybridMultilevel"/>
    <w:tmpl w:val="87706F64"/>
    <w:lvl w:ilvl="0" w:tplc="1DBE85BC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AB4F4B"/>
    <w:multiLevelType w:val="hybridMultilevel"/>
    <w:tmpl w:val="2FD2E7E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A4D9A"/>
    <w:multiLevelType w:val="hybridMultilevel"/>
    <w:tmpl w:val="4DF4F4F2"/>
    <w:lvl w:ilvl="0" w:tplc="8196F834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3028C5F2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96184">
    <w:abstractNumId w:val="14"/>
  </w:num>
  <w:num w:numId="2" w16cid:durableId="531266809">
    <w:abstractNumId w:val="3"/>
  </w:num>
  <w:num w:numId="3" w16cid:durableId="420640971">
    <w:abstractNumId w:val="10"/>
  </w:num>
  <w:num w:numId="4" w16cid:durableId="1117330611">
    <w:abstractNumId w:val="4"/>
  </w:num>
  <w:num w:numId="5" w16cid:durableId="26219321">
    <w:abstractNumId w:val="21"/>
  </w:num>
  <w:num w:numId="6" w16cid:durableId="1290405026">
    <w:abstractNumId w:val="17"/>
  </w:num>
  <w:num w:numId="7" w16cid:durableId="681736623">
    <w:abstractNumId w:val="6"/>
  </w:num>
  <w:num w:numId="8" w16cid:durableId="1275282867">
    <w:abstractNumId w:val="8"/>
  </w:num>
  <w:num w:numId="9" w16cid:durableId="92017226">
    <w:abstractNumId w:val="19"/>
  </w:num>
  <w:num w:numId="10" w16cid:durableId="1757902115">
    <w:abstractNumId w:val="0"/>
  </w:num>
  <w:num w:numId="11" w16cid:durableId="2078433968">
    <w:abstractNumId w:val="12"/>
  </w:num>
  <w:num w:numId="12" w16cid:durableId="930118005">
    <w:abstractNumId w:val="5"/>
  </w:num>
  <w:num w:numId="13" w16cid:durableId="1536696048">
    <w:abstractNumId w:val="7"/>
  </w:num>
  <w:num w:numId="14" w16cid:durableId="269943274">
    <w:abstractNumId w:val="18"/>
  </w:num>
  <w:num w:numId="15" w16cid:durableId="1367632398">
    <w:abstractNumId w:val="16"/>
  </w:num>
  <w:num w:numId="16" w16cid:durableId="386688373">
    <w:abstractNumId w:val="9"/>
  </w:num>
  <w:num w:numId="17" w16cid:durableId="1830898813">
    <w:abstractNumId w:val="13"/>
  </w:num>
  <w:num w:numId="18" w16cid:durableId="866718624">
    <w:abstractNumId w:val="11"/>
  </w:num>
  <w:num w:numId="19" w16cid:durableId="885144334">
    <w:abstractNumId w:val="20"/>
  </w:num>
  <w:num w:numId="20" w16cid:durableId="1587037464">
    <w:abstractNumId w:val="15"/>
  </w:num>
  <w:num w:numId="21" w16cid:durableId="589389429">
    <w:abstractNumId w:val="1"/>
  </w:num>
  <w:num w:numId="22" w16cid:durableId="2024092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E5"/>
    <w:rsid w:val="00010560"/>
    <w:rsid w:val="00012F42"/>
    <w:rsid w:val="000139D2"/>
    <w:rsid w:val="00026C7F"/>
    <w:rsid w:val="00032061"/>
    <w:rsid w:val="00042F6E"/>
    <w:rsid w:val="000521A8"/>
    <w:rsid w:val="00071073"/>
    <w:rsid w:val="000723AA"/>
    <w:rsid w:val="000A0272"/>
    <w:rsid w:val="000B0BAA"/>
    <w:rsid w:val="000B4D38"/>
    <w:rsid w:val="000C52F7"/>
    <w:rsid w:val="000C57ED"/>
    <w:rsid w:val="00115917"/>
    <w:rsid w:val="00123220"/>
    <w:rsid w:val="00141C26"/>
    <w:rsid w:val="00154C83"/>
    <w:rsid w:val="0017788E"/>
    <w:rsid w:val="001A01BD"/>
    <w:rsid w:val="001B0710"/>
    <w:rsid w:val="001B22DE"/>
    <w:rsid w:val="001B3A91"/>
    <w:rsid w:val="001B66B1"/>
    <w:rsid w:val="001C6624"/>
    <w:rsid w:val="001D7898"/>
    <w:rsid w:val="001E11FA"/>
    <w:rsid w:val="0020030C"/>
    <w:rsid w:val="002032C3"/>
    <w:rsid w:val="00203C2D"/>
    <w:rsid w:val="002111DC"/>
    <w:rsid w:val="00250D22"/>
    <w:rsid w:val="00261504"/>
    <w:rsid w:val="002700FF"/>
    <w:rsid w:val="00284379"/>
    <w:rsid w:val="00294065"/>
    <w:rsid w:val="002B6981"/>
    <w:rsid w:val="002D10CC"/>
    <w:rsid w:val="002D3ADD"/>
    <w:rsid w:val="002D3EDC"/>
    <w:rsid w:val="002E4653"/>
    <w:rsid w:val="002E6F47"/>
    <w:rsid w:val="00323AB0"/>
    <w:rsid w:val="003274E3"/>
    <w:rsid w:val="00335D17"/>
    <w:rsid w:val="00345196"/>
    <w:rsid w:val="00346B30"/>
    <w:rsid w:val="003565E1"/>
    <w:rsid w:val="00360FF4"/>
    <w:rsid w:val="00365532"/>
    <w:rsid w:val="00366878"/>
    <w:rsid w:val="00372664"/>
    <w:rsid w:val="00375599"/>
    <w:rsid w:val="0037641F"/>
    <w:rsid w:val="0039557F"/>
    <w:rsid w:val="00395C79"/>
    <w:rsid w:val="003A6BE2"/>
    <w:rsid w:val="003C05A6"/>
    <w:rsid w:val="003C310F"/>
    <w:rsid w:val="003E19DD"/>
    <w:rsid w:val="003E24C9"/>
    <w:rsid w:val="003E66D6"/>
    <w:rsid w:val="003E6C38"/>
    <w:rsid w:val="003F1092"/>
    <w:rsid w:val="003F1B23"/>
    <w:rsid w:val="003F7815"/>
    <w:rsid w:val="00410C02"/>
    <w:rsid w:val="00411044"/>
    <w:rsid w:val="00421108"/>
    <w:rsid w:val="00423FE8"/>
    <w:rsid w:val="00434EC5"/>
    <w:rsid w:val="00491731"/>
    <w:rsid w:val="00496EB2"/>
    <w:rsid w:val="004E06E3"/>
    <w:rsid w:val="00504ED7"/>
    <w:rsid w:val="005059D7"/>
    <w:rsid w:val="00533066"/>
    <w:rsid w:val="005420C0"/>
    <w:rsid w:val="005476BE"/>
    <w:rsid w:val="00561360"/>
    <w:rsid w:val="00563B40"/>
    <w:rsid w:val="00567A5D"/>
    <w:rsid w:val="00572427"/>
    <w:rsid w:val="005A2C1A"/>
    <w:rsid w:val="005A2EC1"/>
    <w:rsid w:val="005A7105"/>
    <w:rsid w:val="005B0934"/>
    <w:rsid w:val="005B7B98"/>
    <w:rsid w:val="005D5E66"/>
    <w:rsid w:val="005E3B15"/>
    <w:rsid w:val="00601175"/>
    <w:rsid w:val="00602740"/>
    <w:rsid w:val="00602C95"/>
    <w:rsid w:val="00603C01"/>
    <w:rsid w:val="00607DDC"/>
    <w:rsid w:val="00620F39"/>
    <w:rsid w:val="006725EC"/>
    <w:rsid w:val="006851A5"/>
    <w:rsid w:val="006B7198"/>
    <w:rsid w:val="006C3761"/>
    <w:rsid w:val="006E19CD"/>
    <w:rsid w:val="006F3053"/>
    <w:rsid w:val="00702B6C"/>
    <w:rsid w:val="0072314E"/>
    <w:rsid w:val="00745ED7"/>
    <w:rsid w:val="007511BC"/>
    <w:rsid w:val="00762557"/>
    <w:rsid w:val="007737F1"/>
    <w:rsid w:val="00792D6C"/>
    <w:rsid w:val="007C1553"/>
    <w:rsid w:val="007C4EEC"/>
    <w:rsid w:val="007D19FD"/>
    <w:rsid w:val="007E004F"/>
    <w:rsid w:val="007F3D96"/>
    <w:rsid w:val="00800C01"/>
    <w:rsid w:val="0081212C"/>
    <w:rsid w:val="00875860"/>
    <w:rsid w:val="00885102"/>
    <w:rsid w:val="00891981"/>
    <w:rsid w:val="0089720D"/>
    <w:rsid w:val="008A60E2"/>
    <w:rsid w:val="008B377A"/>
    <w:rsid w:val="008B63F3"/>
    <w:rsid w:val="008E0044"/>
    <w:rsid w:val="008E09C1"/>
    <w:rsid w:val="008E0E4B"/>
    <w:rsid w:val="008E3173"/>
    <w:rsid w:val="008F0A55"/>
    <w:rsid w:val="00906320"/>
    <w:rsid w:val="00914C9C"/>
    <w:rsid w:val="00925C40"/>
    <w:rsid w:val="009372B3"/>
    <w:rsid w:val="00960740"/>
    <w:rsid w:val="009768C7"/>
    <w:rsid w:val="009A117C"/>
    <w:rsid w:val="009A6528"/>
    <w:rsid w:val="009B0C0B"/>
    <w:rsid w:val="009B3F22"/>
    <w:rsid w:val="009D3183"/>
    <w:rsid w:val="009D4DA4"/>
    <w:rsid w:val="009D5F96"/>
    <w:rsid w:val="009F5535"/>
    <w:rsid w:val="009F7D03"/>
    <w:rsid w:val="009F7D44"/>
    <w:rsid w:val="00A0494E"/>
    <w:rsid w:val="00A16556"/>
    <w:rsid w:val="00A30BFF"/>
    <w:rsid w:val="00A40EB6"/>
    <w:rsid w:val="00A41CEE"/>
    <w:rsid w:val="00A51018"/>
    <w:rsid w:val="00A653BD"/>
    <w:rsid w:val="00A71609"/>
    <w:rsid w:val="00A84E87"/>
    <w:rsid w:val="00A917ED"/>
    <w:rsid w:val="00A91ADE"/>
    <w:rsid w:val="00AA02FD"/>
    <w:rsid w:val="00AA282C"/>
    <w:rsid w:val="00AA4775"/>
    <w:rsid w:val="00AA4AD4"/>
    <w:rsid w:val="00AB0C95"/>
    <w:rsid w:val="00AD499E"/>
    <w:rsid w:val="00AE0F63"/>
    <w:rsid w:val="00AE290A"/>
    <w:rsid w:val="00B06625"/>
    <w:rsid w:val="00B23AE9"/>
    <w:rsid w:val="00B26DD1"/>
    <w:rsid w:val="00B34B82"/>
    <w:rsid w:val="00B4737B"/>
    <w:rsid w:val="00B55043"/>
    <w:rsid w:val="00B552C9"/>
    <w:rsid w:val="00B579AE"/>
    <w:rsid w:val="00B63060"/>
    <w:rsid w:val="00B74376"/>
    <w:rsid w:val="00B74E35"/>
    <w:rsid w:val="00B76B5A"/>
    <w:rsid w:val="00B931C2"/>
    <w:rsid w:val="00BA4274"/>
    <w:rsid w:val="00BB0CF9"/>
    <w:rsid w:val="00BC58F1"/>
    <w:rsid w:val="00BC7E79"/>
    <w:rsid w:val="00BD3D78"/>
    <w:rsid w:val="00BE7F76"/>
    <w:rsid w:val="00BF173A"/>
    <w:rsid w:val="00C07535"/>
    <w:rsid w:val="00C20FF8"/>
    <w:rsid w:val="00C35B27"/>
    <w:rsid w:val="00C61198"/>
    <w:rsid w:val="00C80CA3"/>
    <w:rsid w:val="00CE46E5"/>
    <w:rsid w:val="00CF22BD"/>
    <w:rsid w:val="00D0541F"/>
    <w:rsid w:val="00D45E7C"/>
    <w:rsid w:val="00D71AC1"/>
    <w:rsid w:val="00DA03CA"/>
    <w:rsid w:val="00DA23F8"/>
    <w:rsid w:val="00DB33AF"/>
    <w:rsid w:val="00DD498A"/>
    <w:rsid w:val="00DE1991"/>
    <w:rsid w:val="00DE7FE3"/>
    <w:rsid w:val="00DF55AD"/>
    <w:rsid w:val="00DF66E1"/>
    <w:rsid w:val="00DF68AC"/>
    <w:rsid w:val="00E220A7"/>
    <w:rsid w:val="00E26CCE"/>
    <w:rsid w:val="00E35D36"/>
    <w:rsid w:val="00E42F18"/>
    <w:rsid w:val="00E46A78"/>
    <w:rsid w:val="00E50D86"/>
    <w:rsid w:val="00E83152"/>
    <w:rsid w:val="00E946DE"/>
    <w:rsid w:val="00E94E1B"/>
    <w:rsid w:val="00E95F5F"/>
    <w:rsid w:val="00EA1D72"/>
    <w:rsid w:val="00EA62FC"/>
    <w:rsid w:val="00EB35C7"/>
    <w:rsid w:val="00EB73CD"/>
    <w:rsid w:val="00ED40CC"/>
    <w:rsid w:val="00ED4CCC"/>
    <w:rsid w:val="00ED54A3"/>
    <w:rsid w:val="00F12505"/>
    <w:rsid w:val="00F12F36"/>
    <w:rsid w:val="00F17170"/>
    <w:rsid w:val="00F209E0"/>
    <w:rsid w:val="00F9275C"/>
    <w:rsid w:val="00FA34A5"/>
    <w:rsid w:val="00FA68AC"/>
    <w:rsid w:val="00FC4211"/>
    <w:rsid w:val="00FD00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681BD"/>
  <w15:chartTrackingRefBased/>
  <w15:docId w15:val="{C06AA555-FD02-48FA-81DD-493902DB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5A"/>
  </w:style>
  <w:style w:type="paragraph" w:styleId="Footer">
    <w:name w:val="footer"/>
    <w:basedOn w:val="Normal"/>
    <w:link w:val="FooterChar"/>
    <w:uiPriority w:val="99"/>
    <w:unhideWhenUsed/>
    <w:rsid w:val="00B76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5A"/>
  </w:style>
  <w:style w:type="paragraph" w:styleId="BalloonText">
    <w:name w:val="Balloon Text"/>
    <w:basedOn w:val="Normal"/>
    <w:link w:val="BalloonTextChar"/>
    <w:uiPriority w:val="99"/>
    <w:semiHidden/>
    <w:unhideWhenUsed/>
    <w:rsid w:val="00E220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91A10B1F5B741812FED21893C2018" ma:contentTypeVersion="16" ma:contentTypeDescription="Create a new document." ma:contentTypeScope="" ma:versionID="307cad528b2f922e51a390ddcbb27f90">
  <xsd:schema xmlns:xsd="http://www.w3.org/2001/XMLSchema" xmlns:xs="http://www.w3.org/2001/XMLSchema" xmlns:p="http://schemas.microsoft.com/office/2006/metadata/properties" xmlns:ns2="b978093d-3c7f-4db3-ad60-4b0f91915483" xmlns:ns3="568f27e7-428e-4cfd-8f7b-d79cc91ae9d6" targetNamespace="http://schemas.microsoft.com/office/2006/metadata/properties" ma:root="true" ma:fieldsID="8e6d563aa3ff6b634995d6d1a4c5e460" ns2:_="" ns3:_="">
    <xsd:import namespace="b978093d-3c7f-4db3-ad60-4b0f91915483"/>
    <xsd:import namespace="568f27e7-428e-4cfd-8f7b-d79cc91ae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8093d-3c7f-4db3-ad60-4b0f91915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3af5e4-8b7f-41fb-9d62-189d642b4a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27e7-428e-4cfd-8f7b-d79cc91ae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7101b4d-db26-421f-acec-244b07131a38}" ma:internalName="TaxCatchAll" ma:showField="CatchAllData" ma:web="568f27e7-428e-4cfd-8f7b-d79cc91ae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78093d-3c7f-4db3-ad60-4b0f91915483">
      <Terms xmlns="http://schemas.microsoft.com/office/infopath/2007/PartnerControls"/>
    </lcf76f155ced4ddcb4097134ff3c332f>
    <TaxCatchAll xmlns="568f27e7-428e-4cfd-8f7b-d79cc91ae9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0B49-CEE0-484C-846D-ABBBD4E38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8093d-3c7f-4db3-ad60-4b0f91915483"/>
    <ds:schemaRef ds:uri="568f27e7-428e-4cfd-8f7b-d79cc91ae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C8B04-260D-45E7-95FD-BEFB7EC291C0}">
  <ds:schemaRefs>
    <ds:schemaRef ds:uri="http://schemas.microsoft.com/office/2006/metadata/properties"/>
    <ds:schemaRef ds:uri="http://schemas.microsoft.com/office/infopath/2007/PartnerControls"/>
    <ds:schemaRef ds:uri="b978093d-3c7f-4db3-ad60-4b0f91915483"/>
    <ds:schemaRef ds:uri="568f27e7-428e-4cfd-8f7b-d79cc91ae9d6"/>
  </ds:schemaRefs>
</ds:datastoreItem>
</file>

<file path=customXml/itemProps3.xml><?xml version="1.0" encoding="utf-8"?>
<ds:datastoreItem xmlns:ds="http://schemas.openxmlformats.org/officeDocument/2006/customXml" ds:itemID="{5A90253C-8DA4-4DB2-928D-D86DF3A6F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D35BCE-A558-44CD-AC47-AF588CFF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Cheung</dc:creator>
  <cp:keywords/>
  <dc:description/>
  <cp:lastModifiedBy>Florence Lee Sin Yee</cp:lastModifiedBy>
  <cp:revision>68</cp:revision>
  <cp:lastPrinted>2024-10-14T08:30:00Z</cp:lastPrinted>
  <dcterms:created xsi:type="dcterms:W3CDTF">2025-08-05T03:48:00Z</dcterms:created>
  <dcterms:modified xsi:type="dcterms:W3CDTF">2025-08-05T09:01:00Z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9c057e59-28b6-4907-a7a7-5e04cec1c07a</vt:lpwstr>
  </property>
  <property fmtid="{D5CDD505-2E9C-101B-9397-08002B2CF9AE}" pid="3" name="ContentTypeId">
    <vt:lpwstr>0x010100E8591A10B1F5B741812FED21893C2018</vt:lpwstr>
  </property>
  <property fmtid="{D5CDD505-2E9C-101B-9397-08002B2CF9AE}" pid="4" name="MediaServiceImageTags">
    <vt:lpwstr/>
  </property>
</Properties>
</file>