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jc w:val="center"/>
      </w:pPr>
      <w:r>
        <w:rPr>
          <w:rFonts w:ascii="Arial" w:cs="Arial" w:eastAsia="Arial" w:hAnsi="Arial"/>
          <w:b/>
          <w:bCs/>
          <w:color w:val="1a3c6e"/>
          <w:sz w:val="52"/>
          <w:szCs w:val="52"/>
        </w:rPr>
        <w:t xml:space="preserve">CAHIER DES CHARGES</w:t>
      </w:r>
    </w:p>
    <w:p>
      <w:pPr>
        <w:spacing w:after="60" w:before="60"/>
      </w:pPr>
      <w:r>
        <w:t xml:space="preserve"/>
      </w:r>
    </w:p>
    <w:p>
      <w:pPr>
        <w:pBdr>
          <w:bottom w:val="single" w:color="E67E22" w:sz="12" w:space="6"/>
        </w:pBdr>
        <w:jc w:val="center"/>
      </w:pPr>
      <w:r>
        <w:rPr>
          <w:b/>
          <w:bCs/>
          <w:color w:val="2E75B6"/>
          <w:sz w:val="32"/>
          <w:szCs w:val="32"/>
        </w:rPr>
        <w:t xml:space="preserve">Plateforme Numérique de l'Institut Supérieur de Commerce</w:t>
      </w:r>
    </w:p>
    <w:p>
      <w:pPr>
        <w:spacing w:after="60" w:before="60"/>
      </w:pPr>
      <w:r>
        <w:t xml:space="preserve"/>
      </w:r>
    </w:p>
    <w:p>
      <w:pPr>
        <w:jc w:val="center"/>
      </w:pPr>
      <w:r>
        <w:rPr>
          <w:i/>
          <w:iCs/>
          <w:color w:val="555555"/>
          <w:sz w:val="28"/>
          <w:szCs w:val="28"/>
        </w:rPr>
        <w:t xml:space="preserve">ISC Mbujimayi — Application E-Learning &amp; Gestion Académique</w:t>
      </w:r>
    </w:p>
    <w:p>
      <w:pPr>
        <w:spacing w:after="180" w:before="1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b/>
                <w:bCs/>
                <w:color w:val="1a3c6e"/>
                <w:sz w:val="20"/>
                <w:szCs w:val="20"/>
              </w:rPr>
              <w:t xml:space="preserve">Version</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v1.0 — Mai 2026</w:t>
            </w:r>
          </w:p>
        </w:tc>
      </w:tr>
      <w:tr>
        <w:tc>
          <w:tcPr>
            <w:tcW w:type="dxa" w:w="24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b/>
                <w:bCs/>
                <w:color w:val="1a3c6e"/>
                <w:sz w:val="20"/>
                <w:szCs w:val="20"/>
              </w:rPr>
              <w:t xml:space="preserve">Client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Institut Supérieur de Commerce de Mbujimayi</w:t>
            </w:r>
          </w:p>
        </w:tc>
      </w:tr>
      <w:tr>
        <w:tc>
          <w:tcPr>
            <w:tcW w:type="dxa" w:w="24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b/>
                <w:bCs/>
                <w:color w:val="1a3c6e"/>
                <w:sz w:val="20"/>
                <w:szCs w:val="20"/>
              </w:rPr>
              <w:t xml:space="preserve">Stack technique</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Next.js 14 + PostgreSQL + Prisma ORM + PWA</w:t>
            </w:r>
          </w:p>
        </w:tc>
      </w:tr>
      <w:tr>
        <w:tc>
          <w:tcPr>
            <w:tcW w:type="dxa" w:w="240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b/>
                <w:bCs/>
                <w:color w:val="1a3c6e"/>
                <w:sz w:val="20"/>
                <w:szCs w:val="20"/>
              </w:rPr>
              <w:t xml:space="preserve">Statut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Document de référence — Mémoire de fin d'études</w:t>
            </w:r>
          </w:p>
        </w:tc>
      </w:tr>
    </w:tbl>
    <w:p>
      <w:pPr>
        <w:spacing w:after="0" w:before="0"/>
      </w:pPr>
      <w:r>
        <w:br w:type="page"/>
      </w:r>
    </w:p>
    <w:p>
      <w:pPr>
        <w:pStyle w:val="Heading1"/>
        <w:pBdr>
          <w:bottom w:val="single" w:color="2E75B6" w:sz="8" w:space="4"/>
        </w:pBdr>
        <w:spacing w:after="200" w:before="400"/>
      </w:pPr>
      <w:r>
        <w:rPr>
          <w:b/>
          <w:bCs/>
          <w:color w:val="1a3c6e"/>
          <w:sz w:val="32"/>
          <w:szCs w:val="32"/>
        </w:rPr>
        <w:t xml:space="preserve">1. PRÉSENTATION DU PROJET</w:t>
      </w:r>
    </w:p>
    <w:p>
      <w:pPr>
        <w:pStyle w:val="Heading2"/>
        <w:spacing w:after="160" w:before="300"/>
      </w:pPr>
      <w:r>
        <w:rPr>
          <w:b/>
          <w:bCs/>
          <w:color w:val="2E75B6"/>
          <w:sz w:val="26"/>
          <w:szCs w:val="26"/>
        </w:rPr>
        <w:t xml:space="preserve">1.1. Contexte et problématique</w:t>
      </w:r>
    </w:p>
    <w:p>
      <w:pPr>
        <w:spacing w:after="80" w:before="80"/>
        <w:jc w:val="both"/>
      </w:pPr>
      <w:r>
        <w:rPr>
          <w:color w:val="2C3E50"/>
          <w:sz w:val="22"/>
          <w:szCs w:val="22"/>
        </w:rPr>
        <w:t xml:space="preserve">L'Institut Supérieur de Commerce (ISC) de Mbujimayi, établissement public d'enseignement supérieur situé dans la province du Kasaï-Oriental en République Démocratique du Congo, fait face à des défis croissants liés à la gestion manuelle de ses processus académiques et administratifs.</w:t>
      </w:r>
    </w:p>
    <w:p>
      <w:pPr>
        <w:spacing w:after="80" w:before="80"/>
        <w:jc w:val="both"/>
      </w:pPr>
      <w:r>
        <w:rPr>
          <w:color w:val="2C3E50"/>
          <w:sz w:val="22"/>
          <w:szCs w:val="22"/>
        </w:rPr>
        <w:t xml:space="preserve">Dans un contexte où les effectifs étudiants sont en constante augmentation, la gestion des inscriptions sur papier, la diffusion des cours en présentiel exclusif, les paiements des frais académiques en espèces et l'absence d'un outil numérique centralisé génèrent des inefficacités, des pertes de données et une expérience dégradée pour les étudiants comme pour le personnel.</w:t>
      </w:r>
    </w:p>
    <w:p>
      <w:pPr>
        <w:spacing w:after="80" w:before="80"/>
        <w:jc w:val="both"/>
      </w:pPr>
      <w:r>
        <w:rPr>
          <w:color w:val="2C3E50"/>
          <w:sz w:val="22"/>
          <w:szCs w:val="22"/>
        </w:rPr>
        <w:t xml:space="preserve">Ce projet vise à concevoir et développer une plateforme numérique complète répondant à l'ensemble de ces problématiques, en s'inspirant des meilleures pratiques des plateformes de référence mondiales telles que Coursera et LinkedIn Learning, tout en l'adaptant au contexte spécifique de l'ISC Mbujimayi.</w:t>
      </w:r>
    </w:p>
    <w:p>
      <w:pPr>
        <w:pStyle w:val="Heading2"/>
        <w:spacing w:after="160" w:before="300"/>
      </w:pPr>
      <w:r>
        <w:rPr>
          <w:b/>
          <w:bCs/>
          <w:color w:val="2E75B6"/>
          <w:sz w:val="26"/>
          <w:szCs w:val="26"/>
        </w:rPr>
        <w:t xml:space="preserve">1.2. Objectifs du projet</w:t>
      </w:r>
    </w:p>
    <w:p>
      <w:pPr>
        <w:pStyle w:val="ListParagraph"/>
        <w:numPr>
          <w:ilvl w:val="0"/>
          <w:numId w:val="2"/>
        </w:numPr>
        <w:spacing w:after="60" w:before="60"/>
      </w:pPr>
      <w:r>
        <w:rPr>
          <w:b/>
          <w:bCs/>
          <w:sz w:val="22"/>
          <w:szCs w:val="22"/>
        </w:rPr>
        <w:t xml:space="preserve">Objectif principal : </w:t>
      </w:r>
      <w:r>
        <w:rPr>
          <w:sz w:val="22"/>
          <w:szCs w:val="22"/>
        </w:rPr>
        <w:t xml:space="preserve">Créer une plateforme numérique centralisée permettant la gestion académique, l'apprentissage en ligne, les paiements mobiles et la communication institutionnelle de l'ISC Mbujimayi.</w:t>
      </w:r>
    </w:p>
    <w:p>
      <w:pPr>
        <w:pStyle w:val="ListParagraph"/>
        <w:numPr>
          <w:ilvl w:val="0"/>
          <w:numId w:val="2"/>
        </w:numPr>
        <w:spacing w:after="60" w:before="60"/>
      </w:pPr>
      <w:r>
        <w:rPr>
          <w:b/>
          <w:bCs/>
          <w:sz w:val="22"/>
          <w:szCs w:val="22"/>
        </w:rPr>
        <w:t xml:space="preserve">Objectifs spécifiques : </w:t>
      </w:r>
      <w:r>
        <w:rPr>
          <w:sz w:val="22"/>
          <w:szCs w:val="22"/>
        </w:rPr>
        <w:t xml:space="preserve"/>
      </w:r>
    </w:p>
    <w:p>
      <w:pPr>
        <w:pStyle w:val="ListParagraph"/>
        <w:numPr>
          <w:ilvl w:val="0"/>
          <w:numId w:val="3"/>
        </w:numPr>
        <w:spacing w:after="60" w:before="60"/>
      </w:pPr>
      <w:r>
        <w:rPr>
          <w:sz w:val="22"/>
          <w:szCs w:val="22"/>
        </w:rPr>
        <w:t xml:space="preserve">Digitaliser le processus d'inscription des étudiants avec validation en ligne par le Service Académique ;</w:t>
      </w:r>
    </w:p>
    <w:p>
      <w:pPr>
        <w:pStyle w:val="ListParagraph"/>
        <w:numPr>
          <w:ilvl w:val="0"/>
          <w:numId w:val="3"/>
        </w:numPr>
        <w:spacing w:after="60" w:before="60"/>
      </w:pPr>
      <w:r>
        <w:rPr>
          <w:sz w:val="22"/>
          <w:szCs w:val="22"/>
        </w:rPr>
        <w:t xml:space="preserve">Offrir un espace e-learning pour la diffusion de cours (vidéos, documents, quiz) ;</w:t>
      </w:r>
    </w:p>
    <w:p>
      <w:pPr>
        <w:pStyle w:val="ListParagraph"/>
        <w:numPr>
          <w:ilvl w:val="0"/>
          <w:numId w:val="3"/>
        </w:numPr>
        <w:spacing w:after="60" w:before="60"/>
      </w:pPr>
      <w:r>
        <w:rPr>
          <w:sz w:val="22"/>
          <w:szCs w:val="22"/>
        </w:rPr>
        <w:t xml:space="preserve">Intégrer un système de paiement des frais académiques via MTN, Airtel et Orange Money ;</w:t>
      </w:r>
    </w:p>
    <w:p>
      <w:pPr>
        <w:pStyle w:val="ListParagraph"/>
        <w:numPr>
          <w:ilvl w:val="0"/>
          <w:numId w:val="3"/>
        </w:numPr>
        <w:spacing w:after="60" w:before="60"/>
      </w:pPr>
      <w:r>
        <w:rPr>
          <w:sz w:val="22"/>
          <w:szCs w:val="22"/>
        </w:rPr>
        <w:t xml:space="preserve">Proposer un chatbot intelligent (FAQ + IA) pour l'accompagnement des utilisateurs ;</w:t>
      </w:r>
    </w:p>
    <w:p>
      <w:pPr>
        <w:pStyle w:val="ListParagraph"/>
        <w:numPr>
          <w:ilvl w:val="0"/>
          <w:numId w:val="3"/>
        </w:numPr>
        <w:spacing w:after="60" w:before="60"/>
      </w:pPr>
      <w:r>
        <w:rPr>
          <w:sz w:val="22"/>
          <w:szCs w:val="22"/>
        </w:rPr>
        <w:t xml:space="preserve">Fournir des tableaux de bord analytiques pour la direction et les services ;</w:t>
      </w:r>
    </w:p>
    <w:p>
      <w:pPr>
        <w:pStyle w:val="ListParagraph"/>
        <w:numPr>
          <w:ilvl w:val="0"/>
          <w:numId w:val="3"/>
        </w:numPr>
        <w:spacing w:after="60" w:before="60"/>
      </w:pPr>
      <w:r>
        <w:rPr>
          <w:sz w:val="22"/>
          <w:szCs w:val="22"/>
        </w:rPr>
        <w:t xml:space="preserve">Garantir l'accessibilité en mode hors-ligne (PWA) pour les zones à faible connectivité.</w:t>
      </w:r>
    </w:p>
    <w:p>
      <w:pPr>
        <w:spacing w:after="60" w:before="60"/>
      </w:pPr>
      <w:r>
        <w:t xml:space="preserve"/>
      </w:r>
    </w:p>
    <w:p>
      <w:pPr>
        <w:pStyle w:val="Heading2"/>
        <w:spacing w:after="160" w:before="300"/>
      </w:pPr>
      <w:r>
        <w:rPr>
          <w:b/>
          <w:bCs/>
          <w:color w:val="2E75B6"/>
          <w:sz w:val="26"/>
          <w:szCs w:val="26"/>
        </w:rPr>
        <w:t xml:space="preserve">1.3. Périmètre du projet</w:t>
      </w:r>
    </w:p>
    <w:p>
      <w:pPr>
        <w:spacing w:after="80" w:before="80"/>
        <w:jc w:val="both"/>
      </w:pPr>
      <w:r>
        <w:rPr>
          <w:color w:val="2C3E50"/>
          <w:sz w:val="22"/>
          <w:szCs w:val="22"/>
        </w:rPr>
        <w:t xml:space="preserve">La plateforme couvre les domaines fonctionnels suivants :</w:t>
      </w:r>
    </w:p>
    <w:p>
      <w:pPr>
        <w:pStyle w:val="ListParagraph"/>
        <w:numPr>
          <w:ilvl w:val="0"/>
          <w:numId w:val="2"/>
        </w:numPr>
        <w:spacing w:after="60" w:before="60"/>
      </w:pPr>
      <w:r>
        <w:rPr>
          <w:b/>
          <w:bCs/>
          <w:sz w:val="22"/>
          <w:szCs w:val="22"/>
        </w:rPr>
        <w:t xml:space="preserve">IN SCOPE : </w:t>
      </w:r>
      <w:r>
        <w:rPr>
          <w:sz w:val="22"/>
          <w:szCs w:val="22"/>
        </w:rPr>
        <w:t xml:space="preserve">Site vitrine public, espace étudiant, espace enseignant, espace administratif, espace direction, module de paiement mobile, chatbot, système de notifications, PWA.</w:t>
      </w:r>
    </w:p>
    <w:p>
      <w:pPr>
        <w:pStyle w:val="ListParagraph"/>
        <w:numPr>
          <w:ilvl w:val="0"/>
          <w:numId w:val="2"/>
        </w:numPr>
        <w:spacing w:after="60" w:before="60"/>
      </w:pPr>
      <w:r>
        <w:rPr>
          <w:b/>
          <w:bCs/>
          <w:sz w:val="22"/>
          <w:szCs w:val="22"/>
        </w:rPr>
        <w:t xml:space="preserve">OUT OF SCOPE : </w:t>
      </w:r>
      <w:r>
        <w:rPr>
          <w:sz w:val="22"/>
          <w:szCs w:val="22"/>
        </w:rPr>
        <w:t xml:space="preserve">Gestion de la paie du personnel, comptabilité générale de l'institution, gestion des infrastructures physiques.</w:t>
      </w:r>
    </w:p>
    <w:p>
      <w:pPr>
        <w:spacing w:after="0" w:before="0"/>
      </w:pPr>
      <w:r>
        <w:br w:type="page"/>
      </w:r>
    </w:p>
    <w:p>
      <w:pPr>
        <w:pStyle w:val="Heading1"/>
        <w:pBdr>
          <w:bottom w:val="single" w:color="2E75B6" w:sz="8" w:space="4"/>
        </w:pBdr>
        <w:spacing w:after="200" w:before="400"/>
      </w:pPr>
      <w:r>
        <w:rPr>
          <w:b/>
          <w:bCs/>
          <w:color w:val="1a3c6e"/>
          <w:sz w:val="32"/>
          <w:szCs w:val="32"/>
        </w:rPr>
        <w:t xml:space="preserve">2. ACTEURS ET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Acteur</w:t>
            </w:r>
          </w:p>
        </w:tc>
        <w:tc>
          <w:tcPr>
            <w:tcW w:type="dxa" w:w="2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Profil</w:t>
            </w:r>
          </w:p>
        </w:tc>
        <w:tc>
          <w:tcPr>
            <w:tcW w:type="dxa" w:w="4526"/>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Rôle dans la plateforme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Étudiant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Utilisateur final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S'inscrit, paie, accède aux cours, passe les évaluations, télécharge son certificat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Enseignant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Producteur de contenu</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Publie cours, vidéos, documents, crée des évaluations, consulte les résultats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Académique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Valide les inscriptions, gère les parcours, génère les rapports pédagogiques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Service Financier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Gestionnaire financier</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Vérifie les paiements, valide les transactions, génère les rapports financiers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Administrateur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Super-utilisateur technique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Gère comptes, rôles, sécurité, sauvegardes, paramètres système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Directeur Général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Décideur</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Consulte les tableaux de bord, statistiques et rapports consolidés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Visiteur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non connecté</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Consulte le site vitrine, les informations de l'ISC et les cours disponibles</w:t>
            </w:r>
          </w:p>
        </w:tc>
      </w:tr>
    </w:tbl>
    <w:p>
      <w:pPr>
        <w:spacing w:after="0" w:before="0"/>
      </w:pPr>
      <w:r>
        <w:br w:type="page"/>
      </w:r>
    </w:p>
    <w:p>
      <w:pPr>
        <w:pStyle w:val="Heading1"/>
        <w:pBdr>
          <w:bottom w:val="single" w:color="2E75B6" w:sz="8" w:space="4"/>
        </w:pBdr>
        <w:spacing w:after="200" w:before="400"/>
      </w:pPr>
      <w:r>
        <w:rPr>
          <w:b/>
          <w:bCs/>
          <w:color w:val="1a3c6e"/>
          <w:sz w:val="32"/>
          <w:szCs w:val="32"/>
        </w:rPr>
        <w:t xml:space="preserve">3. SPÉCIFICATIONS FONCTIONNELLES</w:t>
      </w:r>
    </w:p>
    <w:p>
      <w:pPr>
        <w:pStyle w:val="Heading2"/>
        <w:spacing w:after="160" w:before="300"/>
      </w:pPr>
      <w:r>
        <w:rPr>
          <w:b/>
          <w:bCs/>
          <w:color w:val="2E75B6"/>
          <w:sz w:val="26"/>
          <w:szCs w:val="26"/>
        </w:rPr>
        <w:t xml:space="preserve">3.1. Module Site Vitrine (public)</w:t>
      </w:r>
    </w:p>
    <w:p>
      <w:pPr>
        <w:pStyle w:val="ListParagraph"/>
        <w:numPr>
          <w:ilvl w:val="0"/>
          <w:numId w:val="2"/>
        </w:numPr>
        <w:spacing w:after="60" w:before="60"/>
      </w:pPr>
      <w:r>
        <w:rPr>
          <w:b/>
          <w:bCs/>
          <w:sz w:val="22"/>
          <w:szCs w:val="22"/>
        </w:rPr>
        <w:t xml:space="preserve">Page d'accueil : </w:t>
      </w:r>
      <w:r>
        <w:rPr>
          <w:sz w:val="22"/>
          <w:szCs w:val="22"/>
        </w:rPr>
        <w:t xml:space="preserve">Présentation de l'ISC, slogan, call-to-action (S'inscrire / Se connecter) ;</w:t>
      </w:r>
    </w:p>
    <w:p>
      <w:pPr>
        <w:pStyle w:val="ListParagraph"/>
        <w:numPr>
          <w:ilvl w:val="0"/>
          <w:numId w:val="2"/>
        </w:numPr>
        <w:spacing w:after="60" w:before="60"/>
      </w:pPr>
      <w:r>
        <w:rPr>
          <w:b/>
          <w:bCs/>
          <w:sz w:val="22"/>
          <w:szCs w:val="22"/>
        </w:rPr>
        <w:t xml:space="preserve">À propos : </w:t>
      </w:r>
      <w:r>
        <w:rPr>
          <w:sz w:val="22"/>
          <w:szCs w:val="22"/>
        </w:rPr>
        <w:t xml:space="preserve">Historique, mission, organigramme interactif, équipe dirigeante ;</w:t>
      </w:r>
    </w:p>
    <w:p>
      <w:pPr>
        <w:pStyle w:val="ListParagraph"/>
        <w:numPr>
          <w:ilvl w:val="0"/>
          <w:numId w:val="2"/>
        </w:numPr>
        <w:spacing w:after="60" w:before="60"/>
      </w:pPr>
      <w:r>
        <w:rPr>
          <w:b/>
          <w:bCs/>
          <w:sz w:val="22"/>
          <w:szCs w:val="22"/>
        </w:rPr>
        <w:t xml:space="preserve">Filières &amp; programmes : </w:t>
      </w:r>
      <w:r>
        <w:rPr>
          <w:sz w:val="22"/>
          <w:szCs w:val="22"/>
        </w:rPr>
        <w:t xml:space="preserve">Liste des filières avec descriptifs et débouchés professionnels ;</w:t>
      </w:r>
    </w:p>
    <w:p>
      <w:pPr>
        <w:pStyle w:val="ListParagraph"/>
        <w:numPr>
          <w:ilvl w:val="0"/>
          <w:numId w:val="2"/>
        </w:numPr>
        <w:spacing w:after="60" w:before="60"/>
      </w:pPr>
      <w:r>
        <w:rPr>
          <w:b/>
          <w:bCs/>
          <w:sz w:val="22"/>
          <w:szCs w:val="22"/>
        </w:rPr>
        <w:t xml:space="preserve">Actualités / Blog : </w:t>
      </w:r>
      <w:r>
        <w:rPr>
          <w:sz w:val="22"/>
          <w:szCs w:val="22"/>
        </w:rPr>
        <w:t xml:space="preserve">Publications institutionnelles, événements, communiqués ;</w:t>
      </w:r>
    </w:p>
    <w:p>
      <w:pPr>
        <w:pStyle w:val="ListParagraph"/>
        <w:numPr>
          <w:ilvl w:val="0"/>
          <w:numId w:val="2"/>
        </w:numPr>
        <w:spacing w:after="60" w:before="60"/>
      </w:pPr>
      <w:r>
        <w:rPr>
          <w:b/>
          <w:bCs/>
          <w:sz w:val="22"/>
          <w:szCs w:val="22"/>
        </w:rPr>
        <w:t xml:space="preserve">Contact &amp; FAQ : </w:t>
      </w:r>
      <w:r>
        <w:rPr>
          <w:sz w:val="22"/>
          <w:szCs w:val="22"/>
        </w:rPr>
        <w:t xml:space="preserve">Formulaire de contact, chatbot FAQ, localisation Google Maps ;</w:t>
      </w:r>
    </w:p>
    <w:p>
      <w:pPr>
        <w:pStyle w:val="ListParagraph"/>
        <w:numPr>
          <w:ilvl w:val="0"/>
          <w:numId w:val="2"/>
        </w:numPr>
        <w:spacing w:after="60" w:before="60"/>
      </w:pPr>
      <w:r>
        <w:rPr>
          <w:b/>
          <w:bCs/>
          <w:sz w:val="22"/>
          <w:szCs w:val="22"/>
        </w:rPr>
        <w:t xml:space="preserve">Page de connexion/inscription : </w:t>
      </w:r>
      <w:r>
        <w:rPr>
          <w:sz w:val="22"/>
          <w:szCs w:val="22"/>
        </w:rPr>
        <w:t xml:space="preserve">Accès sécurisé avec authentification JWT + OAuth Google.</w:t>
      </w:r>
    </w:p>
    <w:p>
      <w:pPr>
        <w:pStyle w:val="Heading2"/>
        <w:spacing w:after="160" w:before="300"/>
      </w:pPr>
      <w:r>
        <w:rPr>
          <w:b/>
          <w:bCs/>
          <w:color w:val="2E75B6"/>
          <w:sz w:val="26"/>
          <w:szCs w:val="26"/>
        </w:rPr>
        <w:t xml:space="preserve">3.2. Module Inscription</w:t>
      </w:r>
    </w:p>
    <w:p>
      <w:pPr>
        <w:pStyle w:val="ListParagraph"/>
        <w:numPr>
          <w:ilvl w:val="0"/>
          <w:numId w:val="2"/>
        </w:numPr>
        <w:spacing w:after="60" w:before="60"/>
      </w:pPr>
      <w:r>
        <w:rPr>
          <w:b/>
          <w:bCs/>
          <w:sz w:val="22"/>
          <w:szCs w:val="22"/>
        </w:rPr>
        <w:t xml:space="preserve">Formulaire public : </w:t>
      </w:r>
      <w:r>
        <w:rPr>
          <w:sz w:val="22"/>
          <w:szCs w:val="22"/>
        </w:rPr>
        <w:t xml:space="preserve">Informations personnelles, choix de filière, téléchargement des pièces justificatives ;</w:t>
      </w:r>
    </w:p>
    <w:p>
      <w:pPr>
        <w:pStyle w:val="ListParagraph"/>
        <w:numPr>
          <w:ilvl w:val="0"/>
          <w:numId w:val="2"/>
        </w:numPr>
        <w:spacing w:after="60" w:before="60"/>
      </w:pPr>
      <w:r>
        <w:rPr>
          <w:b/>
          <w:bCs/>
          <w:sz w:val="22"/>
          <w:szCs w:val="22"/>
        </w:rPr>
        <w:t xml:space="preserve">Validation académique : </w:t>
      </w:r>
      <w:r>
        <w:rPr>
          <w:sz w:val="22"/>
          <w:szCs w:val="22"/>
        </w:rPr>
        <w:t xml:space="preserve">Tableau de bord Service Académique avec workflow d'approbation/rejet ;</w:t>
      </w:r>
    </w:p>
    <w:p>
      <w:pPr>
        <w:pStyle w:val="ListParagraph"/>
        <w:numPr>
          <w:ilvl w:val="0"/>
          <w:numId w:val="2"/>
        </w:numPr>
        <w:spacing w:after="60" w:before="60"/>
      </w:pPr>
      <w:r>
        <w:rPr>
          <w:b/>
          <w:bCs/>
          <w:sz w:val="22"/>
          <w:szCs w:val="22"/>
        </w:rPr>
        <w:t xml:space="preserve">Numéro étudiant : </w:t>
      </w:r>
      <w:r>
        <w:rPr>
          <w:sz w:val="22"/>
          <w:szCs w:val="22"/>
        </w:rPr>
        <w:t xml:space="preserve">Génération automatique lors de la validation ;</w:t>
      </w:r>
    </w:p>
    <w:p>
      <w:pPr>
        <w:pStyle w:val="ListParagraph"/>
        <w:numPr>
          <w:ilvl w:val="0"/>
          <w:numId w:val="2"/>
        </w:numPr>
        <w:spacing w:after="60" w:before="60"/>
      </w:pPr>
      <w:r>
        <w:rPr>
          <w:b/>
          <w:bCs/>
          <w:sz w:val="22"/>
          <w:szCs w:val="22"/>
        </w:rPr>
        <w:t xml:space="preserve">Notification : </w:t>
      </w:r>
      <w:r>
        <w:rPr>
          <w:sz w:val="22"/>
          <w:szCs w:val="22"/>
        </w:rPr>
        <w:t xml:space="preserve">Email + SMS + notification push (PWA) à chaque étape du processus ;</w:t>
      </w:r>
    </w:p>
    <w:p>
      <w:pPr>
        <w:pStyle w:val="ListParagraph"/>
        <w:numPr>
          <w:ilvl w:val="0"/>
          <w:numId w:val="2"/>
        </w:numPr>
        <w:spacing w:after="60" w:before="60"/>
      </w:pPr>
      <w:r>
        <w:rPr>
          <w:b/>
          <w:bCs/>
          <w:sz w:val="22"/>
          <w:szCs w:val="22"/>
        </w:rPr>
        <w:t xml:space="preserve">Dossier numérique : </w:t>
      </w:r>
      <w:r>
        <w:rPr>
          <w:sz w:val="22"/>
          <w:szCs w:val="22"/>
        </w:rPr>
        <w:t xml:space="preserve">Archivage automatique des pièces téléchargées par étudiant.</w:t>
      </w:r>
    </w:p>
    <w:p>
      <w:pPr>
        <w:pStyle w:val="Heading2"/>
        <w:spacing w:after="160" w:before="300"/>
      </w:pPr>
      <w:r>
        <w:rPr>
          <w:b/>
          <w:bCs/>
          <w:color w:val="2E75B6"/>
          <w:sz w:val="26"/>
          <w:szCs w:val="26"/>
        </w:rPr>
        <w:t xml:space="preserve">3.3. Module E-Learning</w:t>
      </w:r>
    </w:p>
    <w:p>
      <w:pPr>
        <w:pStyle w:val="ListParagraph"/>
        <w:numPr>
          <w:ilvl w:val="0"/>
          <w:numId w:val="2"/>
        </w:numPr>
        <w:spacing w:after="60" w:before="60"/>
      </w:pPr>
      <w:r>
        <w:rPr>
          <w:b/>
          <w:bCs/>
          <w:sz w:val="22"/>
          <w:szCs w:val="22"/>
        </w:rPr>
        <w:t xml:space="preserve">Catalogue de cours : </w:t>
      </w:r>
      <w:r>
        <w:rPr>
          <w:sz w:val="22"/>
          <w:szCs w:val="22"/>
        </w:rPr>
        <w:t xml:space="preserve">Organisation par filière, niveau et enseignant, avec recherche full-text ;</w:t>
      </w:r>
    </w:p>
    <w:p>
      <w:pPr>
        <w:pStyle w:val="ListParagraph"/>
        <w:numPr>
          <w:ilvl w:val="0"/>
          <w:numId w:val="2"/>
        </w:numPr>
        <w:spacing w:after="60" w:before="60"/>
      </w:pPr>
      <w:r>
        <w:rPr>
          <w:b/>
          <w:bCs/>
          <w:sz w:val="22"/>
          <w:szCs w:val="22"/>
        </w:rPr>
        <w:t xml:space="preserve">Contenu cours : </w:t>
      </w:r>
      <w:r>
        <w:rPr>
          <w:sz w:val="22"/>
          <w:szCs w:val="22"/>
        </w:rPr>
        <w:t xml:space="preserve">Vidéos (lecture avec player intégré), PDF, présentations, ressources téléchargeables ;</w:t>
      </w:r>
    </w:p>
    <w:p>
      <w:pPr>
        <w:pStyle w:val="ListParagraph"/>
        <w:numPr>
          <w:ilvl w:val="0"/>
          <w:numId w:val="2"/>
        </w:numPr>
        <w:spacing w:after="60" w:before="60"/>
      </w:pPr>
      <w:r>
        <w:rPr>
          <w:b/>
          <w:bCs/>
          <w:sz w:val="22"/>
          <w:szCs w:val="22"/>
        </w:rPr>
        <w:t xml:space="preserve">Modules &amp; chapitres : </w:t>
      </w:r>
      <w:r>
        <w:rPr>
          <w:sz w:val="22"/>
          <w:szCs w:val="22"/>
        </w:rPr>
        <w:t xml:space="preserve">Structure hiérarchique — Cours &gt; Modules &gt; Chapitres ;</w:t>
      </w:r>
    </w:p>
    <w:p>
      <w:pPr>
        <w:pStyle w:val="ListParagraph"/>
        <w:numPr>
          <w:ilvl w:val="0"/>
          <w:numId w:val="2"/>
        </w:numPr>
        <w:spacing w:after="60" w:before="60"/>
      </w:pPr>
      <w:r>
        <w:rPr>
          <w:b/>
          <w:bCs/>
          <w:sz w:val="22"/>
          <w:szCs w:val="22"/>
        </w:rPr>
        <w:t xml:space="preserve">Progression : </w:t>
      </w:r>
      <w:r>
        <w:rPr>
          <w:sz w:val="22"/>
          <w:szCs w:val="22"/>
        </w:rPr>
        <w:t xml:space="preserve">Suivi automatique de la progression par cours, avec barre de progression visuelle ;</w:t>
      </w:r>
    </w:p>
    <w:p>
      <w:pPr>
        <w:pStyle w:val="ListParagraph"/>
        <w:numPr>
          <w:ilvl w:val="0"/>
          <w:numId w:val="2"/>
        </w:numPr>
        <w:spacing w:after="60" w:before="60"/>
      </w:pPr>
      <w:r>
        <w:rPr>
          <w:b/>
          <w:bCs/>
          <w:sz w:val="22"/>
          <w:szCs w:val="22"/>
        </w:rPr>
        <w:t xml:space="preserve">Certificat : </w:t>
      </w:r>
      <w:r>
        <w:rPr>
          <w:sz w:val="22"/>
          <w:szCs w:val="22"/>
        </w:rPr>
        <w:t xml:space="preserve">Génération automatique d'un certificat PDF téléchargeable à la fin de chaque cours ;</w:t>
      </w:r>
    </w:p>
    <w:p>
      <w:pPr>
        <w:pStyle w:val="ListParagraph"/>
        <w:numPr>
          <w:ilvl w:val="0"/>
          <w:numId w:val="2"/>
        </w:numPr>
        <w:spacing w:after="60" w:before="60"/>
      </w:pPr>
      <w:r>
        <w:rPr>
          <w:b/>
          <w:bCs/>
          <w:sz w:val="22"/>
          <w:szCs w:val="22"/>
        </w:rPr>
        <w:t xml:space="preserve">Évaluations : </w:t>
      </w:r>
      <w:r>
        <w:rPr>
          <w:sz w:val="22"/>
          <w:szCs w:val="22"/>
        </w:rPr>
        <w:t xml:space="preserve">Quiz à choix multiples, questions ouvertes, correction automatique pour QCM ;</w:t>
      </w:r>
    </w:p>
    <w:p>
      <w:pPr>
        <w:pStyle w:val="ListParagraph"/>
        <w:numPr>
          <w:ilvl w:val="0"/>
          <w:numId w:val="2"/>
        </w:numPr>
        <w:spacing w:after="60" w:before="60"/>
      </w:pPr>
      <w:r>
        <w:rPr>
          <w:b/>
          <w:bCs/>
          <w:sz w:val="22"/>
          <w:szCs w:val="22"/>
        </w:rPr>
        <w:t xml:space="preserve">Forum par cours : </w:t>
      </w:r>
      <w:r>
        <w:rPr>
          <w:sz w:val="22"/>
          <w:szCs w:val="22"/>
        </w:rPr>
        <w:t xml:space="preserve">Espace de discussion par cours avec modération enseignant.</w:t>
      </w:r>
    </w:p>
    <w:p>
      <w:pPr>
        <w:pStyle w:val="Heading2"/>
        <w:spacing w:after="160" w:before="300"/>
      </w:pPr>
      <w:r>
        <w:rPr>
          <w:b/>
          <w:bCs/>
          <w:color w:val="2E75B6"/>
          <w:sz w:val="26"/>
          <w:szCs w:val="26"/>
        </w:rPr>
        <w:t xml:space="preserve">3.4. Module Paiement Mobile Money</w:t>
      </w:r>
    </w:p>
    <w:p>
      <w:pPr>
        <w:pStyle w:val="ListParagraph"/>
        <w:numPr>
          <w:ilvl w:val="0"/>
          <w:numId w:val="2"/>
        </w:numPr>
        <w:spacing w:after="60" w:before="60"/>
      </w:pPr>
      <w:r>
        <w:rPr>
          <w:b/>
          <w:bCs/>
          <w:sz w:val="22"/>
          <w:szCs w:val="22"/>
        </w:rPr>
        <w:t xml:space="preserve">Opérateurs intégrés : </w:t>
      </w:r>
      <w:r>
        <w:rPr>
          <w:sz w:val="22"/>
          <w:szCs w:val="22"/>
        </w:rPr>
        <w:t xml:space="preserve">MTN Mobile Money, Airtel Money, Orange Money ;</w:t>
      </w:r>
    </w:p>
    <w:p>
      <w:pPr>
        <w:pStyle w:val="ListParagraph"/>
        <w:numPr>
          <w:ilvl w:val="0"/>
          <w:numId w:val="2"/>
        </w:numPr>
        <w:spacing w:after="60" w:before="60"/>
      </w:pPr>
      <w:r>
        <w:rPr>
          <w:b/>
          <w:bCs/>
          <w:sz w:val="22"/>
          <w:szCs w:val="22"/>
        </w:rPr>
        <w:t xml:space="preserve">Types de paiement : </w:t>
      </w:r>
      <w:r>
        <w:rPr>
          <w:sz w:val="22"/>
          <w:szCs w:val="22"/>
        </w:rPr>
        <w:t xml:space="preserve">Frais d'inscription, minervales, frais d'examens, autres droits ;</w:t>
      </w:r>
    </w:p>
    <w:p>
      <w:pPr>
        <w:pStyle w:val="ListParagraph"/>
        <w:numPr>
          <w:ilvl w:val="0"/>
          <w:numId w:val="2"/>
        </w:numPr>
        <w:spacing w:after="60" w:before="60"/>
      </w:pPr>
      <w:r>
        <w:rPr>
          <w:b/>
          <w:bCs/>
          <w:sz w:val="22"/>
          <w:szCs w:val="22"/>
        </w:rPr>
        <w:t xml:space="preserve">Initiation : </w:t>
      </w:r>
      <w:r>
        <w:rPr>
          <w:sz w:val="22"/>
          <w:szCs w:val="22"/>
        </w:rPr>
        <w:t xml:space="preserve">L'étudiant sélectionne le type de paiement, l'opérateur, saisit son numéro ;</w:t>
      </w:r>
    </w:p>
    <w:p>
      <w:pPr>
        <w:pStyle w:val="ListParagraph"/>
        <w:numPr>
          <w:ilvl w:val="0"/>
          <w:numId w:val="2"/>
        </w:numPr>
        <w:spacing w:after="60" w:before="60"/>
      </w:pPr>
      <w:r>
        <w:rPr>
          <w:b/>
          <w:bCs/>
          <w:sz w:val="22"/>
          <w:szCs w:val="22"/>
        </w:rPr>
        <w:t xml:space="preserve">Confirmation : </w:t>
      </w:r>
      <w:r>
        <w:rPr>
          <w:sz w:val="22"/>
          <w:szCs w:val="22"/>
        </w:rPr>
        <w:t xml:space="preserve">Vérification via API opérateur, mise à jour automatique du statut d'accès ;</w:t>
      </w:r>
    </w:p>
    <w:p>
      <w:pPr>
        <w:pStyle w:val="ListParagraph"/>
        <w:numPr>
          <w:ilvl w:val="0"/>
          <w:numId w:val="2"/>
        </w:numPr>
        <w:spacing w:after="60" w:before="60"/>
      </w:pPr>
      <w:r>
        <w:rPr>
          <w:b/>
          <w:bCs/>
          <w:sz w:val="22"/>
          <w:szCs w:val="22"/>
        </w:rPr>
        <w:t xml:space="preserve">Reçu numérique : </w:t>
      </w:r>
      <w:r>
        <w:rPr>
          <w:sz w:val="22"/>
          <w:szCs w:val="22"/>
        </w:rPr>
        <w:t xml:space="preserve">Génération d'un reçu PDF téléchargeable avec numéro de référence unique ;</w:t>
      </w:r>
    </w:p>
    <w:p>
      <w:pPr>
        <w:pStyle w:val="ListParagraph"/>
        <w:numPr>
          <w:ilvl w:val="0"/>
          <w:numId w:val="2"/>
        </w:numPr>
        <w:spacing w:after="60" w:before="60"/>
      </w:pPr>
      <w:r>
        <w:rPr>
          <w:b/>
          <w:bCs/>
          <w:sz w:val="22"/>
          <w:szCs w:val="22"/>
        </w:rPr>
        <w:t xml:space="preserve">Historique : </w:t>
      </w:r>
      <w:r>
        <w:rPr>
          <w:sz w:val="22"/>
          <w:szCs w:val="22"/>
        </w:rPr>
        <w:t xml:space="preserve">Tableau de bord de l'historique des transactions par étudiant ;</w:t>
      </w:r>
    </w:p>
    <w:p>
      <w:pPr>
        <w:pStyle w:val="ListParagraph"/>
        <w:numPr>
          <w:ilvl w:val="0"/>
          <w:numId w:val="2"/>
        </w:numPr>
        <w:spacing w:after="60" w:before="60"/>
      </w:pPr>
      <w:r>
        <w:rPr>
          <w:b/>
          <w:bCs/>
          <w:sz w:val="22"/>
          <w:szCs w:val="22"/>
        </w:rPr>
        <w:t xml:space="preserve">Relance : </w:t>
      </w:r>
      <w:r>
        <w:rPr>
          <w:sz w:val="22"/>
          <w:szCs w:val="22"/>
        </w:rPr>
        <w:t xml:space="preserve">Système de rappel automatique pour les paiements en retard.</w:t>
      </w:r>
    </w:p>
    <w:p>
      <w:pPr>
        <w:pStyle w:val="Heading2"/>
        <w:spacing w:after="160" w:before="300"/>
      </w:pPr>
      <w:r>
        <w:rPr>
          <w:b/>
          <w:bCs/>
          <w:color w:val="2E75B6"/>
          <w:sz w:val="26"/>
          <w:szCs w:val="26"/>
        </w:rPr>
        <w:t xml:space="preserve">3.5. Module Chatbot</w:t>
      </w:r>
    </w:p>
    <w:p>
      <w:pPr>
        <w:pStyle w:val="ListParagraph"/>
        <w:numPr>
          <w:ilvl w:val="0"/>
          <w:numId w:val="2"/>
        </w:numPr>
        <w:spacing w:after="60" w:before="60"/>
      </w:pPr>
      <w:r>
        <w:rPr>
          <w:b/>
          <w:bCs/>
          <w:sz w:val="22"/>
          <w:szCs w:val="22"/>
        </w:rPr>
        <w:t xml:space="preserve">Niveau 1 — FAQ : </w:t>
      </w:r>
      <w:r>
        <w:rPr>
          <w:sz w:val="22"/>
          <w:szCs w:val="22"/>
        </w:rPr>
        <w:t xml:space="preserve">Base de connaissances pré-programmée couvrant les questions fréquentes (inscriptions, frais, calendrier, filières) ;</w:t>
      </w:r>
    </w:p>
    <w:p>
      <w:pPr>
        <w:pStyle w:val="ListParagraph"/>
        <w:numPr>
          <w:ilvl w:val="0"/>
          <w:numId w:val="2"/>
        </w:numPr>
        <w:spacing w:after="60" w:before="60"/>
      </w:pPr>
      <w:r>
        <w:rPr>
          <w:b/>
          <w:bCs/>
          <w:sz w:val="22"/>
          <w:szCs w:val="22"/>
        </w:rPr>
        <w:t xml:space="preserve">Niveau 2 — IA : </w:t>
      </w:r>
      <w:r>
        <w:rPr>
          <w:sz w:val="22"/>
          <w:szCs w:val="22"/>
        </w:rPr>
        <w:t xml:space="preserve">Escalade automatique vers API IA (OpenAI GPT-4 / Google Gemini) pour les questions complexes non couvertes par la FAQ ;</w:t>
      </w:r>
    </w:p>
    <w:p>
      <w:pPr>
        <w:pStyle w:val="ListParagraph"/>
        <w:numPr>
          <w:ilvl w:val="0"/>
          <w:numId w:val="2"/>
        </w:numPr>
        <w:spacing w:after="60" w:before="60"/>
      </w:pPr>
      <w:r>
        <w:rPr>
          <w:b/>
          <w:bCs/>
          <w:sz w:val="22"/>
          <w:szCs w:val="22"/>
        </w:rPr>
        <w:t xml:space="preserve">Intégration : </w:t>
      </w:r>
      <w:r>
        <w:rPr>
          <w:sz w:val="22"/>
          <w:szCs w:val="22"/>
        </w:rPr>
        <w:t xml:space="preserve">Widget flottant accessible sur toutes les pages de la plateforme ;</w:t>
      </w:r>
    </w:p>
    <w:p>
      <w:pPr>
        <w:pStyle w:val="ListParagraph"/>
        <w:numPr>
          <w:ilvl w:val="0"/>
          <w:numId w:val="2"/>
        </w:numPr>
        <w:spacing w:after="60" w:before="60"/>
      </w:pPr>
      <w:r>
        <w:rPr>
          <w:b/>
          <w:bCs/>
          <w:sz w:val="22"/>
          <w:szCs w:val="22"/>
        </w:rPr>
        <w:t xml:space="preserve">Historique : </w:t>
      </w:r>
      <w:r>
        <w:rPr>
          <w:sz w:val="22"/>
          <w:szCs w:val="22"/>
        </w:rPr>
        <w:t xml:space="preserve">Conservation de l'historique de conversation par utilisateur connecté.</w:t>
      </w:r>
    </w:p>
    <w:p>
      <w:pPr>
        <w:pStyle w:val="Heading2"/>
        <w:spacing w:after="160" w:before="300"/>
      </w:pPr>
      <w:r>
        <w:rPr>
          <w:b/>
          <w:bCs/>
          <w:color w:val="2E75B6"/>
          <w:sz w:val="26"/>
          <w:szCs w:val="26"/>
        </w:rPr>
        <w:t xml:space="preserve">3.6. Module Tableau de bord &amp; Analytics</w:t>
      </w:r>
    </w:p>
    <w:p>
      <w:pPr>
        <w:pStyle w:val="ListParagraph"/>
        <w:numPr>
          <w:ilvl w:val="0"/>
          <w:numId w:val="2"/>
        </w:numPr>
        <w:spacing w:after="60" w:before="60"/>
      </w:pPr>
      <w:r>
        <w:rPr>
          <w:b/>
          <w:bCs/>
          <w:sz w:val="22"/>
          <w:szCs w:val="22"/>
        </w:rPr>
        <w:t xml:space="preserve">Étudiant : </w:t>
      </w:r>
      <w:r>
        <w:rPr>
          <w:sz w:val="22"/>
          <w:szCs w:val="22"/>
        </w:rPr>
        <w:t xml:space="preserve">Progression par cours, résultats des évaluations, statut des paiements, certificats obtenus ;</w:t>
      </w:r>
    </w:p>
    <w:p>
      <w:pPr>
        <w:pStyle w:val="ListParagraph"/>
        <w:numPr>
          <w:ilvl w:val="0"/>
          <w:numId w:val="2"/>
        </w:numPr>
        <w:spacing w:after="60" w:before="60"/>
      </w:pPr>
      <w:r>
        <w:rPr>
          <w:b/>
          <w:bCs/>
          <w:sz w:val="22"/>
          <w:szCs w:val="22"/>
        </w:rPr>
        <w:t xml:space="preserve">Enseignant : </w:t>
      </w:r>
      <w:r>
        <w:rPr>
          <w:sz w:val="22"/>
          <w:szCs w:val="22"/>
        </w:rPr>
        <w:t xml:space="preserve">Statistiques d'engagement par cours, résultats moyens des évaluations, activité étudiante ;</w:t>
      </w:r>
    </w:p>
    <w:p>
      <w:pPr>
        <w:pStyle w:val="ListParagraph"/>
        <w:numPr>
          <w:ilvl w:val="0"/>
          <w:numId w:val="2"/>
        </w:numPr>
        <w:spacing w:after="60" w:before="60"/>
      </w:pPr>
      <w:r>
        <w:rPr>
          <w:b/>
          <w:bCs/>
          <w:sz w:val="22"/>
          <w:szCs w:val="22"/>
        </w:rPr>
        <w:t xml:space="preserve">Service Académique : </w:t>
      </w:r>
      <w:r>
        <w:rPr>
          <w:sz w:val="22"/>
          <w:szCs w:val="22"/>
        </w:rPr>
        <w:t xml:space="preserve">Liste des inscriptions en attente, effectifs par filière, taux de réussite ;</w:t>
      </w:r>
    </w:p>
    <w:p>
      <w:pPr>
        <w:pStyle w:val="ListParagraph"/>
        <w:numPr>
          <w:ilvl w:val="0"/>
          <w:numId w:val="2"/>
        </w:numPr>
        <w:spacing w:after="60" w:before="60"/>
      </w:pPr>
      <w:r>
        <w:rPr>
          <w:b/>
          <w:bCs/>
          <w:sz w:val="22"/>
          <w:szCs w:val="22"/>
        </w:rPr>
        <w:t xml:space="preserve">Service Financier : </w:t>
      </w:r>
      <w:r>
        <w:rPr>
          <w:sz w:val="22"/>
          <w:szCs w:val="22"/>
        </w:rPr>
        <w:t xml:space="preserve">Volume de transactions, paiements en attente, revenus par période ;</w:t>
      </w:r>
    </w:p>
    <w:p>
      <w:pPr>
        <w:pStyle w:val="ListParagraph"/>
        <w:numPr>
          <w:ilvl w:val="0"/>
          <w:numId w:val="2"/>
        </w:numPr>
        <w:spacing w:after="60" w:before="60"/>
      </w:pPr>
      <w:r>
        <w:rPr>
          <w:b/>
          <w:bCs/>
          <w:sz w:val="22"/>
          <w:szCs w:val="22"/>
        </w:rPr>
        <w:t xml:space="preserve">Directeur Général : </w:t>
      </w:r>
      <w:r>
        <w:rPr>
          <w:sz w:val="22"/>
          <w:szCs w:val="22"/>
        </w:rPr>
        <w:t xml:space="preserve">KPIs consolidés — effectifs, taux d'inscription, revenus, engagement plateforme.</w:t>
      </w:r>
    </w:p>
    <w:p>
      <w:pPr>
        <w:pStyle w:val="Heading2"/>
        <w:spacing w:after="160" w:before="300"/>
      </w:pPr>
      <w:r>
        <w:rPr>
          <w:b/>
          <w:bCs/>
          <w:color w:val="2E75B6"/>
          <w:sz w:val="26"/>
          <w:szCs w:val="26"/>
        </w:rPr>
        <w:t xml:space="preserve">3.7. Module PWA (Progressive Web App)</w:t>
      </w:r>
    </w:p>
    <w:p>
      <w:pPr>
        <w:pStyle w:val="ListParagraph"/>
        <w:numPr>
          <w:ilvl w:val="0"/>
          <w:numId w:val="2"/>
        </w:numPr>
        <w:spacing w:after="60" w:before="60"/>
      </w:pPr>
      <w:r>
        <w:rPr>
          <w:b/>
          <w:bCs/>
          <w:sz w:val="22"/>
          <w:szCs w:val="22"/>
        </w:rPr>
        <w:t xml:space="preserve">Installation : </w:t>
      </w:r>
      <w:r>
        <w:rPr>
          <w:sz w:val="22"/>
          <w:szCs w:val="22"/>
        </w:rPr>
        <w:t xml:space="preserve">Installable sur Android/iOS depuis le navigateur sans passer par un store ;</w:t>
      </w:r>
    </w:p>
    <w:p>
      <w:pPr>
        <w:pStyle w:val="ListParagraph"/>
        <w:numPr>
          <w:ilvl w:val="0"/>
          <w:numId w:val="2"/>
        </w:numPr>
        <w:spacing w:after="60" w:before="60"/>
      </w:pPr>
      <w:r>
        <w:rPr>
          <w:b/>
          <w:bCs/>
          <w:sz w:val="22"/>
          <w:szCs w:val="22"/>
        </w:rPr>
        <w:t xml:space="preserve">Mode offline : </w:t>
      </w:r>
      <w:r>
        <w:rPr>
          <w:sz w:val="22"/>
          <w:szCs w:val="22"/>
        </w:rPr>
        <w:t xml:space="preserve">Lecture des cours et documents déjà téléchargés disponible sans connexion ;</w:t>
      </w:r>
    </w:p>
    <w:p>
      <w:pPr>
        <w:pStyle w:val="ListParagraph"/>
        <w:numPr>
          <w:ilvl w:val="0"/>
          <w:numId w:val="2"/>
        </w:numPr>
        <w:spacing w:after="60" w:before="60"/>
      </w:pPr>
      <w:r>
        <w:rPr>
          <w:b/>
          <w:bCs/>
          <w:sz w:val="22"/>
          <w:szCs w:val="22"/>
        </w:rPr>
        <w:t xml:space="preserve">Synchronisation : </w:t>
      </w:r>
      <w:r>
        <w:rPr>
          <w:sz w:val="22"/>
          <w:szCs w:val="22"/>
        </w:rPr>
        <w:t xml:space="preserve">Synchronisation automatique des données dès le retour de la connexion ;</w:t>
      </w:r>
    </w:p>
    <w:p>
      <w:pPr>
        <w:pStyle w:val="ListParagraph"/>
        <w:numPr>
          <w:ilvl w:val="0"/>
          <w:numId w:val="2"/>
        </w:numPr>
        <w:spacing w:after="60" w:before="60"/>
      </w:pPr>
      <w:r>
        <w:rPr>
          <w:b/>
          <w:bCs/>
          <w:sz w:val="22"/>
          <w:szCs w:val="22"/>
        </w:rPr>
        <w:t xml:space="preserve">Notifications push : </w:t>
      </w:r>
      <w:r>
        <w:rPr>
          <w:sz w:val="22"/>
          <w:szCs w:val="22"/>
        </w:rPr>
        <w:t xml:space="preserve">Notifications d'activité, rappels de paiement, nouveaux cours.</w:t>
      </w:r>
    </w:p>
    <w:p>
      <w:pPr>
        <w:spacing w:after="0" w:before="0"/>
      </w:pPr>
      <w:r>
        <w:br w:type="page"/>
      </w:r>
    </w:p>
    <w:p>
      <w:pPr>
        <w:pStyle w:val="Heading1"/>
        <w:pBdr>
          <w:bottom w:val="single" w:color="2E75B6" w:sz="8" w:space="4"/>
        </w:pBdr>
        <w:spacing w:after="200" w:before="400"/>
      </w:pPr>
      <w:r>
        <w:rPr>
          <w:b/>
          <w:bCs/>
          <w:color w:val="1a3c6e"/>
          <w:sz w:val="32"/>
          <w:szCs w:val="32"/>
        </w:rPr>
        <w:t xml:space="preserve">4. ARCHITECTURE TECHNIQUE</w:t>
      </w:r>
    </w:p>
    <w:p>
      <w:pPr>
        <w:pStyle w:val="Heading2"/>
        <w:spacing w:after="160" w:before="300"/>
      </w:pPr>
      <w:r>
        <w:rPr>
          <w:b/>
          <w:bCs/>
          <w:color w:val="2E75B6"/>
          <w:sz w:val="26"/>
          <w:szCs w:val="26"/>
        </w:rPr>
        <w:t xml:space="preserve">4.1.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Technologie</w:t>
            </w:r>
          </w:p>
        </w:tc>
        <w:tc>
          <w:tcPr>
            <w:tcW w:type="dxa" w:w="4026"/>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14 (App Router)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SSR + CSR hybride, performances optimales, SEO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UI Framework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Tailwind CSS + shadcn/ui</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Design system cohérent, personnalisable via token de couleur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API Routes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Full-stack unifié, réduction de la complexité de déploiement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Base de données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PostgreSQL 16</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SGBD relationnel robuste, open source, adapté aux données académiques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Prisma ORM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Type-safety, migrations automatiques, interface intuitive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Authentification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NextAuth.js + JWT</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Gestion des sessions, OAuth Google, rôles multi-utilisateurs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Stockage fichiers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 / AWS S3</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Hébergement vidéos, PDF, images de profil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Paiement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API MTN / Airtel / Orange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Intégration via SDK officiel des opérateurs télécom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IA Chatbot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OpenAI API / Gemini API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Génération de réponses contextuelles pour questions complexes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PWA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next-pwa (Workbox)</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Service Worker, cache offline, manifest d'installation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Internationalisation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next-intl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Gestion bilingue Français / Anglais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Déploiement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Vercel / VPS Ubuntu</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CI/CD automatique, haute disponibilité</w:t>
            </w:r>
          </w:p>
        </w:tc>
      </w:tr>
    </w:tbl>
    <w:p>
      <w:pPr>
        <w:spacing w:after="60" w:before="60"/>
      </w:pPr>
      <w:r>
        <w:t xml:space="preserve"/>
      </w:r>
    </w:p>
    <w:p>
      <w:pPr>
        <w:pStyle w:val="Heading2"/>
        <w:spacing w:after="160" w:before="300"/>
      </w:pPr>
      <w:r>
        <w:rPr>
          <w:b/>
          <w:bCs/>
          <w:color w:val="2E75B6"/>
          <w:sz w:val="26"/>
          <w:szCs w:val="26"/>
        </w:rPr>
        <w:t xml:space="preserve">4.2. Architecture MVC &amp; organisation des fichiers</w:t>
      </w:r>
    </w:p>
    <w:p>
      <w:pPr>
        <w:spacing w:after="80" w:before="80"/>
        <w:jc w:val="both"/>
      </w:pPr>
      <w:r>
        <w:rPr>
          <w:color w:val="2C3E50"/>
          <w:sz w:val="22"/>
          <w:szCs w:val="22"/>
        </w:rPr>
        <w:t xml:space="preserve">La plateforme suit une architecture strictement organisée selon le patron MVC (Modèle — Vue — Contrôleur), séparant clairement les responsabilités :</w:t>
      </w:r>
    </w:p>
    <w:p>
      <w:pPr>
        <w:pStyle w:val="ListParagraph"/>
        <w:numPr>
          <w:ilvl w:val="0"/>
          <w:numId w:val="2"/>
        </w:numPr>
        <w:spacing w:after="60" w:before="60"/>
      </w:pPr>
      <w:r>
        <w:rPr>
          <w:b/>
          <w:bCs/>
          <w:sz w:val="22"/>
          <w:szCs w:val="22"/>
        </w:rPr>
        <w:t xml:space="preserve">Modèles (Models) : </w:t>
      </w:r>
      <w:r>
        <w:rPr>
          <w:sz w:val="22"/>
          <w:szCs w:val="22"/>
        </w:rPr>
        <w:t xml:space="preserve">Schémas Prisma définissant la structure de la base de données PostgreSQL ;</w:t>
      </w:r>
    </w:p>
    <w:p>
      <w:pPr>
        <w:pStyle w:val="ListParagraph"/>
        <w:numPr>
          <w:ilvl w:val="0"/>
          <w:numId w:val="2"/>
        </w:numPr>
        <w:spacing w:after="60" w:before="60"/>
      </w:pPr>
      <w:r>
        <w:rPr>
          <w:b/>
          <w:bCs/>
          <w:sz w:val="22"/>
          <w:szCs w:val="22"/>
        </w:rPr>
        <w:t xml:space="preserve">Vues (Views) : </w:t>
      </w:r>
      <w:r>
        <w:rPr>
          <w:sz w:val="22"/>
          <w:szCs w:val="22"/>
        </w:rPr>
        <w:t xml:space="preserve">Composants React / Next.js dans le dossier /app et /components ;</w:t>
      </w:r>
    </w:p>
    <w:p>
      <w:pPr>
        <w:pStyle w:val="ListParagraph"/>
        <w:numPr>
          <w:ilvl w:val="0"/>
          <w:numId w:val="2"/>
        </w:numPr>
        <w:spacing w:after="60" w:before="60"/>
      </w:pPr>
      <w:r>
        <w:rPr>
          <w:b/>
          <w:bCs/>
          <w:sz w:val="22"/>
          <w:szCs w:val="22"/>
        </w:rPr>
        <w:t xml:space="preserve">Contrôleurs (Controllers) : </w:t>
      </w:r>
      <w:r>
        <w:rPr>
          <w:sz w:val="22"/>
          <w:szCs w:val="22"/>
        </w:rPr>
        <w:t xml:space="preserve">API Routes Next.js dans /app/api, contenant toute la logique métier ;</w:t>
      </w:r>
    </w:p>
    <w:p>
      <w:pPr>
        <w:pStyle w:val="ListParagraph"/>
        <w:numPr>
          <w:ilvl w:val="0"/>
          <w:numId w:val="2"/>
        </w:numPr>
        <w:spacing w:after="60" w:before="60"/>
      </w:pPr>
      <w:r>
        <w:rPr>
          <w:b/>
          <w:bCs/>
          <w:sz w:val="22"/>
          <w:szCs w:val="22"/>
        </w:rPr>
        <w:t xml:space="preserve">Services : </w:t>
      </w:r>
      <w:r>
        <w:rPr>
          <w:sz w:val="22"/>
          <w:szCs w:val="22"/>
        </w:rPr>
        <w:t xml:space="preserve">Couche de services /lib/services isolant la logique réutilisable ;</w:t>
      </w:r>
    </w:p>
    <w:p>
      <w:pPr>
        <w:pStyle w:val="ListParagraph"/>
        <w:numPr>
          <w:ilvl w:val="0"/>
          <w:numId w:val="2"/>
        </w:numPr>
        <w:spacing w:after="60" w:before="60"/>
      </w:pPr>
      <w:r>
        <w:rPr>
          <w:b/>
          <w:bCs/>
          <w:sz w:val="22"/>
          <w:szCs w:val="22"/>
        </w:rPr>
        <w:t xml:space="preserve">Middlewares : </w:t>
      </w:r>
      <w:r>
        <w:rPr>
          <w:sz w:val="22"/>
          <w:szCs w:val="22"/>
        </w:rPr>
        <w:t xml:space="preserve">Gestion de l'authentification, des rôles et de la validation des requêtes.</w:t>
      </w:r>
    </w:p>
    <w:p>
      <w:pPr>
        <w:pStyle w:val="Heading2"/>
        <w:spacing w:after="160" w:before="300"/>
      </w:pPr>
      <w:r>
        <w:rPr>
          <w:b/>
          <w:bCs/>
          <w:color w:val="2E75B6"/>
          <w:sz w:val="26"/>
          <w:szCs w:val="26"/>
        </w:rPr>
        <w:t xml:space="preserve">4.3. Modèle de données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Entité</w:t>
            </w:r>
          </w:p>
        </w:tc>
        <w:tc>
          <w:tcPr>
            <w:tcW w:type="dxa" w:w="3026"/>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Attributs clés</w:t>
            </w:r>
          </w:p>
        </w:tc>
        <w:tc>
          <w:tcPr>
            <w:tcW w:type="dxa" w:w="4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Relations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email, role, passwordHash, isActive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Étudiant, Enseignant, 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Étudiant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numEtudiant, nom, prénom, filière, statut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Inscriptions, Paiements, Résultats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Enseignant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spécialité, grade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Cours (1:N)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Cours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titre, description, filière, statut, enseignantId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Modules, Évaluations, Forum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Module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titre, ordre, coursId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Chapitres (1:N)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Paiement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montant, type, opérateur, statut, référence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Étudiant (N:1)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Évaluation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titre, type, durée, coursId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Questions, Résultats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Certificat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étudiantId, coursId, dateObtention, hash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 (document unique)</w:t>
            </w:r>
          </w:p>
        </w:tc>
      </w:tr>
    </w:tbl>
    <w:p>
      <w:pPr>
        <w:spacing w:after="0" w:before="0"/>
      </w:pPr>
      <w:r>
        <w:br w:type="page"/>
      </w:r>
    </w:p>
    <w:p>
      <w:pPr>
        <w:pStyle w:val="Heading1"/>
        <w:pBdr>
          <w:bottom w:val="single" w:color="2E75B6" w:sz="8" w:space="4"/>
        </w:pBdr>
        <w:spacing w:after="200" w:before="400"/>
      </w:pPr>
      <w:r>
        <w:rPr>
          <w:b/>
          <w:bCs/>
          <w:color w:val="1a3c6e"/>
          <w:sz w:val="32"/>
          <w:szCs w:val="32"/>
        </w:rPr>
        <w:t xml:space="preserve">5. CONTRAINTES ET EXIGENCES NON-FONCTIONNELLES</w:t>
      </w:r>
    </w:p>
    <w:p>
      <w:pPr>
        <w:pStyle w:val="Heading2"/>
        <w:spacing w:after="160" w:before="300"/>
      </w:pPr>
      <w:r>
        <w:rPr>
          <w:b/>
          <w:bCs/>
          <w:color w:val="2E75B6"/>
          <w:sz w:val="26"/>
          <w:szCs w:val="26"/>
        </w:rPr>
        <w:t xml:space="preserve">5.1. Performance</w:t>
      </w:r>
    </w:p>
    <w:p>
      <w:pPr>
        <w:pStyle w:val="ListParagraph"/>
        <w:numPr>
          <w:ilvl w:val="0"/>
          <w:numId w:val="2"/>
        </w:numPr>
        <w:spacing w:after="60" w:before="60"/>
      </w:pPr>
      <w:r>
        <w:rPr>
          <w:b/>
          <w:bCs/>
          <w:sz w:val="22"/>
          <w:szCs w:val="22"/>
        </w:rPr>
        <w:t xml:space="preserve">Temps de chargement : </w:t>
      </w:r>
      <w:r>
        <w:rPr>
          <w:sz w:val="22"/>
          <w:szCs w:val="22"/>
        </w:rPr>
        <w:t xml:space="preserve">Pages principales &lt; 2 secondes sur connexion 3G ;</w:t>
      </w:r>
    </w:p>
    <w:p>
      <w:pPr>
        <w:pStyle w:val="ListParagraph"/>
        <w:numPr>
          <w:ilvl w:val="0"/>
          <w:numId w:val="2"/>
        </w:numPr>
        <w:spacing w:after="60" w:before="60"/>
      </w:pPr>
      <w:r>
        <w:rPr>
          <w:b/>
          <w:bCs/>
          <w:sz w:val="22"/>
          <w:szCs w:val="22"/>
        </w:rPr>
        <w:t xml:space="preserve">Disponibilité : </w:t>
      </w:r>
      <w:r>
        <w:rPr>
          <w:sz w:val="22"/>
          <w:szCs w:val="22"/>
        </w:rPr>
        <w:t xml:space="preserve">99,5% d'uptime — tolérance maximale de 4h/mois d'indisponibilité ;</w:t>
      </w:r>
    </w:p>
    <w:p>
      <w:pPr>
        <w:pStyle w:val="ListParagraph"/>
        <w:numPr>
          <w:ilvl w:val="0"/>
          <w:numId w:val="2"/>
        </w:numPr>
        <w:spacing w:after="60" w:before="60"/>
      </w:pPr>
      <w:r>
        <w:rPr>
          <w:b/>
          <w:bCs/>
          <w:sz w:val="22"/>
          <w:szCs w:val="22"/>
        </w:rPr>
        <w:t xml:space="preserve">Concurrence : </w:t>
      </w:r>
      <w:r>
        <w:rPr>
          <w:sz w:val="22"/>
          <w:szCs w:val="22"/>
        </w:rPr>
        <w:t xml:space="preserve">Support de 500 utilisateurs simultanés minimum.</w:t>
      </w:r>
    </w:p>
    <w:p>
      <w:pPr>
        <w:pStyle w:val="Heading2"/>
        <w:spacing w:after="160" w:before="300"/>
      </w:pPr>
      <w:r>
        <w:rPr>
          <w:b/>
          <w:bCs/>
          <w:color w:val="2E75B6"/>
          <w:sz w:val="26"/>
          <w:szCs w:val="26"/>
        </w:rPr>
        <w:t xml:space="preserve">5.2. Sécurité</w:t>
      </w:r>
    </w:p>
    <w:p>
      <w:pPr>
        <w:pStyle w:val="ListParagraph"/>
        <w:numPr>
          <w:ilvl w:val="0"/>
          <w:numId w:val="2"/>
        </w:numPr>
        <w:spacing w:after="60" w:before="60"/>
      </w:pPr>
      <w:r>
        <w:rPr>
          <w:b/>
          <w:bCs/>
          <w:sz w:val="22"/>
          <w:szCs w:val="22"/>
        </w:rPr>
        <w:t xml:space="preserve">Authentification : </w:t>
      </w:r>
      <w:r>
        <w:rPr>
          <w:sz w:val="22"/>
          <w:szCs w:val="22"/>
        </w:rPr>
        <w:t xml:space="preserve">JWT tokens avec expiration, refresh tokens sécurisés ;</w:t>
      </w:r>
    </w:p>
    <w:p>
      <w:pPr>
        <w:pStyle w:val="ListParagraph"/>
        <w:numPr>
          <w:ilvl w:val="0"/>
          <w:numId w:val="2"/>
        </w:numPr>
        <w:spacing w:after="60" w:before="60"/>
      </w:pPr>
      <w:r>
        <w:rPr>
          <w:b/>
          <w:bCs/>
          <w:sz w:val="22"/>
          <w:szCs w:val="22"/>
        </w:rPr>
        <w:t xml:space="preserve">Autorisation : </w:t>
      </w:r>
      <w:r>
        <w:rPr>
          <w:sz w:val="22"/>
          <w:szCs w:val="22"/>
        </w:rPr>
        <w:t xml:space="preserve">RBAC (Role-Based Access Control) — 6 rôles distincts ;</w:t>
      </w:r>
    </w:p>
    <w:p>
      <w:pPr>
        <w:pStyle w:val="ListParagraph"/>
        <w:numPr>
          <w:ilvl w:val="0"/>
          <w:numId w:val="2"/>
        </w:numPr>
        <w:spacing w:after="60" w:before="60"/>
      </w:pPr>
      <w:r>
        <w:rPr>
          <w:b/>
          <w:bCs/>
          <w:sz w:val="22"/>
          <w:szCs w:val="22"/>
        </w:rPr>
        <w:t xml:space="preserve">Données : </w:t>
      </w:r>
      <w:r>
        <w:rPr>
          <w:sz w:val="22"/>
          <w:szCs w:val="22"/>
        </w:rPr>
        <w:t xml:space="preserve">Chiffrement des données sensibles (mots de passe, données financières) ;</w:t>
      </w:r>
    </w:p>
    <w:p>
      <w:pPr>
        <w:pStyle w:val="ListParagraph"/>
        <w:numPr>
          <w:ilvl w:val="0"/>
          <w:numId w:val="2"/>
        </w:numPr>
        <w:spacing w:after="60" w:before="60"/>
      </w:pPr>
      <w:r>
        <w:rPr>
          <w:b/>
          <w:bCs/>
          <w:sz w:val="22"/>
          <w:szCs w:val="22"/>
        </w:rPr>
        <w:t xml:space="preserve">Communication : </w:t>
      </w:r>
      <w:r>
        <w:rPr>
          <w:sz w:val="22"/>
          <w:szCs w:val="22"/>
        </w:rPr>
        <w:t xml:space="preserve">HTTPS obligatoire, certificat SSL/TLS ;</w:t>
      </w:r>
    </w:p>
    <w:p>
      <w:pPr>
        <w:pStyle w:val="ListParagraph"/>
        <w:numPr>
          <w:ilvl w:val="0"/>
          <w:numId w:val="2"/>
        </w:numPr>
        <w:spacing w:after="60" w:before="60"/>
      </w:pPr>
      <w:r>
        <w:rPr>
          <w:b/>
          <w:bCs/>
          <w:sz w:val="22"/>
          <w:szCs w:val="22"/>
        </w:rPr>
        <w:t xml:space="preserve">Sauvegardes : </w:t>
      </w:r>
      <w:r>
        <w:rPr>
          <w:sz w:val="22"/>
          <w:szCs w:val="22"/>
        </w:rPr>
        <w:t xml:space="preserve">Backup automatique de la base de données toutes les 24 heures.</w:t>
      </w:r>
    </w:p>
    <w:p>
      <w:pPr>
        <w:pStyle w:val="Heading2"/>
        <w:spacing w:after="160" w:before="300"/>
      </w:pPr>
      <w:r>
        <w:rPr>
          <w:b/>
          <w:bCs/>
          <w:color w:val="2E75B6"/>
          <w:sz w:val="26"/>
          <w:szCs w:val="26"/>
        </w:rPr>
        <w:t xml:space="preserve">5.3. Accessibilité &amp; UX</w:t>
      </w:r>
    </w:p>
    <w:p>
      <w:pPr>
        <w:pStyle w:val="ListParagraph"/>
        <w:numPr>
          <w:ilvl w:val="0"/>
          <w:numId w:val="2"/>
        </w:numPr>
        <w:spacing w:after="60" w:before="60"/>
      </w:pPr>
      <w:r>
        <w:rPr>
          <w:b/>
          <w:bCs/>
          <w:sz w:val="22"/>
          <w:szCs w:val="22"/>
        </w:rPr>
        <w:t xml:space="preserve">Responsive : </w:t>
      </w:r>
      <w:r>
        <w:rPr>
          <w:sz w:val="22"/>
          <w:szCs w:val="22"/>
        </w:rPr>
        <w:t xml:space="preserve">Interface optimisée pour mobile (320px) et desktop (1920px) ;</w:t>
      </w:r>
    </w:p>
    <w:p>
      <w:pPr>
        <w:pStyle w:val="ListParagraph"/>
        <w:numPr>
          <w:ilvl w:val="0"/>
          <w:numId w:val="2"/>
        </w:numPr>
        <w:spacing w:after="60" w:before="60"/>
      </w:pPr>
      <w:r>
        <w:rPr>
          <w:b/>
          <w:bCs/>
          <w:sz w:val="22"/>
          <w:szCs w:val="22"/>
        </w:rPr>
        <w:t xml:space="preserve">PWA : </w:t>
      </w:r>
      <w:r>
        <w:rPr>
          <w:sz w:val="22"/>
          <w:szCs w:val="22"/>
        </w:rPr>
        <w:t xml:space="preserve">Score Lighthouse PWA &gt; 90 ;</w:t>
      </w:r>
    </w:p>
    <w:p>
      <w:pPr>
        <w:pStyle w:val="ListParagraph"/>
        <w:numPr>
          <w:ilvl w:val="0"/>
          <w:numId w:val="2"/>
        </w:numPr>
        <w:spacing w:after="60" w:before="60"/>
      </w:pPr>
      <w:r>
        <w:rPr>
          <w:b/>
          <w:bCs/>
          <w:sz w:val="22"/>
          <w:szCs w:val="22"/>
        </w:rPr>
        <w:t xml:space="preserve">Langues : </w:t>
      </w:r>
      <w:r>
        <w:rPr>
          <w:sz w:val="22"/>
          <w:szCs w:val="22"/>
        </w:rPr>
        <w:t xml:space="preserve">Interface bilingue Français / Anglais avec détection automatique ;</w:t>
      </w:r>
    </w:p>
    <w:p>
      <w:pPr>
        <w:pStyle w:val="ListParagraph"/>
        <w:numPr>
          <w:ilvl w:val="0"/>
          <w:numId w:val="2"/>
        </w:numPr>
        <w:spacing w:after="60" w:before="60"/>
      </w:pPr>
      <w:r>
        <w:rPr>
          <w:b/>
          <w:bCs/>
          <w:sz w:val="22"/>
          <w:szCs w:val="22"/>
        </w:rPr>
        <w:t xml:space="preserve">Design : </w:t>
      </w:r>
      <w:r>
        <w:rPr>
          <w:sz w:val="22"/>
          <w:szCs w:val="22"/>
        </w:rPr>
        <w:t xml:space="preserve">Branding ISC Mbujimayi extrait du logo officiel de l'université — palette, typographie, tons.</w:t>
      </w:r>
    </w:p>
    <w:p>
      <w:pPr>
        <w:pStyle w:val="Heading2"/>
        <w:spacing w:after="160" w:before="300"/>
      </w:pPr>
      <w:r>
        <w:rPr>
          <w:b/>
          <w:bCs/>
          <w:color w:val="2E75B6"/>
          <w:sz w:val="26"/>
          <w:szCs w:val="26"/>
        </w:rPr>
        <w:t xml:space="preserve">5.4. Conformité</w:t>
      </w:r>
    </w:p>
    <w:p>
      <w:pPr>
        <w:pStyle w:val="ListParagraph"/>
        <w:numPr>
          <w:ilvl w:val="0"/>
          <w:numId w:val="2"/>
        </w:numPr>
        <w:spacing w:after="60" w:before="60"/>
      </w:pPr>
      <w:r>
        <w:rPr>
          <w:b/>
          <w:bCs/>
          <w:sz w:val="22"/>
          <w:szCs w:val="22"/>
        </w:rPr>
        <w:t xml:space="preserve">Droit congolais : </w:t>
      </w:r>
      <w:r>
        <w:rPr>
          <w:sz w:val="22"/>
          <w:szCs w:val="22"/>
        </w:rPr>
        <w:t xml:space="preserve">Conformité avec la loi congolaise sur les données personnelles ;</w:t>
      </w:r>
    </w:p>
    <w:p>
      <w:pPr>
        <w:pStyle w:val="ListParagraph"/>
        <w:numPr>
          <w:ilvl w:val="0"/>
          <w:numId w:val="2"/>
        </w:numPr>
        <w:spacing w:after="60" w:before="60"/>
      </w:pPr>
      <w:r>
        <w:rPr>
          <w:b/>
          <w:bCs/>
          <w:sz w:val="22"/>
          <w:szCs w:val="22"/>
        </w:rPr>
        <w:t xml:space="preserve">Paiements : </w:t>
      </w:r>
      <w:r>
        <w:rPr>
          <w:sz w:val="22"/>
          <w:szCs w:val="22"/>
        </w:rPr>
        <w:t xml:space="preserve">Conformité avec les réglementations de la Banque Centrale du Congo (BCC).</w:t>
      </w:r>
    </w:p>
    <w:p>
      <w:pPr>
        <w:spacing w:after="0" w:before="0"/>
      </w:pPr>
      <w:r>
        <w:br w:type="page"/>
      </w:r>
    </w:p>
    <w:p>
      <w:pPr>
        <w:pStyle w:val="Heading1"/>
        <w:pBdr>
          <w:bottom w:val="single" w:color="2E75B6" w:sz="8" w:space="4"/>
        </w:pBdr>
        <w:spacing w:after="200" w:before="400"/>
      </w:pPr>
      <w:r>
        <w:rPr>
          <w:b/>
          <w:bCs/>
          <w:color w:val="1a3c6e"/>
          <w:sz w:val="32"/>
          <w:szCs w:val="32"/>
        </w:rPr>
        <w:t xml:space="preserve">6. LIVRABLES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26"/>
        <w:gridCol w:w="3000"/>
      </w:tblGrid>
      <w:tr>
        <w:trPr>
          <w:tblHeader/>
        </w:trPr>
        <w:tc>
          <w:tcPr>
            <w:tcW w:type="dxa" w:w="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Livrable</w:t>
            </w:r>
          </w:p>
        </w:tc>
        <w:tc>
          <w:tcPr>
            <w:tcW w:type="dxa" w:w="3026"/>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Format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source complet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Repository organisé selon l'architecture MVC définie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 ZIP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CONTEXT.md</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Fichier de contexte du projet (règles, architecture, conventions)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Markdown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SPECS.md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Spécifications techniques détaillées de chaque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Markdown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Base de données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Schéma Prisma + migrations + données de test (seed)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Prisma Schema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Documentation API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Documentation de toutes les routes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Swagger / Markdown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Guide déploiement</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Instructions de déploiement sur VPS/Vercel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Markdown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unitaires et d'intégration sur les modules critiques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Jest / Playwright</w:t>
            </w:r>
          </w:p>
        </w:tc>
      </w:tr>
    </w:tbl>
    <w:p>
      <w:pPr>
        <w:spacing w:after="0" w:before="0"/>
      </w:pPr>
      <w:r>
        <w:br w:type="page"/>
      </w:r>
    </w:p>
    <w:p>
      <w:pPr>
        <w:pStyle w:val="Heading1"/>
        <w:pBdr>
          <w:bottom w:val="single" w:color="2E75B6" w:sz="8" w:space="4"/>
        </w:pBdr>
        <w:spacing w:after="200" w:before="400"/>
      </w:pPr>
      <w:r>
        <w:rPr>
          <w:b/>
          <w:bCs/>
          <w:color w:val="1a3c6e"/>
          <w:sz w:val="32"/>
          <w:szCs w:val="32"/>
        </w:rPr>
        <w:t xml:space="preserve">7.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326"/>
        <w:gridCol w:w="3400"/>
      </w:tblGrid>
      <w:tr>
        <w:trPr>
          <w:tblHeader/>
        </w:trPr>
        <w:tc>
          <w:tcPr>
            <w:tcW w:type="dxa" w:w="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Ph.</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Phase</w:t>
            </w:r>
          </w:p>
        </w:tc>
        <w:tc>
          <w:tcPr>
            <w:tcW w:type="dxa" w:w="2326"/>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Durée estimée</w:t>
            </w:r>
          </w:p>
        </w:tc>
        <w:tc>
          <w:tcPr>
            <w:tcW w:type="dxa" w:w="3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pPr>
              <w:jc w:val="center"/>
            </w:pPr>
            <w:r>
              <w:rPr>
                <w:b/>
                <w:bCs/>
                <w:color w:val="FFFFFF"/>
                <w:sz w:val="20"/>
                <w:szCs w:val="20"/>
              </w:rPr>
              <w:t xml:space="preserve">Modules concernés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Setup &amp; Architecture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semaine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 projet, BDD, Auth, PWA config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Site vitrine &amp; Auth</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 semaine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Pages publiques, login, inscription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E-Learning</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semaines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 modules, vidéos, quiz, certificats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Paiement Mobile Money</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 semaine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MTN, Airtel, Orange — intégrations API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Dashboards &amp; Analytics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semaine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Tableaux de bord par rôle, rapports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Chatbot &amp; Notifications</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 semaine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FAQ, IA, notifications push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PWA &amp; Déploiement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semaine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E2E, audit Lighthouse, mise en prod</w:t>
            </w:r>
          </w:p>
        </w:tc>
      </w:tr>
    </w:tbl>
    <w:p>
      <w:pPr>
        <w:spacing w:after="120" w:before="120"/>
      </w:pPr>
      <w:r>
        <w:t xml:space="preserve"/>
      </w:r>
    </w:p>
    <w:p>
      <w:pPr>
        <w:jc w:val="center"/>
      </w:pPr>
      <w:r>
        <w:rPr>
          <w:i/>
          <w:iCs/>
          <w:color w:val="888888"/>
          <w:sz w:val="20"/>
          <w:szCs w:val="20"/>
        </w:rPr>
        <w:t xml:space="preserve">— Fin du Cahier des Charges —</w:t>
      </w:r>
    </w:p>
    <w:sectPr>
      <w:headerReference w:type="default" r:id="rId7"/>
      <w:footerReference w:type="default" r:id="rId8"/>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color w:val="888888"/>
        <w:sz w:val="18"/>
        <w:szCs w:val="18"/>
      </w:rPr>
      <w:t xml:space="preserve">© 2026 ISC Mbujimayi — Tous droits réservés</w:t>
    </w:r>
    <w:r>
      <w:rPr>
        <w:color w:val="888888"/>
        <w:sz w:val="18"/>
        <w:szCs w:val="18"/>
      </w:rPr>
      <w:t xml:space="preserve">	Page </w:t>
    </w:r>
    <w:r>
      <w:rPr>
        <w:color w:val="1a3c6e"/>
        <w:sz w:val="18"/>
        <w:szCs w:val="18"/>
      </w:rPr>
      <w:fldChar w:fldCharType="begin"/>
      <w:instrText xml:space="preserve">PAGE</w:instrText>
      <w:fldChar w:fldCharType="separate"/>
      <w:fldChar w:fldCharType="end"/>
    </w:r>
    <w:r>
      <w:rPr>
        <w:color w:val="888888"/>
        <w:sz w:val="18"/>
        <w:szCs w:val="18"/>
      </w:rPr>
      <w:t xml:space="preserve"> / </w:t>
    </w:r>
    <w:r>
      <w:rPr>
        <w:color w:val="1a3c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b/>
        <w:bCs/>
        <w:color w:val="1a3c6e"/>
        <w:sz w:val="18"/>
        <w:szCs w:val="18"/>
      </w:rPr>
      <w:t xml:space="preserve">Cahier des Charges — Plateforme Numérique ISC Mbujimayi</w:t>
    </w:r>
    <w:r>
      <w:rPr>
        <w:sz w:val="18"/>
        <w:szCs w:val="18"/>
      </w:rPr>
      <w:t xml:space="preserve">	</w:t>
    </w:r>
    <w:r>
      <w:rPr>
        <w:i/>
        <w:iCs/>
        <w:color w:val="888888"/>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a3c6e"/>
      <w:sz w:val="32"/>
      <w:szCs w:val="32"/>
    </w:rPr>
  </w:style>
  <w:style w:type="paragraph" w:styleId="Heading2">
    <w:name w:val="Heading 2"/>
    <w:basedOn w:val="Normal"/>
    <w:next w:val="Normal"/>
    <w:pPr>
      <w:spacing w:after="160" w:before="300"/>
      <w:outlineLvl w:val="1"/>
    </w:pPr>
    <w:rPr>
      <w:rFonts w:ascii="Arial" w:cs="Arial" w:eastAsia="Arial" w:hAnsi="Arial"/>
      <w:b/>
      <w:bCs/>
      <w:color w:val="2E75B6"/>
      <w:sz w:val="26"/>
      <w:szCs w:val="26"/>
    </w:rPr>
  </w:style>
  <w:style w:type="paragraph" w:styleId="Heading3">
    <w:name w:val="Heading 3"/>
    <w:basedOn w:val="Normal"/>
    <w:next w:val="Normal"/>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2026-05-04T08:42:30.474Z</dcterms:created>
  <dcterms:modified xsi:type="dcterms:W3CDTF">2026-05-04T08:42:30.475Z</dcterms:modified>
</cp:coreProperties>
</file>

<file path=docProps/custom.xml><?xml version="1.0" encoding="utf-8"?>
<Properties xmlns="http://schemas.openxmlformats.org/officeDocument/2006/custom-properties" xmlns:vt="http://schemas.openxmlformats.org/officeDocument/2006/docPropsVTypes"/>
</file>