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rPr>
          <w:sz w:val="36"/>
          <w:szCs w:val="36"/>
        </w:rPr>
      </w:pPr>
      <w:r>
        <w:rPr>
          <w:sz w:val="36"/>
          <w:szCs w:val="36"/>
          <w:lang w:val="en-GB"/>
        </w:rPr>
        <w:t xml:space="preserve">The aweful case of Baldwin seems to have gone off the air with what is happening in the Ukraine. But for those of us who are still working, in a regulated environment , i think that the Baldwin/Hutchins case still resonates highly with todays health and safety culture. 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GB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