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Calibri" w:hAnsi="Calibri"/>
          <w:b/>
          <w:color w:val="0B2545"/>
          <w:sz w:val="44"/>
        </w:rPr>
        <w:t>Watermarking for Large Language Models and Structured Time-Series Data</w:t>
      </w:r>
    </w:p>
    <w:p>
      <w:pPr>
        <w:spacing w:after="360"/>
        <w:jc w:val="center"/>
      </w:pPr>
      <w:r>
        <w:rPr>
          <w:i/>
          <w:sz w:val="26"/>
        </w:rPr>
        <w:t>Final Group Project Report</w:t>
      </w:r>
    </w:p>
    <w:tbl>
      <w:tblPr>
        <w:tblW w:type="dxa" w:w="9360"/>
        <w:jc w:val="center"/>
        <w:tblLayout w:type="fixed"/>
        <w:tblLook w:firstColumn="1" w:firstRow="1" w:lastColumn="0" w:lastRow="0" w:noHBand="0" w:noVBand="1" w:val="04A0"/>
      </w:tblPr>
      <w:tblGrid>
        <w:gridCol w:w="4680"/>
        <w:gridCol w:w="4680"/>
      </w:tblGrid>
      <w:tr>
        <w:tc>
          <w:tcPr>
            <w:tcW w:type="dxa" w:w="2448"/>
            <w:tcMar>
              <w:top w:w="80" w:type="dxa"/>
              <w:start w:w="120" w:type="dxa"/>
              <w:bottom w:w="80" w:type="dxa"/>
              <w:end w:w="120" w:type="dxa"/>
            </w:tcMar>
            <w:vAlign w:val="center"/>
            <w:shd w:fill="F2F4F7"/>
          </w:tcPr>
          <w:p>
            <w:r>
              <w:t>Course</w:t>
            </w:r>
          </w:p>
        </w:tc>
        <w:tc>
          <w:tcPr>
            <w:tcW w:type="dxa" w:w="6912"/>
            <w:tcMar>
              <w:top w:w="80" w:type="dxa"/>
              <w:start w:w="120" w:type="dxa"/>
              <w:bottom w:w="80" w:type="dxa"/>
              <w:end w:w="120" w:type="dxa"/>
            </w:tcMar>
            <w:vAlign w:val="center"/>
            <w:shd w:fill="F2F4F7"/>
          </w:tcPr>
          <w:p>
            <w:r>
              <w:t>Artificial Intelligence</w:t>
            </w:r>
          </w:p>
        </w:tc>
      </w:tr>
      <w:tr>
        <w:tc>
          <w:tcPr>
            <w:tcW w:type="dxa" w:w="2448"/>
            <w:tcMar>
              <w:top w:w="80" w:type="dxa"/>
              <w:start w:w="120" w:type="dxa"/>
              <w:bottom w:w="80" w:type="dxa"/>
              <w:end w:w="120" w:type="dxa"/>
            </w:tcMar>
            <w:vAlign w:val="center"/>
            <w:shd w:fill="F2F4F7"/>
          </w:tcPr>
          <w:p>
            <w:r>
              <w:t>Report Format</w:t>
            </w:r>
          </w:p>
        </w:tc>
        <w:tc>
          <w:tcPr>
            <w:tcW w:type="dxa" w:w="6912"/>
            <w:tcMar>
              <w:top w:w="80" w:type="dxa"/>
              <w:start w:w="120" w:type="dxa"/>
              <w:bottom w:w="80" w:type="dxa"/>
              <w:end w:w="120" w:type="dxa"/>
            </w:tcMar>
            <w:vAlign w:val="center"/>
          </w:tcPr>
          <w:p>
            <w:r>
              <w:t>Machine-learning paper style</w:t>
            </w:r>
          </w:p>
        </w:tc>
      </w:tr>
      <w:tr>
        <w:tc>
          <w:tcPr>
            <w:tcW w:type="dxa" w:w="2448"/>
            <w:tcMar>
              <w:top w:w="80" w:type="dxa"/>
              <w:start w:w="120" w:type="dxa"/>
              <w:bottom w:w="80" w:type="dxa"/>
              <w:end w:w="120" w:type="dxa"/>
            </w:tcMar>
            <w:vAlign w:val="center"/>
            <w:shd w:fill="F2F4F7"/>
          </w:tcPr>
          <w:p>
            <w:r>
              <w:t>Team Members</w:t>
            </w:r>
          </w:p>
        </w:tc>
        <w:tc>
          <w:tcPr>
            <w:tcW w:type="dxa" w:w="6912"/>
            <w:tcMar>
              <w:top w:w="80" w:type="dxa"/>
              <w:start w:w="120" w:type="dxa"/>
              <w:bottom w:w="80" w:type="dxa"/>
              <w:end w:w="120" w:type="dxa"/>
            </w:tcMar>
            <w:vAlign w:val="center"/>
          </w:tcPr>
          <w:p>
            <w:r>
              <w:t>郑胜文, 胡辉宇</w:t>
            </w:r>
          </w:p>
        </w:tc>
      </w:tr>
      <w:tr>
        <w:tc>
          <w:tcPr>
            <w:tcW w:type="dxa" w:w="2448"/>
            <w:tcMar>
              <w:top w:w="80" w:type="dxa"/>
              <w:start w:w="120" w:type="dxa"/>
              <w:bottom w:w="80" w:type="dxa"/>
              <w:end w:w="120" w:type="dxa"/>
            </w:tcMar>
            <w:vAlign w:val="center"/>
            <w:shd w:fill="F2F4F7"/>
          </w:tcPr>
          <w:p>
            <w:r>
              <w:t>Due Date</w:t>
            </w:r>
          </w:p>
        </w:tc>
        <w:tc>
          <w:tcPr>
            <w:tcW w:type="dxa" w:w="6912"/>
            <w:tcMar>
              <w:top w:w="80" w:type="dxa"/>
              <w:start w:w="120" w:type="dxa"/>
              <w:bottom w:w="80" w:type="dxa"/>
              <w:end w:w="120" w:type="dxa"/>
            </w:tcMar>
            <w:vAlign w:val="center"/>
          </w:tcPr>
          <w:p>
            <w:r>
              <w:t>30 June 2026</w:t>
            </w:r>
          </w:p>
        </w:tc>
      </w:tr>
    </w:tbl>
    <w:p/>
    <w:p>
      <w:pPr>
        <w:pStyle w:val="Heading1"/>
        <w:spacing w:before="360"/>
      </w:pPr>
      <w:r>
        <w:t>Abstract</w:t>
      </w:r>
    </w:p>
    <w:p>
      <w:pPr/>
      <w:r>
        <w:t>This project studies watermarking as a practical mechanism for tracing machine-generated content. We reproduce two representative LLM text watermarking algorithms, KGW green-list watermarking and an unbiased probability-reweighting watermark, on Qwen2.5-0.5B-Instruct. We evaluate detectability, generation quality, runtime overhead, false positives on human text, parameter sensitivity, and robustness under deletion and synonym-substitution attacks. We further design a structured residual watermark for tabular and time-series foundation-model outputs, embedding a 12-bit payload into small numerical residuals while preserving the marginal distribution and time-series structure. Experiments show that KGW provides the strongest detection signal and robustness, while the unbiased method preserves text quality more closely. The structured residual watermark achieves perfect bit recovery under additive noise, row deletion, and quantization, but is more vulnerable to smoothing.</w:t>
      </w:r>
    </w:p>
    <w:p>
      <w:pPr>
        <w:pStyle w:val="Heading1"/>
      </w:pPr>
      <w:r>
        <w:t>1. Introduction</w:t>
      </w:r>
    </w:p>
    <w:p>
      <w:pPr/>
      <w:r>
        <w:t>Large language models can generate fluent text at low cost, which creates both useful applications and attribution risks. Watermarking addresses this problem by inserting a hidden statistical signal during generation and detecting the signal later without changing the visible task interface. A good watermark should be detectable, hard to remove, computationally lightweight, and minimally harmful to output quality.</w:t>
      </w:r>
    </w:p>
    <w:p>
      <w:pPr/>
      <w:r>
        <w:t>Our project has two goals. First, we reproduce and evaluate two text watermarking methods for LLM generation: KGW, which biases tokens from a pseudorandom green list, and an unbiased probability-reweighting method inspired by distribution-preserving watermarking. Second, we extend the watermarking idea to structured data by embedding payload bits into residuals of synthetic time-series outputs. This extension is useful because modern foundation models increasingly generate tables, trajectories, forecasts, and other numerical sequences, not only text.</w:t>
      </w:r>
    </w:p>
    <w:p>
      <w:pPr>
        <w:pStyle w:val="Heading1"/>
      </w:pPr>
      <w:r>
        <w:t>2. Problem Definition</w:t>
      </w:r>
    </w:p>
    <w:p>
      <w:pPr/>
      <w:r>
        <w:t>For text generation, the watermarking problem is defined over a language model distribution p(x_t | x_&lt;t). During decoding, a secret key partitions the vocabulary into green and red tokens based on context. A watermarking algorithm modifies the decoding distribution so that green tokens are sampled more often than expected under an unwatermarked model. Given a generated sequence, the detector computes a z-score measuring green-token enrichment relative to a binomial null distribution. A sequence is classified as watermarked when the z-score exceeds a threshold.</w:t>
      </w:r>
    </w:p>
    <w:p>
      <w:pPr/>
      <w:r>
        <w:t>For structured time-series data, the problem is to embed an identity payload into numerical outputs while preserving statistical utility. The detector should recover the payload after realistic transformations such as noise injection, row deletion, quantization, and smoothing. The main constraints are imperceptibility, payload capacity, and robustness.</w:t>
      </w:r>
    </w:p>
    <w:p>
      <w:pPr>
        <w:pStyle w:val="Heading1"/>
      </w:pPr>
      <w:r>
        <w:t>3. Algorithm Design</w:t>
      </w:r>
    </w:p>
    <w:p>
      <w:pPr>
        <w:pStyle w:val="Heading2"/>
      </w:pPr>
      <w:r>
        <w:t>3.1 KGW Green-List Text Watermark</w:t>
      </w:r>
    </w:p>
    <w:p>
      <w:pPr/>
      <w:r>
        <w:t>KGW constructs a pseudorandom green list using a stable hash of recent context tokens and a secret key. During generation, green-list logits receive an additive bias delta. The detector repeats the same green-list construction and computes:</w:t>
      </w:r>
    </w:p>
    <w:p>
      <w:pPr/>
      <w:r>
        <w:t>z = (G - gamma n) / sqrt(n gamma (1 - gamma)), where G is the number of generated green tokens, n is the number of generated tokens, and gamma is the expected green-list fraction.</w:t>
      </w:r>
    </w:p>
    <w:p>
      <w:pPr>
        <w:pStyle w:val="Heading2"/>
      </w:pPr>
      <w:r>
        <w:t>3.2 Unbiased Probability-Reweighting Watermark</w:t>
      </w:r>
    </w:p>
    <w:p>
      <w:pPr/>
      <w:r>
        <w:t>The unbiased method uses the same secret-keyed green-list partition but modifies token probabilities by multiplying green-token probabilities by alpha and renormalizing. This generally produces a weaker detection signal than direct logit bias, but it is designed to reduce quality degradation because the transformation operates directly on the probability mass.</w:t>
      </w:r>
    </w:p>
    <w:p>
      <w:pPr>
        <w:pStyle w:val="Heading2"/>
      </w:pPr>
      <w:r>
        <w:t>3.3 Structured Residual Watermark</w:t>
      </w:r>
    </w:p>
    <w:p>
      <w:pPr/>
      <w:r>
        <w:t>For tabular and time-series outputs, we embed a 12-bit payload into small residual perturbations rather than token choices. Each entity-time record receives a deterministic assignment from a secret hash. Bit value 1 and bit value 0 correspond to opposite signed residual shifts. Detection aggregates residual signs over all records assigned to each bit and computes a bit-level z-score. The perturbation magnitude is only about 3% of the data standard deviation, so the watermark remains small relative to natural variation.</w:t>
      </w:r>
    </w:p>
    <w:p>
      <w:pPr>
        <w:pStyle w:val="Heading1"/>
      </w:pPr>
      <w:r>
        <w:t>4. Experiments</w:t>
      </w:r>
    </w:p>
    <w:p>
      <w:pPr/>
      <w:r>
        <w:t>The text experiments use Qwen2.5-0.5B-Instruct with 100 Chinese prompts, maximum generation length of 80 new tokens, temperature 0.9, and top-p 0.95. Human-written Chinese texts are used as negative samples for false-positive evaluation. We compare baseline generation, KGW, and unbiased watermarking across detection, perplexity, latency, ROC/AUC, and attack robustness.</w:t>
      </w:r>
    </w:p>
    <w:p>
      <w:pPr/>
      <w:r>
        <w:t>The structured-data experiment uses 48 entities and 150 time steps, for 7200 total rows. The payload is 12 bits. We evaluate distribution preservation with summary statistics, correlations, and a Kolmogorov-Smirnov test, then test robustness under additive noise, random row dropping, smoothing, and quantization.</w:t>
      </w:r>
    </w:p>
    <w:p>
      <w:pPr>
        <w:pStyle w:val="Heading1"/>
      </w:pPr>
      <w:r>
        <w:t>5. Evaluation</w:t>
      </w:r>
    </w:p>
    <w:p>
      <w:pPr>
        <w:pStyle w:val="Heading2"/>
      </w:pPr>
      <w:r>
        <w:t>5.1 Text Watermark Reproduction</w:t>
      </w:r>
    </w:p>
    <w:tbl>
      <w:tblPr>
        <w:tblW w:type="dxa" w:w="9360"/>
        <w:jc w:val="center"/>
        <w:tblLayout w:type="fixed"/>
        <w:tblLook w:firstColumn="1" w:firstRow="1" w:lastColumn="0" w:lastRow="0" w:noHBand="0" w:noVBand="1" w:val="04A0"/>
      </w:tblPr>
      <w:tblGrid>
        <w:gridCol w:w="1560"/>
        <w:gridCol w:w="1560"/>
        <w:gridCol w:w="1560"/>
        <w:gridCol w:w="1560"/>
        <w:gridCol w:w="1560"/>
        <w:gridCol w:w="1560"/>
      </w:tblGrid>
      <w:tr>
        <w:tc>
          <w:tcPr>
            <w:tcW w:type="dxa" w:w="1800"/>
            <w:tcMar>
              <w:top w:w="80" w:type="dxa"/>
              <w:start w:w="120" w:type="dxa"/>
              <w:bottom w:w="80" w:type="dxa"/>
              <w:end w:w="120" w:type="dxa"/>
            </w:tcMar>
            <w:vAlign w:val="center"/>
            <w:shd w:fill="F2F4F7"/>
          </w:tcPr>
          <w:p>
            <w:r>
              <w:rPr>
                <w:rFonts w:ascii="Calibri" w:hAnsi="Calibri"/>
                <w:b/>
                <w:sz w:val="18"/>
              </w:rPr>
              <w:t>Method</w:t>
            </w:r>
          </w:p>
        </w:tc>
        <w:tc>
          <w:tcPr>
            <w:tcW w:type="dxa" w:w="1224"/>
            <w:tcMar>
              <w:top w:w="80" w:type="dxa"/>
              <w:start w:w="120" w:type="dxa"/>
              <w:bottom w:w="80" w:type="dxa"/>
              <w:end w:w="120" w:type="dxa"/>
            </w:tcMar>
            <w:vAlign w:val="center"/>
            <w:shd w:fill="F2F4F7"/>
          </w:tcPr>
          <w:p>
            <w:r>
              <w:rPr>
                <w:rFonts w:ascii="Calibri" w:hAnsi="Calibri"/>
                <w:b/>
                <w:sz w:val="18"/>
              </w:rPr>
              <w:t>Samples</w:t>
            </w:r>
          </w:p>
        </w:tc>
        <w:tc>
          <w:tcPr>
            <w:tcW w:type="dxa" w:w="1584"/>
            <w:tcMar>
              <w:top w:w="80" w:type="dxa"/>
              <w:start w:w="120" w:type="dxa"/>
              <w:bottom w:w="80" w:type="dxa"/>
              <w:end w:w="120" w:type="dxa"/>
            </w:tcMar>
            <w:vAlign w:val="center"/>
            <w:shd w:fill="F2F4F7"/>
          </w:tcPr>
          <w:p>
            <w:r>
              <w:rPr>
                <w:rFonts w:ascii="Calibri" w:hAnsi="Calibri"/>
                <w:b/>
                <w:sz w:val="18"/>
              </w:rPr>
              <w:t>Mean z-score</w:t>
            </w:r>
          </w:p>
        </w:tc>
        <w:tc>
          <w:tcPr>
            <w:tcW w:type="dxa" w:w="1440"/>
            <w:tcMar>
              <w:top w:w="80" w:type="dxa"/>
              <w:start w:w="120" w:type="dxa"/>
              <w:bottom w:w="80" w:type="dxa"/>
              <w:end w:w="120" w:type="dxa"/>
            </w:tcMar>
            <w:vAlign w:val="center"/>
            <w:shd w:fill="F2F4F7"/>
          </w:tcPr>
          <w:p>
            <w:r>
              <w:rPr>
                <w:rFonts w:ascii="Calibri" w:hAnsi="Calibri"/>
                <w:b/>
                <w:sz w:val="18"/>
              </w:rPr>
              <w:t>Mean PPL</w:t>
            </w:r>
          </w:p>
        </w:tc>
        <w:tc>
          <w:tcPr>
            <w:tcW w:type="dxa" w:w="1656"/>
            <w:tcMar>
              <w:top w:w="80" w:type="dxa"/>
              <w:start w:w="120" w:type="dxa"/>
              <w:bottom w:w="80" w:type="dxa"/>
              <w:end w:w="120" w:type="dxa"/>
            </w:tcMar>
            <w:vAlign w:val="center"/>
            <w:shd w:fill="F2F4F7"/>
          </w:tcPr>
          <w:p>
            <w:r>
              <w:rPr>
                <w:rFonts w:ascii="Calibri" w:hAnsi="Calibri"/>
                <w:b/>
                <w:sz w:val="18"/>
              </w:rPr>
              <w:t>Mean seconds</w:t>
            </w:r>
          </w:p>
        </w:tc>
        <w:tc>
          <w:tcPr>
            <w:tcW w:type="dxa" w:w="1440"/>
            <w:tcMar>
              <w:top w:w="80" w:type="dxa"/>
              <w:start w:w="120" w:type="dxa"/>
              <w:bottom w:w="80" w:type="dxa"/>
              <w:end w:w="120" w:type="dxa"/>
            </w:tcMar>
            <w:vAlign w:val="center"/>
            <w:shd w:fill="F2F4F7"/>
          </w:tcPr>
          <w:p>
            <w:r>
              <w:rPr>
                <w:rFonts w:ascii="Calibri" w:hAnsi="Calibri"/>
                <w:b/>
                <w:sz w:val="18"/>
              </w:rPr>
              <w:t>Mean tokens</w:t>
            </w:r>
          </w:p>
        </w:tc>
      </w:tr>
      <w:tr>
        <w:tc>
          <w:tcPr>
            <w:tcW w:type="dxa" w:w="1800"/>
            <w:tcMar>
              <w:top w:w="80" w:type="dxa"/>
              <w:start w:w="120" w:type="dxa"/>
              <w:bottom w:w="80" w:type="dxa"/>
              <w:end w:w="120" w:type="dxa"/>
            </w:tcMar>
            <w:vAlign w:val="center"/>
          </w:tcPr>
          <w:p>
            <w:r>
              <w:rPr>
                <w:rFonts w:ascii="Calibri" w:hAnsi="Calibri"/>
                <w:sz w:val="18"/>
              </w:rPr>
              <w:t>Baseline</w:t>
            </w:r>
          </w:p>
        </w:tc>
        <w:tc>
          <w:tcPr>
            <w:tcW w:type="dxa" w:w="1224"/>
            <w:tcMar>
              <w:top w:w="80" w:type="dxa"/>
              <w:start w:w="120" w:type="dxa"/>
              <w:bottom w:w="80" w:type="dxa"/>
              <w:end w:w="120" w:type="dxa"/>
            </w:tcMar>
            <w:vAlign w:val="center"/>
          </w:tcPr>
          <w:p>
            <w:r>
              <w:rPr>
                <w:rFonts w:ascii="Calibri" w:hAnsi="Calibri"/>
                <w:sz w:val="18"/>
              </w:rPr>
              <w:t>100</w:t>
            </w:r>
          </w:p>
        </w:tc>
        <w:tc>
          <w:tcPr>
            <w:tcW w:type="dxa" w:w="1584"/>
            <w:tcMar>
              <w:top w:w="80" w:type="dxa"/>
              <w:start w:w="120" w:type="dxa"/>
              <w:bottom w:w="80" w:type="dxa"/>
              <w:end w:w="120" w:type="dxa"/>
            </w:tcMar>
            <w:vAlign w:val="center"/>
          </w:tcPr>
          <w:p>
            <w:r>
              <w:rPr>
                <w:rFonts w:ascii="Calibri" w:hAnsi="Calibri"/>
                <w:sz w:val="18"/>
              </w:rPr>
              <w:t>0.13</w:t>
            </w:r>
          </w:p>
        </w:tc>
        <w:tc>
          <w:tcPr>
            <w:tcW w:type="dxa" w:w="1440"/>
            <w:tcMar>
              <w:top w:w="80" w:type="dxa"/>
              <w:start w:w="120" w:type="dxa"/>
              <w:bottom w:w="80" w:type="dxa"/>
              <w:end w:w="120" w:type="dxa"/>
            </w:tcMar>
            <w:vAlign w:val="center"/>
          </w:tcPr>
          <w:p>
            <w:r>
              <w:rPr>
                <w:rFonts w:ascii="Calibri" w:hAnsi="Calibri"/>
                <w:sz w:val="18"/>
              </w:rPr>
              <w:t>9.24</w:t>
            </w:r>
          </w:p>
        </w:tc>
        <w:tc>
          <w:tcPr>
            <w:tcW w:type="dxa" w:w="1656"/>
            <w:tcMar>
              <w:top w:w="80" w:type="dxa"/>
              <w:start w:w="120" w:type="dxa"/>
              <w:bottom w:w="80" w:type="dxa"/>
              <w:end w:w="120" w:type="dxa"/>
            </w:tcMar>
            <w:vAlign w:val="center"/>
          </w:tcPr>
          <w:p>
            <w:r>
              <w:rPr>
                <w:rFonts w:ascii="Calibri" w:hAnsi="Calibri"/>
                <w:sz w:val="18"/>
              </w:rPr>
              <w:t>1.73</w:t>
            </w:r>
          </w:p>
        </w:tc>
        <w:tc>
          <w:tcPr>
            <w:tcW w:type="dxa" w:w="1440"/>
            <w:tcMar>
              <w:top w:w="80" w:type="dxa"/>
              <w:start w:w="120" w:type="dxa"/>
              <w:bottom w:w="80" w:type="dxa"/>
              <w:end w:w="120" w:type="dxa"/>
            </w:tcMar>
            <w:vAlign w:val="center"/>
          </w:tcPr>
          <w:p>
            <w:r>
              <w:rPr>
                <w:rFonts w:ascii="Calibri" w:hAnsi="Calibri"/>
                <w:sz w:val="18"/>
              </w:rPr>
              <w:t>80</w:t>
            </w:r>
          </w:p>
        </w:tc>
      </w:tr>
      <w:tr>
        <w:tc>
          <w:tcPr>
            <w:tcW w:type="dxa" w:w="1800"/>
            <w:tcMar>
              <w:top w:w="80" w:type="dxa"/>
              <w:start w:w="120" w:type="dxa"/>
              <w:bottom w:w="80" w:type="dxa"/>
              <w:end w:w="120" w:type="dxa"/>
            </w:tcMar>
            <w:vAlign w:val="center"/>
          </w:tcPr>
          <w:p>
            <w:r>
              <w:rPr>
                <w:rFonts w:ascii="Calibri" w:hAnsi="Calibri"/>
                <w:sz w:val="18"/>
              </w:rPr>
              <w:t>KGW</w:t>
            </w:r>
          </w:p>
        </w:tc>
        <w:tc>
          <w:tcPr>
            <w:tcW w:type="dxa" w:w="1224"/>
            <w:tcMar>
              <w:top w:w="80" w:type="dxa"/>
              <w:start w:w="120" w:type="dxa"/>
              <w:bottom w:w="80" w:type="dxa"/>
              <w:end w:w="120" w:type="dxa"/>
            </w:tcMar>
            <w:vAlign w:val="center"/>
          </w:tcPr>
          <w:p>
            <w:r>
              <w:rPr>
                <w:rFonts w:ascii="Calibri" w:hAnsi="Calibri"/>
                <w:sz w:val="18"/>
              </w:rPr>
              <w:t>100</w:t>
            </w:r>
          </w:p>
        </w:tc>
        <w:tc>
          <w:tcPr>
            <w:tcW w:type="dxa" w:w="1584"/>
            <w:tcMar>
              <w:top w:w="80" w:type="dxa"/>
              <w:start w:w="120" w:type="dxa"/>
              <w:bottom w:w="80" w:type="dxa"/>
              <w:end w:w="120" w:type="dxa"/>
            </w:tcMar>
            <w:vAlign w:val="center"/>
          </w:tcPr>
          <w:p>
            <w:r>
              <w:rPr>
                <w:rFonts w:ascii="Calibri" w:hAnsi="Calibri"/>
                <w:sz w:val="18"/>
              </w:rPr>
              <w:t>5.22</w:t>
            </w:r>
          </w:p>
        </w:tc>
        <w:tc>
          <w:tcPr>
            <w:tcW w:type="dxa" w:w="1440"/>
            <w:tcMar>
              <w:top w:w="80" w:type="dxa"/>
              <w:start w:w="120" w:type="dxa"/>
              <w:bottom w:w="80" w:type="dxa"/>
              <w:end w:w="120" w:type="dxa"/>
            </w:tcMar>
            <w:vAlign w:val="center"/>
          </w:tcPr>
          <w:p>
            <w:r>
              <w:rPr>
                <w:rFonts w:ascii="Calibri" w:hAnsi="Calibri"/>
                <w:sz w:val="18"/>
              </w:rPr>
              <w:t>12.18</w:t>
            </w:r>
          </w:p>
        </w:tc>
        <w:tc>
          <w:tcPr>
            <w:tcW w:type="dxa" w:w="1656"/>
            <w:tcMar>
              <w:top w:w="80" w:type="dxa"/>
              <w:start w:w="120" w:type="dxa"/>
              <w:bottom w:w="80" w:type="dxa"/>
              <w:end w:w="120" w:type="dxa"/>
            </w:tcMar>
            <w:vAlign w:val="center"/>
          </w:tcPr>
          <w:p>
            <w:r>
              <w:rPr>
                <w:rFonts w:ascii="Calibri" w:hAnsi="Calibri"/>
                <w:sz w:val="18"/>
              </w:rPr>
              <w:t>1.74</w:t>
            </w:r>
          </w:p>
        </w:tc>
        <w:tc>
          <w:tcPr>
            <w:tcW w:type="dxa" w:w="1440"/>
            <w:tcMar>
              <w:top w:w="80" w:type="dxa"/>
              <w:start w:w="120" w:type="dxa"/>
              <w:bottom w:w="80" w:type="dxa"/>
              <w:end w:w="120" w:type="dxa"/>
            </w:tcMar>
            <w:vAlign w:val="center"/>
          </w:tcPr>
          <w:p>
            <w:r>
              <w:rPr>
                <w:rFonts w:ascii="Calibri" w:hAnsi="Calibri"/>
                <w:sz w:val="18"/>
              </w:rPr>
              <w:t>80</w:t>
            </w:r>
          </w:p>
        </w:tc>
      </w:tr>
      <w:tr>
        <w:tc>
          <w:tcPr>
            <w:tcW w:type="dxa" w:w="1800"/>
            <w:tcMar>
              <w:top w:w="80" w:type="dxa"/>
              <w:start w:w="120" w:type="dxa"/>
              <w:bottom w:w="80" w:type="dxa"/>
              <w:end w:w="120" w:type="dxa"/>
            </w:tcMar>
            <w:vAlign w:val="center"/>
          </w:tcPr>
          <w:p>
            <w:r>
              <w:rPr>
                <w:rFonts w:ascii="Calibri" w:hAnsi="Calibri"/>
                <w:sz w:val="18"/>
              </w:rPr>
              <w:t>Unbiased</w:t>
            </w:r>
          </w:p>
        </w:tc>
        <w:tc>
          <w:tcPr>
            <w:tcW w:type="dxa" w:w="1224"/>
            <w:tcMar>
              <w:top w:w="80" w:type="dxa"/>
              <w:start w:w="120" w:type="dxa"/>
              <w:bottom w:w="80" w:type="dxa"/>
              <w:end w:w="120" w:type="dxa"/>
            </w:tcMar>
            <w:vAlign w:val="center"/>
          </w:tcPr>
          <w:p>
            <w:r>
              <w:rPr>
                <w:rFonts w:ascii="Calibri" w:hAnsi="Calibri"/>
                <w:sz w:val="18"/>
              </w:rPr>
              <w:t>100</w:t>
            </w:r>
          </w:p>
        </w:tc>
        <w:tc>
          <w:tcPr>
            <w:tcW w:type="dxa" w:w="1584"/>
            <w:tcMar>
              <w:top w:w="80" w:type="dxa"/>
              <w:start w:w="120" w:type="dxa"/>
              <w:bottom w:w="80" w:type="dxa"/>
              <w:end w:w="120" w:type="dxa"/>
            </w:tcMar>
            <w:vAlign w:val="center"/>
          </w:tcPr>
          <w:p>
            <w:r>
              <w:rPr>
                <w:rFonts w:ascii="Calibri" w:hAnsi="Calibri"/>
                <w:sz w:val="18"/>
              </w:rPr>
              <w:t>2.75</w:t>
            </w:r>
          </w:p>
        </w:tc>
        <w:tc>
          <w:tcPr>
            <w:tcW w:type="dxa" w:w="1440"/>
            <w:tcMar>
              <w:top w:w="80" w:type="dxa"/>
              <w:start w:w="120" w:type="dxa"/>
              <w:bottom w:w="80" w:type="dxa"/>
              <w:end w:w="120" w:type="dxa"/>
            </w:tcMar>
            <w:vAlign w:val="center"/>
          </w:tcPr>
          <w:p>
            <w:r>
              <w:rPr>
                <w:rFonts w:ascii="Calibri" w:hAnsi="Calibri"/>
                <w:sz w:val="18"/>
              </w:rPr>
              <w:t>9.91</w:t>
            </w:r>
          </w:p>
        </w:tc>
        <w:tc>
          <w:tcPr>
            <w:tcW w:type="dxa" w:w="1656"/>
            <w:tcMar>
              <w:top w:w="80" w:type="dxa"/>
              <w:start w:w="120" w:type="dxa"/>
              <w:bottom w:w="80" w:type="dxa"/>
              <w:end w:w="120" w:type="dxa"/>
            </w:tcMar>
            <w:vAlign w:val="center"/>
          </w:tcPr>
          <w:p>
            <w:r>
              <w:rPr>
                <w:rFonts w:ascii="Calibri" w:hAnsi="Calibri"/>
                <w:sz w:val="18"/>
              </w:rPr>
              <w:t>1.77</w:t>
            </w:r>
          </w:p>
        </w:tc>
        <w:tc>
          <w:tcPr>
            <w:tcW w:type="dxa" w:w="1440"/>
            <w:tcMar>
              <w:top w:w="80" w:type="dxa"/>
              <w:start w:w="120" w:type="dxa"/>
              <w:bottom w:w="80" w:type="dxa"/>
              <w:end w:w="120" w:type="dxa"/>
            </w:tcMar>
            <w:vAlign w:val="center"/>
          </w:tcPr>
          <w:p>
            <w:r>
              <w:rPr>
                <w:rFonts w:ascii="Calibri" w:hAnsi="Calibri"/>
                <w:sz w:val="18"/>
              </w:rPr>
              <w:t>80</w:t>
            </w:r>
          </w:p>
        </w:tc>
      </w:tr>
    </w:tbl>
    <w:p>
      <w:pPr>
        <w:spacing w:before="40" w:after="160"/>
        <w:jc w:val="center"/>
      </w:pPr>
      <w:r>
        <w:rPr>
          <w:i/>
          <w:color w:val="5A5A5A"/>
          <w:sz w:val="18"/>
        </w:rPr>
        <w:t>Table 1. Assignment 1 reproduction results on 100 prompts.</w:t>
      </w:r>
    </w:p>
    <w:p>
      <w:pPr/>
      <w:r>
        <w:t>KGW produces the strongest detection signal: its mean z-score is 5.22, clearly above the common threshold z=2. The unbiased method also produces a detectable signal with mean z=2.75, but its signal is weaker. The quality tradeoff is visible in perplexity: KGW increases mean PPL from 9.24 to 12.18, while the unbiased method stays closer to baseline at 9.91. Runtime overhead is small for both methods, with per-sample latency remaining near baseline.</w:t>
      </w:r>
    </w:p>
    <w:p>
      <w:r>
        <w:drawing>
          <wp:inline xmlns:a="http://schemas.openxmlformats.org/drawingml/2006/main" xmlns:pic="http://schemas.openxmlformats.org/drawingml/2006/picture">
            <wp:extent cx="5669280" cy="3855886"/>
            <wp:docPr id="1" name="Picture 1"/>
            <wp:cNvGraphicFramePr>
              <a:graphicFrameLocks noChangeAspect="1"/>
            </wp:cNvGraphicFramePr>
            <a:graphic>
              <a:graphicData uri="http://schemas.openxmlformats.org/drawingml/2006/picture">
                <pic:pic>
                  <pic:nvPicPr>
                    <pic:cNvPr id="0" name="assignment1_full_charts.png"/>
                    <pic:cNvPicPr/>
                  </pic:nvPicPr>
                  <pic:blipFill>
                    <a:blip r:embed="rId9"/>
                    <a:stretch>
                      <a:fillRect/>
                    </a:stretch>
                  </pic:blipFill>
                  <pic:spPr>
                    <a:xfrm>
                      <a:off x="0" y="0"/>
                      <a:ext cx="5669280" cy="3855886"/>
                    </a:xfrm>
                    <a:prstGeom prst="rect"/>
                  </pic:spPr>
                </pic:pic>
              </a:graphicData>
            </a:graphic>
          </wp:inline>
        </w:drawing>
      </w:r>
    </w:p>
    <w:p>
      <w:pPr>
        <w:spacing w:before="40" w:after="160"/>
        <w:jc w:val="center"/>
      </w:pPr>
      <w:r>
        <w:rPr>
          <w:i/>
          <w:color w:val="5A5A5A"/>
          <w:sz w:val="18"/>
        </w:rPr>
        <w:t>Figure 1. Detection, quality, and runtime comparison for baseline, KGW, and unbiased watermarking.</w:t>
      </w:r>
    </w:p>
    <w:p>
      <w:pPr>
        <w:pStyle w:val="Heading2"/>
      </w:pPr>
      <w:r>
        <w:t>5.2 Detection Metrics and Parameter Sensitivity</w:t>
      </w:r>
    </w:p>
    <w:tbl>
      <w:tblPr>
        <w:tblW w:type="dxa" w:w="936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232"/>
            <w:tcMar>
              <w:top w:w="80" w:type="dxa"/>
              <w:start w:w="120" w:type="dxa"/>
              <w:bottom w:w="80" w:type="dxa"/>
              <w:end w:w="120" w:type="dxa"/>
            </w:tcMar>
            <w:vAlign w:val="center"/>
            <w:shd w:fill="F2F4F7"/>
          </w:tcPr>
          <w:p>
            <w:r>
              <w:rPr>
                <w:rFonts w:ascii="Calibri" w:hAnsi="Calibri"/>
                <w:b/>
                <w:sz w:val="18"/>
              </w:rPr>
              <w:t>Configuration</w:t>
            </w:r>
          </w:p>
        </w:tc>
        <w:tc>
          <w:tcPr>
            <w:tcW w:type="dxa" w:w="1224"/>
            <w:tcMar>
              <w:top w:w="80" w:type="dxa"/>
              <w:start w:w="120" w:type="dxa"/>
              <w:bottom w:w="80" w:type="dxa"/>
              <w:end w:w="120" w:type="dxa"/>
            </w:tcMar>
            <w:vAlign w:val="center"/>
            <w:shd w:fill="F2F4F7"/>
          </w:tcPr>
          <w:p>
            <w:r>
              <w:rPr>
                <w:rFonts w:ascii="Calibri" w:hAnsi="Calibri"/>
                <w:b/>
                <w:sz w:val="18"/>
              </w:rPr>
              <w:t>Threshold</w:t>
            </w:r>
          </w:p>
        </w:tc>
        <w:tc>
          <w:tcPr>
            <w:tcW w:type="dxa" w:w="1224"/>
            <w:tcMar>
              <w:top w:w="80" w:type="dxa"/>
              <w:start w:w="120" w:type="dxa"/>
              <w:bottom w:w="80" w:type="dxa"/>
              <w:end w:w="120" w:type="dxa"/>
            </w:tcMar>
            <w:vAlign w:val="center"/>
            <w:shd w:fill="F2F4F7"/>
          </w:tcPr>
          <w:p>
            <w:r>
              <w:rPr>
                <w:rFonts w:ascii="Calibri" w:hAnsi="Calibri"/>
                <w:b/>
                <w:sz w:val="18"/>
              </w:rPr>
              <w:t>Accuracy</w:t>
            </w:r>
          </w:p>
        </w:tc>
        <w:tc>
          <w:tcPr>
            <w:tcW w:type="dxa" w:w="1296"/>
            <w:tcMar>
              <w:top w:w="80" w:type="dxa"/>
              <w:start w:w="120" w:type="dxa"/>
              <w:bottom w:w="80" w:type="dxa"/>
              <w:end w:w="120" w:type="dxa"/>
            </w:tcMar>
            <w:vAlign w:val="center"/>
            <w:shd w:fill="F2F4F7"/>
          </w:tcPr>
          <w:p>
            <w:r>
              <w:rPr>
                <w:rFonts w:ascii="Calibri" w:hAnsi="Calibri"/>
                <w:b/>
                <w:sz w:val="18"/>
              </w:rPr>
              <w:t>Precision</w:t>
            </w:r>
          </w:p>
        </w:tc>
        <w:tc>
          <w:tcPr>
            <w:tcW w:type="dxa" w:w="1224"/>
            <w:tcMar>
              <w:top w:w="80" w:type="dxa"/>
              <w:start w:w="120" w:type="dxa"/>
              <w:bottom w:w="80" w:type="dxa"/>
              <w:end w:w="120" w:type="dxa"/>
            </w:tcMar>
            <w:vAlign w:val="center"/>
            <w:shd w:fill="F2F4F7"/>
          </w:tcPr>
          <w:p>
            <w:r>
              <w:rPr>
                <w:rFonts w:ascii="Calibri" w:hAnsi="Calibri"/>
                <w:b/>
                <w:sz w:val="18"/>
              </w:rPr>
              <w:t>Recall</w:t>
            </w:r>
          </w:p>
        </w:tc>
        <w:tc>
          <w:tcPr>
            <w:tcW w:type="dxa" w:w="1080"/>
            <w:tcMar>
              <w:top w:w="80" w:type="dxa"/>
              <w:start w:w="120" w:type="dxa"/>
              <w:bottom w:w="80" w:type="dxa"/>
              <w:end w:w="120" w:type="dxa"/>
            </w:tcMar>
            <w:vAlign w:val="center"/>
            <w:shd w:fill="F2F4F7"/>
          </w:tcPr>
          <w:p>
            <w:r>
              <w:rPr>
                <w:rFonts w:ascii="Calibri" w:hAnsi="Calibri"/>
                <w:b/>
                <w:sz w:val="18"/>
              </w:rPr>
              <w:t>F1</w:t>
            </w:r>
          </w:p>
        </w:tc>
        <w:tc>
          <w:tcPr>
            <w:tcW w:type="dxa" w:w="1080"/>
            <w:tcMar>
              <w:top w:w="80" w:type="dxa"/>
              <w:start w:w="120" w:type="dxa"/>
              <w:bottom w:w="80" w:type="dxa"/>
              <w:end w:w="120" w:type="dxa"/>
            </w:tcMar>
            <w:vAlign w:val="center"/>
            <w:shd w:fill="F2F4F7"/>
          </w:tcPr>
          <w:p>
            <w:r>
              <w:rPr>
                <w:rFonts w:ascii="Calibri" w:hAnsi="Calibri"/>
                <w:b/>
                <w:sz w:val="18"/>
              </w:rPr>
              <w:t>AUC</w:t>
            </w:r>
          </w:p>
        </w:tc>
      </w:tr>
      <w:tr>
        <w:tc>
          <w:tcPr>
            <w:tcW w:type="dxa" w:w="2232"/>
            <w:tcMar>
              <w:top w:w="80" w:type="dxa"/>
              <w:start w:w="120" w:type="dxa"/>
              <w:bottom w:w="80" w:type="dxa"/>
              <w:end w:w="120" w:type="dxa"/>
            </w:tcMar>
            <w:vAlign w:val="center"/>
          </w:tcPr>
          <w:p>
            <w:r>
              <w:rPr>
                <w:rFonts w:ascii="Calibri" w:hAnsi="Calibri"/>
                <w:sz w:val="18"/>
              </w:rPr>
              <w:t>KGW delta=1.5</w:t>
            </w:r>
          </w:p>
        </w:tc>
        <w:tc>
          <w:tcPr>
            <w:tcW w:type="dxa" w:w="1224"/>
            <w:tcMar>
              <w:top w:w="80" w:type="dxa"/>
              <w:start w:w="120" w:type="dxa"/>
              <w:bottom w:w="80" w:type="dxa"/>
              <w:end w:w="120" w:type="dxa"/>
            </w:tcMar>
            <w:vAlign w:val="center"/>
          </w:tcPr>
          <w:p>
            <w:r>
              <w:rPr>
                <w:rFonts w:ascii="Calibri" w:hAnsi="Calibri"/>
                <w:sz w:val="18"/>
              </w:rPr>
              <w:t>2.0</w:t>
            </w:r>
          </w:p>
        </w:tc>
        <w:tc>
          <w:tcPr>
            <w:tcW w:type="dxa" w:w="1224"/>
            <w:tcMar>
              <w:top w:w="80" w:type="dxa"/>
              <w:start w:w="120" w:type="dxa"/>
              <w:bottom w:w="80" w:type="dxa"/>
              <w:end w:w="120" w:type="dxa"/>
            </w:tcMar>
            <w:vAlign w:val="center"/>
          </w:tcPr>
          <w:p>
            <w:r>
              <w:rPr>
                <w:rFonts w:ascii="Calibri" w:hAnsi="Calibri"/>
                <w:sz w:val="18"/>
              </w:rPr>
              <w:t>0.985</w:t>
            </w:r>
          </w:p>
        </w:tc>
        <w:tc>
          <w:tcPr>
            <w:tcW w:type="dxa" w:w="1296"/>
            <w:tcMar>
              <w:top w:w="80" w:type="dxa"/>
              <w:start w:w="120" w:type="dxa"/>
              <w:bottom w:w="80" w:type="dxa"/>
              <w:end w:w="120" w:type="dxa"/>
            </w:tcMar>
            <w:vAlign w:val="center"/>
          </w:tcPr>
          <w:p>
            <w:r>
              <w:rPr>
                <w:rFonts w:ascii="Calibri" w:hAnsi="Calibri"/>
                <w:sz w:val="18"/>
              </w:rPr>
              <w:t>0.990</w:t>
            </w:r>
          </w:p>
        </w:tc>
        <w:tc>
          <w:tcPr>
            <w:tcW w:type="dxa" w:w="1224"/>
            <w:tcMar>
              <w:top w:w="80" w:type="dxa"/>
              <w:start w:w="120" w:type="dxa"/>
              <w:bottom w:w="80" w:type="dxa"/>
              <w:end w:w="120" w:type="dxa"/>
            </w:tcMar>
            <w:vAlign w:val="center"/>
          </w:tcPr>
          <w:p>
            <w:r>
              <w:rPr>
                <w:rFonts w:ascii="Calibri" w:hAnsi="Calibri"/>
                <w:sz w:val="18"/>
              </w:rPr>
              <w:t>0.980</w:t>
            </w:r>
          </w:p>
        </w:tc>
        <w:tc>
          <w:tcPr>
            <w:tcW w:type="dxa" w:w="1080"/>
            <w:tcMar>
              <w:top w:w="80" w:type="dxa"/>
              <w:start w:w="120" w:type="dxa"/>
              <w:bottom w:w="80" w:type="dxa"/>
              <w:end w:w="120" w:type="dxa"/>
            </w:tcMar>
            <w:vAlign w:val="center"/>
          </w:tcPr>
          <w:p>
            <w:r>
              <w:rPr>
                <w:rFonts w:ascii="Calibri" w:hAnsi="Calibri"/>
                <w:sz w:val="18"/>
              </w:rPr>
              <w:t>0.985</w:t>
            </w:r>
          </w:p>
        </w:tc>
        <w:tc>
          <w:tcPr>
            <w:tcW w:type="dxa" w:w="1080"/>
            <w:tcMar>
              <w:top w:w="80" w:type="dxa"/>
              <w:start w:w="120" w:type="dxa"/>
              <w:bottom w:w="80" w:type="dxa"/>
              <w:end w:w="120" w:type="dxa"/>
            </w:tcMar>
            <w:vAlign w:val="center"/>
          </w:tcPr>
          <w:p>
            <w:r>
              <w:rPr>
                <w:rFonts w:ascii="Calibri" w:hAnsi="Calibri"/>
                <w:sz w:val="18"/>
              </w:rPr>
              <w:t>0.999</w:t>
            </w:r>
          </w:p>
        </w:tc>
      </w:tr>
      <w:tr>
        <w:tc>
          <w:tcPr>
            <w:tcW w:type="dxa" w:w="2232"/>
            <w:tcMar>
              <w:top w:w="80" w:type="dxa"/>
              <w:start w:w="120" w:type="dxa"/>
              <w:bottom w:w="80" w:type="dxa"/>
              <w:end w:w="120" w:type="dxa"/>
            </w:tcMar>
            <w:vAlign w:val="center"/>
          </w:tcPr>
          <w:p>
            <w:r>
              <w:rPr>
                <w:rFonts w:ascii="Calibri" w:hAnsi="Calibri"/>
                <w:sz w:val="18"/>
              </w:rPr>
              <w:t>KGW delta=2.0</w:t>
            </w:r>
          </w:p>
        </w:tc>
        <w:tc>
          <w:tcPr>
            <w:tcW w:type="dxa" w:w="1224"/>
            <w:tcMar>
              <w:top w:w="80" w:type="dxa"/>
              <w:start w:w="120" w:type="dxa"/>
              <w:bottom w:w="80" w:type="dxa"/>
              <w:end w:w="120" w:type="dxa"/>
            </w:tcMar>
            <w:vAlign w:val="center"/>
          </w:tcPr>
          <w:p>
            <w:r>
              <w:rPr>
                <w:rFonts w:ascii="Calibri" w:hAnsi="Calibri"/>
                <w:sz w:val="18"/>
              </w:rPr>
              <w:t>2.0</w:t>
            </w:r>
          </w:p>
        </w:tc>
        <w:tc>
          <w:tcPr>
            <w:tcW w:type="dxa" w:w="1224"/>
            <w:tcMar>
              <w:top w:w="80" w:type="dxa"/>
              <w:start w:w="120" w:type="dxa"/>
              <w:bottom w:w="80" w:type="dxa"/>
              <w:end w:w="120" w:type="dxa"/>
            </w:tcMar>
            <w:vAlign w:val="center"/>
          </w:tcPr>
          <w:p>
            <w:r>
              <w:rPr>
                <w:rFonts w:ascii="Calibri" w:hAnsi="Calibri"/>
                <w:sz w:val="18"/>
              </w:rPr>
              <w:t>0.995</w:t>
            </w:r>
          </w:p>
        </w:tc>
        <w:tc>
          <w:tcPr>
            <w:tcW w:type="dxa" w:w="1296"/>
            <w:tcMar>
              <w:top w:w="80" w:type="dxa"/>
              <w:start w:w="120" w:type="dxa"/>
              <w:bottom w:w="80" w:type="dxa"/>
              <w:end w:w="120" w:type="dxa"/>
            </w:tcMar>
            <w:vAlign w:val="center"/>
          </w:tcPr>
          <w:p>
            <w:r>
              <w:rPr>
                <w:rFonts w:ascii="Calibri" w:hAnsi="Calibri"/>
                <w:sz w:val="18"/>
              </w:rPr>
              <w:t>0.990</w:t>
            </w:r>
          </w:p>
        </w:tc>
        <w:tc>
          <w:tcPr>
            <w:tcW w:type="dxa" w:w="1224"/>
            <w:tcMar>
              <w:top w:w="80" w:type="dxa"/>
              <w:start w:w="120" w:type="dxa"/>
              <w:bottom w:w="80" w:type="dxa"/>
              <w:end w:w="120" w:type="dxa"/>
            </w:tcMar>
            <w:vAlign w:val="center"/>
          </w:tcPr>
          <w:p>
            <w:r>
              <w:rPr>
                <w:rFonts w:ascii="Calibri" w:hAnsi="Calibri"/>
                <w:sz w:val="18"/>
              </w:rPr>
              <w:t>1.000</w:t>
            </w:r>
          </w:p>
        </w:tc>
        <w:tc>
          <w:tcPr>
            <w:tcW w:type="dxa" w:w="1080"/>
            <w:tcMar>
              <w:top w:w="80" w:type="dxa"/>
              <w:start w:w="120" w:type="dxa"/>
              <w:bottom w:w="80" w:type="dxa"/>
              <w:end w:w="120" w:type="dxa"/>
            </w:tcMar>
            <w:vAlign w:val="center"/>
          </w:tcPr>
          <w:p>
            <w:r>
              <w:rPr>
                <w:rFonts w:ascii="Calibri" w:hAnsi="Calibri"/>
                <w:sz w:val="18"/>
              </w:rPr>
              <w:t>0.995</w:t>
            </w:r>
          </w:p>
        </w:tc>
        <w:tc>
          <w:tcPr>
            <w:tcW w:type="dxa" w:w="1080"/>
            <w:tcMar>
              <w:top w:w="80" w:type="dxa"/>
              <w:start w:w="120" w:type="dxa"/>
              <w:bottom w:w="80" w:type="dxa"/>
              <w:end w:w="120" w:type="dxa"/>
            </w:tcMar>
            <w:vAlign w:val="center"/>
          </w:tcPr>
          <w:p>
            <w:r>
              <w:rPr>
                <w:rFonts w:ascii="Calibri" w:hAnsi="Calibri"/>
                <w:sz w:val="18"/>
              </w:rPr>
              <w:t>1.000</w:t>
            </w:r>
          </w:p>
        </w:tc>
      </w:tr>
      <w:tr>
        <w:tc>
          <w:tcPr>
            <w:tcW w:type="dxa" w:w="2232"/>
            <w:tcMar>
              <w:top w:w="80" w:type="dxa"/>
              <w:start w:w="120" w:type="dxa"/>
              <w:bottom w:w="80" w:type="dxa"/>
              <w:end w:w="120" w:type="dxa"/>
            </w:tcMar>
            <w:vAlign w:val="center"/>
          </w:tcPr>
          <w:p>
            <w:r>
              <w:rPr>
                <w:rFonts w:ascii="Calibri" w:hAnsi="Calibri"/>
                <w:sz w:val="18"/>
              </w:rPr>
              <w:t>KGW delta=2.5</w:t>
            </w:r>
          </w:p>
        </w:tc>
        <w:tc>
          <w:tcPr>
            <w:tcW w:type="dxa" w:w="1224"/>
            <w:tcMar>
              <w:top w:w="80" w:type="dxa"/>
              <w:start w:w="120" w:type="dxa"/>
              <w:bottom w:w="80" w:type="dxa"/>
              <w:end w:w="120" w:type="dxa"/>
            </w:tcMar>
            <w:vAlign w:val="center"/>
          </w:tcPr>
          <w:p>
            <w:r>
              <w:rPr>
                <w:rFonts w:ascii="Calibri" w:hAnsi="Calibri"/>
                <w:sz w:val="18"/>
              </w:rPr>
              <w:t>2.5</w:t>
            </w:r>
          </w:p>
        </w:tc>
        <w:tc>
          <w:tcPr>
            <w:tcW w:type="dxa" w:w="1224"/>
            <w:tcMar>
              <w:top w:w="80" w:type="dxa"/>
              <w:start w:w="120" w:type="dxa"/>
              <w:bottom w:w="80" w:type="dxa"/>
              <w:end w:w="120" w:type="dxa"/>
            </w:tcMar>
            <w:vAlign w:val="center"/>
          </w:tcPr>
          <w:p>
            <w:r>
              <w:rPr>
                <w:rFonts w:ascii="Calibri" w:hAnsi="Calibri"/>
                <w:sz w:val="18"/>
              </w:rPr>
              <w:t>0.995</w:t>
            </w:r>
          </w:p>
        </w:tc>
        <w:tc>
          <w:tcPr>
            <w:tcW w:type="dxa" w:w="1296"/>
            <w:tcMar>
              <w:top w:w="80" w:type="dxa"/>
              <w:start w:w="120" w:type="dxa"/>
              <w:bottom w:w="80" w:type="dxa"/>
              <w:end w:w="120" w:type="dxa"/>
            </w:tcMar>
            <w:vAlign w:val="center"/>
          </w:tcPr>
          <w:p>
            <w:r>
              <w:rPr>
                <w:rFonts w:ascii="Calibri" w:hAnsi="Calibri"/>
                <w:sz w:val="18"/>
              </w:rPr>
              <w:t>1.000</w:t>
            </w:r>
          </w:p>
        </w:tc>
        <w:tc>
          <w:tcPr>
            <w:tcW w:type="dxa" w:w="1224"/>
            <w:tcMar>
              <w:top w:w="80" w:type="dxa"/>
              <w:start w:w="120" w:type="dxa"/>
              <w:bottom w:w="80" w:type="dxa"/>
              <w:end w:w="120" w:type="dxa"/>
            </w:tcMar>
            <w:vAlign w:val="center"/>
          </w:tcPr>
          <w:p>
            <w:r>
              <w:rPr>
                <w:rFonts w:ascii="Calibri" w:hAnsi="Calibri"/>
                <w:sz w:val="18"/>
              </w:rPr>
              <w:t>0.990</w:t>
            </w:r>
          </w:p>
        </w:tc>
        <w:tc>
          <w:tcPr>
            <w:tcW w:type="dxa" w:w="1080"/>
            <w:tcMar>
              <w:top w:w="80" w:type="dxa"/>
              <w:start w:w="120" w:type="dxa"/>
              <w:bottom w:w="80" w:type="dxa"/>
              <w:end w:w="120" w:type="dxa"/>
            </w:tcMar>
            <w:vAlign w:val="center"/>
          </w:tcPr>
          <w:p>
            <w:r>
              <w:rPr>
                <w:rFonts w:ascii="Calibri" w:hAnsi="Calibri"/>
                <w:sz w:val="18"/>
              </w:rPr>
              <w:t>0.995</w:t>
            </w:r>
          </w:p>
        </w:tc>
        <w:tc>
          <w:tcPr>
            <w:tcW w:type="dxa" w:w="1080"/>
            <w:tcMar>
              <w:top w:w="80" w:type="dxa"/>
              <w:start w:w="120" w:type="dxa"/>
              <w:bottom w:w="80" w:type="dxa"/>
              <w:end w:w="120" w:type="dxa"/>
            </w:tcMar>
            <w:vAlign w:val="center"/>
          </w:tcPr>
          <w:p>
            <w:r>
              <w:rPr>
                <w:rFonts w:ascii="Calibri" w:hAnsi="Calibri"/>
                <w:sz w:val="18"/>
              </w:rPr>
              <w:t>1.000</w:t>
            </w:r>
          </w:p>
        </w:tc>
      </w:tr>
      <w:tr>
        <w:tc>
          <w:tcPr>
            <w:tcW w:type="dxa" w:w="2232"/>
            <w:tcMar>
              <w:top w:w="80" w:type="dxa"/>
              <w:start w:w="120" w:type="dxa"/>
              <w:bottom w:w="80" w:type="dxa"/>
              <w:end w:w="120" w:type="dxa"/>
            </w:tcMar>
            <w:vAlign w:val="center"/>
          </w:tcPr>
          <w:p>
            <w:r>
              <w:rPr>
                <w:rFonts w:ascii="Calibri" w:hAnsi="Calibri"/>
                <w:sz w:val="18"/>
              </w:rPr>
              <w:t>KGW delta=3.0</w:t>
            </w:r>
          </w:p>
        </w:tc>
        <w:tc>
          <w:tcPr>
            <w:tcW w:type="dxa" w:w="1224"/>
            <w:tcMar>
              <w:top w:w="80" w:type="dxa"/>
              <w:start w:w="120" w:type="dxa"/>
              <w:bottom w:w="80" w:type="dxa"/>
              <w:end w:w="120" w:type="dxa"/>
            </w:tcMar>
            <w:vAlign w:val="center"/>
          </w:tcPr>
          <w:p>
            <w:r>
              <w:rPr>
                <w:rFonts w:ascii="Calibri" w:hAnsi="Calibri"/>
                <w:sz w:val="18"/>
              </w:rPr>
              <w:t>3.0</w:t>
            </w:r>
          </w:p>
        </w:tc>
        <w:tc>
          <w:tcPr>
            <w:tcW w:type="dxa" w:w="1224"/>
            <w:tcMar>
              <w:top w:w="80" w:type="dxa"/>
              <w:start w:w="120" w:type="dxa"/>
              <w:bottom w:w="80" w:type="dxa"/>
              <w:end w:w="120" w:type="dxa"/>
            </w:tcMar>
            <w:vAlign w:val="center"/>
          </w:tcPr>
          <w:p>
            <w:r>
              <w:rPr>
                <w:rFonts w:ascii="Calibri" w:hAnsi="Calibri"/>
                <w:sz w:val="18"/>
              </w:rPr>
              <w:t>1.000</w:t>
            </w:r>
          </w:p>
        </w:tc>
        <w:tc>
          <w:tcPr>
            <w:tcW w:type="dxa" w:w="1296"/>
            <w:tcMar>
              <w:top w:w="80" w:type="dxa"/>
              <w:start w:w="120" w:type="dxa"/>
              <w:bottom w:w="80" w:type="dxa"/>
              <w:end w:w="120" w:type="dxa"/>
            </w:tcMar>
            <w:vAlign w:val="center"/>
          </w:tcPr>
          <w:p>
            <w:r>
              <w:rPr>
                <w:rFonts w:ascii="Calibri" w:hAnsi="Calibri"/>
                <w:sz w:val="18"/>
              </w:rPr>
              <w:t>1.000</w:t>
            </w:r>
          </w:p>
        </w:tc>
        <w:tc>
          <w:tcPr>
            <w:tcW w:type="dxa" w:w="1224"/>
            <w:tcMar>
              <w:top w:w="80" w:type="dxa"/>
              <w:start w:w="120" w:type="dxa"/>
              <w:bottom w:w="80" w:type="dxa"/>
              <w:end w:w="120" w:type="dxa"/>
            </w:tcMar>
            <w:vAlign w:val="center"/>
          </w:tcPr>
          <w:p>
            <w:r>
              <w:rPr>
                <w:rFonts w:ascii="Calibri" w:hAnsi="Calibri"/>
                <w:sz w:val="18"/>
              </w:rPr>
              <w:t>1.000</w:t>
            </w:r>
          </w:p>
        </w:tc>
        <w:tc>
          <w:tcPr>
            <w:tcW w:type="dxa" w:w="1080"/>
            <w:tcMar>
              <w:top w:w="80" w:type="dxa"/>
              <w:start w:w="120" w:type="dxa"/>
              <w:bottom w:w="80" w:type="dxa"/>
              <w:end w:w="120" w:type="dxa"/>
            </w:tcMar>
            <w:vAlign w:val="center"/>
          </w:tcPr>
          <w:p>
            <w:r>
              <w:rPr>
                <w:rFonts w:ascii="Calibri" w:hAnsi="Calibri"/>
                <w:sz w:val="18"/>
              </w:rPr>
              <w:t>1.000</w:t>
            </w:r>
          </w:p>
        </w:tc>
        <w:tc>
          <w:tcPr>
            <w:tcW w:type="dxa" w:w="1080"/>
            <w:tcMar>
              <w:top w:w="80" w:type="dxa"/>
              <w:start w:w="120" w:type="dxa"/>
              <w:bottom w:w="80" w:type="dxa"/>
              <w:end w:w="120" w:type="dxa"/>
            </w:tcMar>
            <w:vAlign w:val="center"/>
          </w:tcPr>
          <w:p>
            <w:r>
              <w:rPr>
                <w:rFonts w:ascii="Calibri" w:hAnsi="Calibri"/>
                <w:sz w:val="18"/>
              </w:rPr>
              <w:t>1.000</w:t>
            </w:r>
          </w:p>
        </w:tc>
      </w:tr>
      <w:tr>
        <w:tc>
          <w:tcPr>
            <w:tcW w:type="dxa" w:w="2232"/>
            <w:tcMar>
              <w:top w:w="80" w:type="dxa"/>
              <w:start w:w="120" w:type="dxa"/>
              <w:bottom w:w="80" w:type="dxa"/>
              <w:end w:w="120" w:type="dxa"/>
            </w:tcMar>
            <w:vAlign w:val="center"/>
          </w:tcPr>
          <w:p>
            <w:r>
              <w:rPr>
                <w:rFonts w:ascii="Calibri" w:hAnsi="Calibri"/>
                <w:sz w:val="18"/>
              </w:rPr>
              <w:t>Unbiased alpha=3.0</w:t>
            </w:r>
          </w:p>
        </w:tc>
        <w:tc>
          <w:tcPr>
            <w:tcW w:type="dxa" w:w="1224"/>
            <w:tcMar>
              <w:top w:w="80" w:type="dxa"/>
              <w:start w:w="120" w:type="dxa"/>
              <w:bottom w:w="80" w:type="dxa"/>
              <w:end w:w="120" w:type="dxa"/>
            </w:tcMar>
            <w:vAlign w:val="center"/>
          </w:tcPr>
          <w:p>
            <w:r>
              <w:rPr>
                <w:rFonts w:ascii="Calibri" w:hAnsi="Calibri"/>
                <w:sz w:val="18"/>
              </w:rPr>
              <w:t>2.0</w:t>
            </w:r>
          </w:p>
        </w:tc>
        <w:tc>
          <w:tcPr>
            <w:tcW w:type="dxa" w:w="1224"/>
            <w:tcMar>
              <w:top w:w="80" w:type="dxa"/>
              <w:start w:w="120" w:type="dxa"/>
              <w:bottom w:w="80" w:type="dxa"/>
              <w:end w:w="120" w:type="dxa"/>
            </w:tcMar>
            <w:vAlign w:val="center"/>
          </w:tcPr>
          <w:p>
            <w:r>
              <w:rPr>
                <w:rFonts w:ascii="Calibri" w:hAnsi="Calibri"/>
                <w:sz w:val="18"/>
              </w:rPr>
              <w:t>0.905</w:t>
            </w:r>
          </w:p>
        </w:tc>
        <w:tc>
          <w:tcPr>
            <w:tcW w:type="dxa" w:w="1296"/>
            <w:tcMar>
              <w:top w:w="80" w:type="dxa"/>
              <w:start w:w="120" w:type="dxa"/>
              <w:bottom w:w="80" w:type="dxa"/>
              <w:end w:w="120" w:type="dxa"/>
            </w:tcMar>
            <w:vAlign w:val="center"/>
          </w:tcPr>
          <w:p>
            <w:r>
              <w:rPr>
                <w:rFonts w:ascii="Calibri" w:hAnsi="Calibri"/>
                <w:sz w:val="18"/>
              </w:rPr>
              <w:t>0.955</w:t>
            </w:r>
          </w:p>
        </w:tc>
        <w:tc>
          <w:tcPr>
            <w:tcW w:type="dxa" w:w="1224"/>
            <w:tcMar>
              <w:top w:w="80" w:type="dxa"/>
              <w:start w:w="120" w:type="dxa"/>
              <w:bottom w:w="80" w:type="dxa"/>
              <w:end w:w="120" w:type="dxa"/>
            </w:tcMar>
            <w:vAlign w:val="center"/>
          </w:tcPr>
          <w:p>
            <w:r>
              <w:rPr>
                <w:rFonts w:ascii="Calibri" w:hAnsi="Calibri"/>
                <w:sz w:val="18"/>
              </w:rPr>
              <w:t>0.850</w:t>
            </w:r>
          </w:p>
        </w:tc>
        <w:tc>
          <w:tcPr>
            <w:tcW w:type="dxa" w:w="1080"/>
            <w:tcMar>
              <w:top w:w="80" w:type="dxa"/>
              <w:start w:w="120" w:type="dxa"/>
              <w:bottom w:w="80" w:type="dxa"/>
              <w:end w:w="120" w:type="dxa"/>
            </w:tcMar>
            <w:vAlign w:val="center"/>
          </w:tcPr>
          <w:p>
            <w:r>
              <w:rPr>
                <w:rFonts w:ascii="Calibri" w:hAnsi="Calibri"/>
                <w:sz w:val="18"/>
              </w:rPr>
              <w:t>0.899</w:t>
            </w:r>
          </w:p>
        </w:tc>
        <w:tc>
          <w:tcPr>
            <w:tcW w:type="dxa" w:w="1080"/>
            <w:tcMar>
              <w:top w:w="80" w:type="dxa"/>
              <w:start w:w="120" w:type="dxa"/>
              <w:bottom w:w="80" w:type="dxa"/>
              <w:end w:w="120" w:type="dxa"/>
            </w:tcMar>
            <w:vAlign w:val="center"/>
          </w:tcPr>
          <w:p>
            <w:r>
              <w:rPr>
                <w:rFonts w:ascii="Calibri" w:hAnsi="Calibri"/>
                <w:sz w:val="18"/>
              </w:rPr>
              <w:t>0.970</w:t>
            </w:r>
          </w:p>
        </w:tc>
      </w:tr>
      <w:tr>
        <w:tc>
          <w:tcPr>
            <w:tcW w:type="dxa" w:w="2232"/>
            <w:tcMar>
              <w:top w:w="80" w:type="dxa"/>
              <w:start w:w="120" w:type="dxa"/>
              <w:bottom w:w="80" w:type="dxa"/>
              <w:end w:w="120" w:type="dxa"/>
            </w:tcMar>
            <w:vAlign w:val="center"/>
          </w:tcPr>
          <w:p>
            <w:r>
              <w:rPr>
                <w:rFonts w:ascii="Calibri" w:hAnsi="Calibri"/>
                <w:sz w:val="18"/>
              </w:rPr>
              <w:t>Unbiased alpha=3.5</w:t>
            </w:r>
          </w:p>
        </w:tc>
        <w:tc>
          <w:tcPr>
            <w:tcW w:type="dxa" w:w="1224"/>
            <w:tcMar>
              <w:top w:w="80" w:type="dxa"/>
              <w:start w:w="120" w:type="dxa"/>
              <w:bottom w:w="80" w:type="dxa"/>
              <w:end w:w="120" w:type="dxa"/>
            </w:tcMar>
            <w:vAlign w:val="center"/>
          </w:tcPr>
          <w:p>
            <w:r>
              <w:rPr>
                <w:rFonts w:ascii="Calibri" w:hAnsi="Calibri"/>
                <w:sz w:val="18"/>
              </w:rPr>
              <w:t>2.0</w:t>
            </w:r>
          </w:p>
        </w:tc>
        <w:tc>
          <w:tcPr>
            <w:tcW w:type="dxa" w:w="1224"/>
            <w:tcMar>
              <w:top w:w="80" w:type="dxa"/>
              <w:start w:w="120" w:type="dxa"/>
              <w:bottom w:w="80" w:type="dxa"/>
              <w:end w:w="120" w:type="dxa"/>
            </w:tcMar>
            <w:vAlign w:val="center"/>
          </w:tcPr>
          <w:p>
            <w:r>
              <w:rPr>
                <w:rFonts w:ascii="Calibri" w:hAnsi="Calibri"/>
                <w:sz w:val="18"/>
              </w:rPr>
              <w:t>0.970</w:t>
            </w:r>
          </w:p>
        </w:tc>
        <w:tc>
          <w:tcPr>
            <w:tcW w:type="dxa" w:w="1296"/>
            <w:tcMar>
              <w:top w:w="80" w:type="dxa"/>
              <w:start w:w="120" w:type="dxa"/>
              <w:bottom w:w="80" w:type="dxa"/>
              <w:end w:w="120" w:type="dxa"/>
            </w:tcMar>
            <w:vAlign w:val="center"/>
          </w:tcPr>
          <w:p>
            <w:r>
              <w:rPr>
                <w:rFonts w:ascii="Calibri" w:hAnsi="Calibri"/>
                <w:sz w:val="18"/>
              </w:rPr>
              <w:t>0.961</w:t>
            </w:r>
          </w:p>
        </w:tc>
        <w:tc>
          <w:tcPr>
            <w:tcW w:type="dxa" w:w="1224"/>
            <w:tcMar>
              <w:top w:w="80" w:type="dxa"/>
              <w:start w:w="120" w:type="dxa"/>
              <w:bottom w:w="80" w:type="dxa"/>
              <w:end w:w="120" w:type="dxa"/>
            </w:tcMar>
            <w:vAlign w:val="center"/>
          </w:tcPr>
          <w:p>
            <w:r>
              <w:rPr>
                <w:rFonts w:ascii="Calibri" w:hAnsi="Calibri"/>
                <w:sz w:val="18"/>
              </w:rPr>
              <w:t>0.980</w:t>
            </w:r>
          </w:p>
        </w:tc>
        <w:tc>
          <w:tcPr>
            <w:tcW w:type="dxa" w:w="1080"/>
            <w:tcMar>
              <w:top w:w="80" w:type="dxa"/>
              <w:start w:w="120" w:type="dxa"/>
              <w:bottom w:w="80" w:type="dxa"/>
              <w:end w:w="120" w:type="dxa"/>
            </w:tcMar>
            <w:vAlign w:val="center"/>
          </w:tcPr>
          <w:p>
            <w:r>
              <w:rPr>
                <w:rFonts w:ascii="Calibri" w:hAnsi="Calibri"/>
                <w:sz w:val="18"/>
              </w:rPr>
              <w:t>0.970</w:t>
            </w:r>
          </w:p>
        </w:tc>
        <w:tc>
          <w:tcPr>
            <w:tcW w:type="dxa" w:w="1080"/>
            <w:tcMar>
              <w:top w:w="80" w:type="dxa"/>
              <w:start w:w="120" w:type="dxa"/>
              <w:bottom w:w="80" w:type="dxa"/>
              <w:end w:w="120" w:type="dxa"/>
            </w:tcMar>
            <w:vAlign w:val="center"/>
          </w:tcPr>
          <w:p>
            <w:r>
              <w:rPr>
                <w:rFonts w:ascii="Calibri" w:hAnsi="Calibri"/>
                <w:sz w:val="18"/>
              </w:rPr>
              <w:t>0.994</w:t>
            </w:r>
          </w:p>
        </w:tc>
      </w:tr>
    </w:tbl>
    <w:p>
      <w:pPr>
        <w:spacing w:before="40" w:after="160"/>
        <w:jc w:val="center"/>
      </w:pPr>
      <w:r>
        <w:rPr>
          <w:i/>
          <w:color w:val="5A5A5A"/>
          <w:sz w:val="18"/>
        </w:rPr>
        <w:t>Table 2. Representative detection results from the systematic evaluation.</w:t>
      </w:r>
    </w:p>
    <w:p>
      <w:pPr/>
      <w:r>
        <w:t>Increasing delta or alpha monotonically strengthens the watermark signal. KGW reaches near-perfect or perfect AUC when delta is at least 1.5, and perfect classification appears for strong settings such as delta=3.0. The unbiased method requires a larger alpha to reach comparable recall. At z=2, false positives on human texts remain low; stronger thresholds reduce false positives further but can reduce recall, especially for weaker watermark parameters.</w:t>
      </w:r>
    </w:p>
    <w:p>
      <w:r>
        <w:drawing>
          <wp:inline xmlns:a="http://schemas.openxmlformats.org/drawingml/2006/main" xmlns:pic="http://schemas.openxmlformats.org/drawingml/2006/picture">
            <wp:extent cx="5669280" cy="3956320"/>
            <wp:docPr id="2" name="Picture 2"/>
            <wp:cNvGraphicFramePr>
              <a:graphicFrameLocks noChangeAspect="1"/>
            </wp:cNvGraphicFramePr>
            <a:graphic>
              <a:graphicData uri="http://schemas.openxmlformats.org/drawingml/2006/picture">
                <pic:pic>
                  <pic:nvPicPr>
                    <pic:cNvPr id="0" name="assignment2_full_charts.png"/>
                    <pic:cNvPicPr/>
                  </pic:nvPicPr>
                  <pic:blipFill>
                    <a:blip r:embed="rId10"/>
                    <a:stretch>
                      <a:fillRect/>
                    </a:stretch>
                  </pic:blipFill>
                  <pic:spPr>
                    <a:xfrm>
                      <a:off x="0" y="0"/>
                      <a:ext cx="5669280" cy="3956320"/>
                    </a:xfrm>
                    <a:prstGeom prst="rect"/>
                  </pic:spPr>
                </pic:pic>
              </a:graphicData>
            </a:graphic>
          </wp:inline>
        </w:drawing>
      </w:r>
    </w:p>
    <w:p>
      <w:pPr>
        <w:spacing w:before="40" w:after="160"/>
        <w:jc w:val="center"/>
      </w:pPr>
      <w:r>
        <w:rPr>
          <w:i/>
          <w:color w:val="5A5A5A"/>
          <w:sz w:val="18"/>
        </w:rPr>
        <w:t>Figure 2. Systematic detection, ROC, quality, runtime, and robustness analysis.</w:t>
      </w:r>
    </w:p>
    <w:p>
      <w:pPr>
        <w:pStyle w:val="Heading2"/>
      </w:pPr>
      <w:r>
        <w:t>5.3 Robustness</w:t>
      </w:r>
    </w:p>
    <w:p>
      <w:pPr/>
      <w:r>
        <w:t>Deletion and synonym-substitution attacks reduce z-scores because they remove or alter the token-level evidence used by the detector. KGW is more robust overall because its additive logit bias creates a stronger initial signal. In the stored attack traces, KGW with delta=2.5 remains strongly detectable under moderate synonym replacement and light deletion, while weaker KGW and unbiased configurations lose evidence faster. This confirms a practical tradeoff: stronger watermarks survive attacks better but can increase distributional distortion.</w:t>
      </w:r>
    </w:p>
    <w:p>
      <w:pPr>
        <w:pStyle w:val="Heading2"/>
      </w:pPr>
      <w:r>
        <w:t>5.4 Structured Time-Series Watermark</w:t>
      </w:r>
    </w:p>
    <w:tbl>
      <w:tblPr>
        <w:tblW w:type="dxa" w:w="9360"/>
        <w:jc w:val="center"/>
        <w:tblLayout w:type="fixed"/>
        <w:tblLook w:firstColumn="1" w:firstRow="1" w:lastColumn="0" w:lastRow="0" w:noHBand="0" w:noVBand="1" w:val="04A0"/>
      </w:tblPr>
      <w:tblGrid>
        <w:gridCol w:w="1872"/>
        <w:gridCol w:w="1872"/>
        <w:gridCol w:w="1872"/>
        <w:gridCol w:w="1872"/>
        <w:gridCol w:w="1872"/>
      </w:tblGrid>
      <w:tr>
        <w:tc>
          <w:tcPr>
            <w:tcW w:type="dxa" w:w="2088"/>
            <w:tcMar>
              <w:top w:w="80" w:type="dxa"/>
              <w:start w:w="120" w:type="dxa"/>
              <w:bottom w:w="80" w:type="dxa"/>
              <w:end w:w="120" w:type="dxa"/>
            </w:tcMar>
            <w:vAlign w:val="center"/>
            <w:shd w:fill="F2F4F7"/>
          </w:tcPr>
          <w:p>
            <w:r>
              <w:rPr>
                <w:rFonts w:ascii="Calibri" w:hAnsi="Calibri"/>
                <w:b/>
                <w:sz w:val="18"/>
              </w:rPr>
              <w:t>Metric</w:t>
            </w:r>
          </w:p>
        </w:tc>
        <w:tc>
          <w:tcPr>
            <w:tcW w:type="dxa" w:w="1656"/>
            <w:tcMar>
              <w:top w:w="80" w:type="dxa"/>
              <w:start w:w="120" w:type="dxa"/>
              <w:bottom w:w="80" w:type="dxa"/>
              <w:end w:w="120" w:type="dxa"/>
            </w:tcMar>
            <w:vAlign w:val="center"/>
            <w:shd w:fill="F2F4F7"/>
          </w:tcPr>
          <w:p>
            <w:r>
              <w:rPr>
                <w:rFonts w:ascii="Calibri" w:hAnsi="Calibri"/>
                <w:b/>
                <w:sz w:val="18"/>
              </w:rPr>
              <w:t>Original</w:t>
            </w:r>
          </w:p>
        </w:tc>
        <w:tc>
          <w:tcPr>
            <w:tcW w:type="dxa" w:w="1800"/>
            <w:tcMar>
              <w:top w:w="80" w:type="dxa"/>
              <w:start w:w="120" w:type="dxa"/>
              <w:bottom w:w="80" w:type="dxa"/>
              <w:end w:w="120" w:type="dxa"/>
            </w:tcMar>
            <w:vAlign w:val="center"/>
            <w:shd w:fill="F2F4F7"/>
          </w:tcPr>
          <w:p>
            <w:r>
              <w:rPr>
                <w:rFonts w:ascii="Calibri" w:hAnsi="Calibri"/>
                <w:b/>
                <w:sz w:val="18"/>
              </w:rPr>
              <w:t>Watermarked</w:t>
            </w:r>
          </w:p>
        </w:tc>
        <w:tc>
          <w:tcPr>
            <w:tcW w:type="dxa" w:w="1944"/>
            <w:tcMar>
              <w:top w:w="80" w:type="dxa"/>
              <w:start w:w="120" w:type="dxa"/>
              <w:bottom w:w="80" w:type="dxa"/>
              <w:end w:w="120" w:type="dxa"/>
            </w:tcMar>
            <w:vAlign w:val="center"/>
            <w:shd w:fill="F2F4F7"/>
          </w:tcPr>
          <w:p>
            <w:r>
              <w:rPr>
                <w:rFonts w:ascii="Calibri" w:hAnsi="Calibri"/>
                <w:b/>
                <w:sz w:val="18"/>
              </w:rPr>
              <w:t>Absolute change</w:t>
            </w:r>
          </w:p>
        </w:tc>
        <w:tc>
          <w:tcPr>
            <w:tcW w:type="dxa" w:w="1872"/>
            <w:tcMar>
              <w:top w:w="80" w:type="dxa"/>
              <w:start w:w="120" w:type="dxa"/>
              <w:bottom w:w="80" w:type="dxa"/>
              <w:end w:w="120" w:type="dxa"/>
            </w:tcMar>
            <w:vAlign w:val="center"/>
            <w:shd w:fill="F2F4F7"/>
          </w:tcPr>
          <w:p>
            <w:r>
              <w:rPr>
                <w:rFonts w:ascii="Calibri" w:hAnsi="Calibri"/>
                <w:b/>
                <w:sz w:val="18"/>
              </w:rPr>
              <w:t>Relative change</w:t>
            </w:r>
          </w:p>
        </w:tc>
      </w:tr>
      <w:tr>
        <w:tc>
          <w:tcPr>
            <w:tcW w:type="dxa" w:w="2088"/>
            <w:tcMar>
              <w:top w:w="80" w:type="dxa"/>
              <w:start w:w="120" w:type="dxa"/>
              <w:bottom w:w="80" w:type="dxa"/>
              <w:end w:w="120" w:type="dxa"/>
            </w:tcMar>
            <w:vAlign w:val="center"/>
          </w:tcPr>
          <w:p>
            <w:r>
              <w:rPr>
                <w:rFonts w:ascii="Calibri" w:hAnsi="Calibri"/>
                <w:sz w:val="18"/>
              </w:rPr>
              <w:t>Mean</w:t>
            </w:r>
          </w:p>
        </w:tc>
        <w:tc>
          <w:tcPr>
            <w:tcW w:type="dxa" w:w="1656"/>
            <w:tcMar>
              <w:top w:w="80" w:type="dxa"/>
              <w:start w:w="120" w:type="dxa"/>
              <w:bottom w:w="80" w:type="dxa"/>
              <w:end w:w="120" w:type="dxa"/>
            </w:tcMar>
            <w:vAlign w:val="center"/>
          </w:tcPr>
          <w:p>
            <w:r>
              <w:rPr>
                <w:rFonts w:ascii="Calibri" w:hAnsi="Calibri"/>
                <w:sz w:val="18"/>
              </w:rPr>
              <w:t>16.5992</w:t>
            </w:r>
          </w:p>
        </w:tc>
        <w:tc>
          <w:tcPr>
            <w:tcW w:type="dxa" w:w="1800"/>
            <w:tcMar>
              <w:top w:w="80" w:type="dxa"/>
              <w:start w:w="120" w:type="dxa"/>
              <w:bottom w:w="80" w:type="dxa"/>
              <w:end w:w="120" w:type="dxa"/>
            </w:tcMar>
            <w:vAlign w:val="center"/>
          </w:tcPr>
          <w:p>
            <w:r>
              <w:rPr>
                <w:rFonts w:ascii="Calibri" w:hAnsi="Calibri"/>
                <w:sz w:val="18"/>
              </w:rPr>
              <w:t>16.6545</w:t>
            </w:r>
          </w:p>
        </w:tc>
        <w:tc>
          <w:tcPr>
            <w:tcW w:type="dxa" w:w="1944"/>
            <w:tcMar>
              <w:top w:w="80" w:type="dxa"/>
              <w:start w:w="120" w:type="dxa"/>
              <w:bottom w:w="80" w:type="dxa"/>
              <w:end w:w="120" w:type="dxa"/>
            </w:tcMar>
            <w:vAlign w:val="center"/>
          </w:tcPr>
          <w:p>
            <w:r>
              <w:rPr>
                <w:rFonts w:ascii="Calibri" w:hAnsi="Calibri"/>
                <w:sz w:val="18"/>
              </w:rPr>
              <w:t>0.0553</w:t>
            </w:r>
          </w:p>
        </w:tc>
        <w:tc>
          <w:tcPr>
            <w:tcW w:type="dxa" w:w="1872"/>
            <w:tcMar>
              <w:top w:w="80" w:type="dxa"/>
              <w:start w:w="120" w:type="dxa"/>
              <w:bottom w:w="80" w:type="dxa"/>
              <w:end w:w="120" w:type="dxa"/>
            </w:tcMar>
            <w:vAlign w:val="center"/>
          </w:tcPr>
          <w:p>
            <w:r>
              <w:rPr>
                <w:rFonts w:ascii="Calibri" w:hAnsi="Calibri"/>
                <w:sz w:val="18"/>
              </w:rPr>
              <w:t>0.333%</w:t>
            </w:r>
          </w:p>
        </w:tc>
      </w:tr>
      <w:tr>
        <w:tc>
          <w:tcPr>
            <w:tcW w:type="dxa" w:w="2088"/>
            <w:tcMar>
              <w:top w:w="80" w:type="dxa"/>
              <w:start w:w="120" w:type="dxa"/>
              <w:bottom w:w="80" w:type="dxa"/>
              <w:end w:w="120" w:type="dxa"/>
            </w:tcMar>
            <w:vAlign w:val="center"/>
          </w:tcPr>
          <w:p>
            <w:r>
              <w:rPr>
                <w:rFonts w:ascii="Calibri" w:hAnsi="Calibri"/>
                <w:sz w:val="18"/>
              </w:rPr>
              <w:t>Std</w:t>
            </w:r>
          </w:p>
        </w:tc>
        <w:tc>
          <w:tcPr>
            <w:tcW w:type="dxa" w:w="1656"/>
            <w:tcMar>
              <w:top w:w="80" w:type="dxa"/>
              <w:start w:w="120" w:type="dxa"/>
              <w:bottom w:w="80" w:type="dxa"/>
              <w:end w:w="120" w:type="dxa"/>
            </w:tcMar>
            <w:vAlign w:val="center"/>
          </w:tcPr>
          <w:p>
            <w:r>
              <w:rPr>
                <w:rFonts w:ascii="Calibri" w:hAnsi="Calibri"/>
                <w:sz w:val="18"/>
              </w:rPr>
              <w:t>3.6842</w:t>
            </w:r>
          </w:p>
        </w:tc>
        <w:tc>
          <w:tcPr>
            <w:tcW w:type="dxa" w:w="1800"/>
            <w:tcMar>
              <w:top w:w="80" w:type="dxa"/>
              <w:start w:w="120" w:type="dxa"/>
              <w:bottom w:w="80" w:type="dxa"/>
              <w:end w:w="120" w:type="dxa"/>
            </w:tcMar>
            <w:vAlign w:val="center"/>
          </w:tcPr>
          <w:p>
            <w:r>
              <w:rPr>
                <w:rFonts w:ascii="Calibri" w:hAnsi="Calibri"/>
                <w:sz w:val="18"/>
              </w:rPr>
              <w:t>3.6867</w:t>
            </w:r>
          </w:p>
        </w:tc>
        <w:tc>
          <w:tcPr>
            <w:tcW w:type="dxa" w:w="1944"/>
            <w:tcMar>
              <w:top w:w="80" w:type="dxa"/>
              <w:start w:w="120" w:type="dxa"/>
              <w:bottom w:w="80" w:type="dxa"/>
              <w:end w:w="120" w:type="dxa"/>
            </w:tcMar>
            <w:vAlign w:val="center"/>
          </w:tcPr>
          <w:p>
            <w:r>
              <w:rPr>
                <w:rFonts w:ascii="Calibri" w:hAnsi="Calibri"/>
                <w:sz w:val="18"/>
              </w:rPr>
              <w:t>0.0026</w:t>
            </w:r>
          </w:p>
        </w:tc>
        <w:tc>
          <w:tcPr>
            <w:tcW w:type="dxa" w:w="1872"/>
            <w:tcMar>
              <w:top w:w="80" w:type="dxa"/>
              <w:start w:w="120" w:type="dxa"/>
              <w:bottom w:w="80" w:type="dxa"/>
              <w:end w:w="120" w:type="dxa"/>
            </w:tcMar>
            <w:vAlign w:val="center"/>
          </w:tcPr>
          <w:p>
            <w:r>
              <w:rPr>
                <w:rFonts w:ascii="Calibri" w:hAnsi="Calibri"/>
                <w:sz w:val="18"/>
              </w:rPr>
              <w:t>0.069%</w:t>
            </w:r>
          </w:p>
        </w:tc>
      </w:tr>
      <w:tr>
        <w:tc>
          <w:tcPr>
            <w:tcW w:type="dxa" w:w="2088"/>
            <w:tcMar>
              <w:top w:w="80" w:type="dxa"/>
              <w:start w:w="120" w:type="dxa"/>
              <w:bottom w:w="80" w:type="dxa"/>
              <w:end w:w="120" w:type="dxa"/>
            </w:tcMar>
            <w:vAlign w:val="center"/>
          </w:tcPr>
          <w:p>
            <w:r>
              <w:rPr>
                <w:rFonts w:ascii="Calibri" w:hAnsi="Calibri"/>
                <w:sz w:val="18"/>
              </w:rPr>
              <w:t>Pearson corr.</w:t>
            </w:r>
          </w:p>
        </w:tc>
        <w:tc>
          <w:tcPr>
            <w:tcW w:type="dxa" w:w="1656"/>
            <w:tcMar>
              <w:top w:w="80" w:type="dxa"/>
              <w:start w:w="120" w:type="dxa"/>
              <w:bottom w:w="80" w:type="dxa"/>
              <w:end w:w="120" w:type="dxa"/>
            </w:tcMar>
            <w:vAlign w:val="center"/>
          </w:tcPr>
          <w:p>
            <w:r>
              <w:rPr>
                <w:rFonts w:ascii="Calibri" w:hAnsi="Calibri"/>
                <w:sz w:val="18"/>
              </w:rPr>
              <w:t>1.0000</w:t>
            </w:r>
          </w:p>
        </w:tc>
        <w:tc>
          <w:tcPr>
            <w:tcW w:type="dxa" w:w="1800"/>
            <w:tcMar>
              <w:top w:w="80" w:type="dxa"/>
              <w:start w:w="120" w:type="dxa"/>
              <w:bottom w:w="80" w:type="dxa"/>
              <w:end w:w="120" w:type="dxa"/>
            </w:tcMar>
            <w:vAlign w:val="center"/>
          </w:tcPr>
          <w:p>
            <w:r>
              <w:rPr>
                <w:rFonts w:ascii="Calibri" w:hAnsi="Calibri"/>
                <w:sz w:val="18"/>
              </w:rPr>
              <w:t>0.9996</w:t>
            </w:r>
          </w:p>
        </w:tc>
        <w:tc>
          <w:tcPr>
            <w:tcW w:type="dxa" w:w="1944"/>
            <w:tcMar>
              <w:top w:w="80" w:type="dxa"/>
              <w:start w:w="120" w:type="dxa"/>
              <w:bottom w:w="80" w:type="dxa"/>
              <w:end w:w="120" w:type="dxa"/>
            </w:tcMar>
            <w:vAlign w:val="center"/>
          </w:tcPr>
          <w:p>
            <w:r>
              <w:rPr>
                <w:rFonts w:ascii="Calibri" w:hAnsi="Calibri"/>
                <w:sz w:val="18"/>
              </w:rPr>
              <w:t>0.0004</w:t>
            </w:r>
          </w:p>
        </w:tc>
        <w:tc>
          <w:tcPr>
            <w:tcW w:type="dxa" w:w="1872"/>
            <w:tcMar>
              <w:top w:w="80" w:type="dxa"/>
              <w:start w:w="120" w:type="dxa"/>
              <w:bottom w:w="80" w:type="dxa"/>
              <w:end w:w="120" w:type="dxa"/>
            </w:tcMar>
            <w:vAlign w:val="center"/>
          </w:tcPr>
          <w:p>
            <w:r>
              <w:rPr>
                <w:rFonts w:ascii="Calibri" w:hAnsi="Calibri"/>
                <w:sz w:val="18"/>
              </w:rPr>
              <w:t>0.043%</w:t>
            </w:r>
          </w:p>
        </w:tc>
      </w:tr>
      <w:tr>
        <w:tc>
          <w:tcPr>
            <w:tcW w:type="dxa" w:w="2088"/>
            <w:tcMar>
              <w:top w:w="80" w:type="dxa"/>
              <w:start w:w="120" w:type="dxa"/>
              <w:bottom w:w="80" w:type="dxa"/>
              <w:end w:w="120" w:type="dxa"/>
            </w:tcMar>
            <w:vAlign w:val="center"/>
          </w:tcPr>
          <w:p>
            <w:r>
              <w:rPr>
                <w:rFonts w:ascii="Calibri" w:hAnsi="Calibri"/>
                <w:sz w:val="18"/>
              </w:rPr>
              <w:t>Spearman corr.</w:t>
            </w:r>
          </w:p>
        </w:tc>
        <w:tc>
          <w:tcPr>
            <w:tcW w:type="dxa" w:w="1656"/>
            <w:tcMar>
              <w:top w:w="80" w:type="dxa"/>
              <w:start w:w="120" w:type="dxa"/>
              <w:bottom w:w="80" w:type="dxa"/>
              <w:end w:w="120" w:type="dxa"/>
            </w:tcMar>
            <w:vAlign w:val="center"/>
          </w:tcPr>
          <w:p>
            <w:r>
              <w:rPr>
                <w:rFonts w:ascii="Calibri" w:hAnsi="Calibri"/>
                <w:sz w:val="18"/>
              </w:rPr>
              <w:t>1.0000</w:t>
            </w:r>
          </w:p>
        </w:tc>
        <w:tc>
          <w:tcPr>
            <w:tcW w:type="dxa" w:w="1800"/>
            <w:tcMar>
              <w:top w:w="80" w:type="dxa"/>
              <w:start w:w="120" w:type="dxa"/>
              <w:bottom w:w="80" w:type="dxa"/>
              <w:end w:w="120" w:type="dxa"/>
            </w:tcMar>
            <w:vAlign w:val="center"/>
          </w:tcPr>
          <w:p>
            <w:r>
              <w:rPr>
                <w:rFonts w:ascii="Calibri" w:hAnsi="Calibri"/>
                <w:sz w:val="18"/>
              </w:rPr>
              <w:t>0.9996</w:t>
            </w:r>
          </w:p>
        </w:tc>
        <w:tc>
          <w:tcPr>
            <w:tcW w:type="dxa" w:w="1944"/>
            <w:tcMar>
              <w:top w:w="80" w:type="dxa"/>
              <w:start w:w="120" w:type="dxa"/>
              <w:bottom w:w="80" w:type="dxa"/>
              <w:end w:w="120" w:type="dxa"/>
            </w:tcMar>
            <w:vAlign w:val="center"/>
          </w:tcPr>
          <w:p>
            <w:r>
              <w:rPr>
                <w:rFonts w:ascii="Calibri" w:hAnsi="Calibri"/>
                <w:sz w:val="18"/>
              </w:rPr>
              <w:t>0.0004</w:t>
            </w:r>
          </w:p>
        </w:tc>
        <w:tc>
          <w:tcPr>
            <w:tcW w:type="dxa" w:w="1872"/>
            <w:tcMar>
              <w:top w:w="80" w:type="dxa"/>
              <w:start w:w="120" w:type="dxa"/>
              <w:bottom w:w="80" w:type="dxa"/>
              <w:end w:w="120" w:type="dxa"/>
            </w:tcMar>
            <w:vAlign w:val="center"/>
          </w:tcPr>
          <w:p>
            <w:r>
              <w:rPr>
                <w:rFonts w:ascii="Calibri" w:hAnsi="Calibri"/>
                <w:sz w:val="18"/>
              </w:rPr>
              <w:t>0.041%</w:t>
            </w:r>
          </w:p>
        </w:tc>
      </w:tr>
      <w:tr>
        <w:tc>
          <w:tcPr>
            <w:tcW w:type="dxa" w:w="2088"/>
            <w:tcMar>
              <w:top w:w="80" w:type="dxa"/>
              <w:start w:w="120" w:type="dxa"/>
              <w:bottom w:w="80" w:type="dxa"/>
              <w:end w:w="120" w:type="dxa"/>
            </w:tcMar>
            <w:vAlign w:val="center"/>
          </w:tcPr>
          <w:p>
            <w:r>
              <w:rPr>
                <w:rFonts w:ascii="Calibri" w:hAnsi="Calibri"/>
                <w:sz w:val="18"/>
              </w:rPr>
              <w:t>KS p-value</w:t>
            </w:r>
          </w:p>
        </w:tc>
        <w:tc>
          <w:tcPr>
            <w:tcW w:type="dxa" w:w="1656"/>
            <w:tcMar>
              <w:top w:w="80" w:type="dxa"/>
              <w:start w:w="120" w:type="dxa"/>
              <w:bottom w:w="80" w:type="dxa"/>
              <w:end w:w="120" w:type="dxa"/>
            </w:tcMar>
            <w:vAlign w:val="center"/>
          </w:tcPr>
          <w:p>
            <w:r>
              <w:rPr>
                <w:rFonts w:ascii="Calibri" w:hAnsi="Calibri"/>
                <w:sz w:val="18"/>
              </w:rPr>
              <w:t>1.0000</w:t>
            </w:r>
          </w:p>
        </w:tc>
        <w:tc>
          <w:tcPr>
            <w:tcW w:type="dxa" w:w="1800"/>
            <w:tcMar>
              <w:top w:w="80" w:type="dxa"/>
              <w:start w:w="120" w:type="dxa"/>
              <w:bottom w:w="80" w:type="dxa"/>
              <w:end w:w="120" w:type="dxa"/>
            </w:tcMar>
            <w:vAlign w:val="center"/>
          </w:tcPr>
          <w:p>
            <w:r>
              <w:rPr>
                <w:rFonts w:ascii="Calibri" w:hAnsi="Calibri"/>
                <w:sz w:val="18"/>
              </w:rPr>
              <w:t>0.9874</w:t>
            </w:r>
          </w:p>
        </w:tc>
        <w:tc>
          <w:tcPr>
            <w:tcW w:type="dxa" w:w="1944"/>
            <w:tcMar>
              <w:top w:w="80" w:type="dxa"/>
              <w:start w:w="120" w:type="dxa"/>
              <w:bottom w:w="80" w:type="dxa"/>
              <w:end w:w="120" w:type="dxa"/>
            </w:tcMar>
            <w:vAlign w:val="center"/>
          </w:tcPr>
          <w:p>
            <w:r>
              <w:rPr>
                <w:rFonts w:ascii="Calibri" w:hAnsi="Calibri"/>
                <w:sz w:val="18"/>
              </w:rPr>
              <w:t>0.0075</w:t>
            </w:r>
          </w:p>
        </w:tc>
        <w:tc>
          <w:tcPr>
            <w:tcW w:type="dxa" w:w="1872"/>
            <w:tcMar>
              <w:top w:w="80" w:type="dxa"/>
              <w:start w:w="120" w:type="dxa"/>
              <w:bottom w:w="80" w:type="dxa"/>
              <w:end w:w="120" w:type="dxa"/>
            </w:tcMar>
            <w:vAlign w:val="center"/>
          </w:tcPr>
          <w:p>
            <w:r>
              <w:rPr>
                <w:rFonts w:ascii="Calibri" w:hAnsi="Calibri"/>
                <w:sz w:val="18"/>
              </w:rPr>
              <w:t>0.000%</w:t>
            </w:r>
          </w:p>
        </w:tc>
      </w:tr>
    </w:tbl>
    <w:p>
      <w:pPr>
        <w:spacing w:before="40" w:after="160"/>
        <w:jc w:val="center"/>
      </w:pPr>
      <w:r>
        <w:rPr>
          <w:i/>
          <w:color w:val="5A5A5A"/>
          <w:sz w:val="18"/>
        </w:rPr>
        <w:t>Table 3. Quality preservation for structured residual watermarking.</w:t>
      </w:r>
    </w:p>
    <w:p>
      <w:pPr/>
      <w:r>
        <w:t>The structured residual watermark preserves data utility well. Mean and quantile shifts are below one percent, Pearson and Spearman correlations remain above 0.9995, and the KS p-value remains high at 0.9874. All 12 payload bits are recovered in the clean setting, with very large absolute bit-level z-scores between 48.88 and 55.06.</w:t>
      </w:r>
    </w:p>
    <w:tbl>
      <w:tblPr>
        <w:tblW w:type="dxa" w:w="9360"/>
        <w:jc w:val="center"/>
        <w:tblLayout w:type="fixed"/>
        <w:tblLook w:firstColumn="1" w:firstRow="1" w:lastColumn="0" w:lastRow="0" w:noHBand="0" w:noVBand="1" w:val="04A0"/>
      </w:tblPr>
      <w:tblGrid>
        <w:gridCol w:w="1872"/>
        <w:gridCol w:w="1872"/>
        <w:gridCol w:w="1872"/>
        <w:gridCol w:w="1872"/>
        <w:gridCol w:w="1872"/>
      </w:tblGrid>
      <w:tr>
        <w:tc>
          <w:tcPr>
            <w:tcW w:type="dxa" w:w="1800"/>
            <w:tcMar>
              <w:top w:w="80" w:type="dxa"/>
              <w:start w:w="120" w:type="dxa"/>
              <w:bottom w:w="80" w:type="dxa"/>
              <w:end w:w="120" w:type="dxa"/>
            </w:tcMar>
            <w:vAlign w:val="center"/>
            <w:shd w:fill="F2F4F7"/>
          </w:tcPr>
          <w:p>
            <w:r>
              <w:rPr>
                <w:rFonts w:ascii="Calibri" w:hAnsi="Calibri"/>
                <w:b/>
                <w:sz w:val="18"/>
              </w:rPr>
              <w:t>Attack</w:t>
            </w:r>
          </w:p>
        </w:tc>
        <w:tc>
          <w:tcPr>
            <w:tcW w:type="dxa" w:w="1728"/>
            <w:tcMar>
              <w:top w:w="80" w:type="dxa"/>
              <w:start w:w="120" w:type="dxa"/>
              <w:bottom w:w="80" w:type="dxa"/>
              <w:end w:w="120" w:type="dxa"/>
            </w:tcMar>
            <w:vAlign w:val="center"/>
            <w:shd w:fill="F2F4F7"/>
          </w:tcPr>
          <w:p>
            <w:r>
              <w:rPr>
                <w:rFonts w:ascii="Calibri" w:hAnsi="Calibri"/>
                <w:b/>
                <w:sz w:val="18"/>
              </w:rPr>
              <w:t>Max tested strength</w:t>
            </w:r>
          </w:p>
        </w:tc>
        <w:tc>
          <w:tcPr>
            <w:tcW w:type="dxa" w:w="1296"/>
            <w:tcMar>
              <w:top w:w="80" w:type="dxa"/>
              <w:start w:w="120" w:type="dxa"/>
              <w:bottom w:w="80" w:type="dxa"/>
              <w:end w:w="120" w:type="dxa"/>
            </w:tcMar>
            <w:vAlign w:val="center"/>
            <w:shd w:fill="F2F4F7"/>
          </w:tcPr>
          <w:p>
            <w:r>
              <w:rPr>
                <w:rFonts w:ascii="Calibri" w:hAnsi="Calibri"/>
                <w:b/>
                <w:sz w:val="18"/>
              </w:rPr>
              <w:t>Bit accuracy</w:t>
            </w:r>
          </w:p>
        </w:tc>
        <w:tc>
          <w:tcPr>
            <w:tcW w:type="dxa" w:w="1224"/>
            <w:tcMar>
              <w:top w:w="80" w:type="dxa"/>
              <w:start w:w="120" w:type="dxa"/>
              <w:bottom w:w="80" w:type="dxa"/>
              <w:end w:w="120" w:type="dxa"/>
            </w:tcMar>
            <w:vAlign w:val="center"/>
            <w:shd w:fill="F2F4F7"/>
          </w:tcPr>
          <w:p>
            <w:r>
              <w:rPr>
                <w:rFonts w:ascii="Calibri" w:hAnsi="Calibri"/>
                <w:b/>
                <w:sz w:val="18"/>
              </w:rPr>
              <w:t>Mean |z|</w:t>
            </w:r>
          </w:p>
        </w:tc>
        <w:tc>
          <w:tcPr>
            <w:tcW w:type="dxa" w:w="3312"/>
            <w:tcMar>
              <w:top w:w="80" w:type="dxa"/>
              <w:start w:w="120" w:type="dxa"/>
              <w:bottom w:w="80" w:type="dxa"/>
              <w:end w:w="120" w:type="dxa"/>
            </w:tcMar>
            <w:vAlign w:val="center"/>
            <w:shd w:fill="F2F4F7"/>
          </w:tcPr>
          <w:p>
            <w:r>
              <w:rPr>
                <w:rFonts w:ascii="Calibri" w:hAnsi="Calibri"/>
                <w:b/>
                <w:sz w:val="18"/>
              </w:rPr>
              <w:t>Main observation</w:t>
            </w:r>
          </w:p>
        </w:tc>
      </w:tr>
      <w:tr>
        <w:tc>
          <w:tcPr>
            <w:tcW w:type="dxa" w:w="1800"/>
            <w:tcMar>
              <w:top w:w="80" w:type="dxa"/>
              <w:start w:w="120" w:type="dxa"/>
              <w:bottom w:w="80" w:type="dxa"/>
              <w:end w:w="120" w:type="dxa"/>
            </w:tcMar>
            <w:vAlign w:val="center"/>
          </w:tcPr>
          <w:p>
            <w:r>
              <w:rPr>
                <w:rFonts w:ascii="Calibri" w:hAnsi="Calibri"/>
                <w:sz w:val="18"/>
              </w:rPr>
              <w:t>Additive noise</w:t>
            </w:r>
          </w:p>
        </w:tc>
        <w:tc>
          <w:tcPr>
            <w:tcW w:type="dxa" w:w="1728"/>
            <w:tcMar>
              <w:top w:w="80" w:type="dxa"/>
              <w:start w:w="120" w:type="dxa"/>
              <w:bottom w:w="80" w:type="dxa"/>
              <w:end w:w="120" w:type="dxa"/>
            </w:tcMar>
            <w:vAlign w:val="center"/>
          </w:tcPr>
          <w:p>
            <w:r>
              <w:rPr>
                <w:rFonts w:ascii="Calibri" w:hAnsi="Calibri"/>
                <w:sz w:val="18"/>
              </w:rPr>
              <w:t>0.18</w:t>
            </w:r>
          </w:p>
        </w:tc>
        <w:tc>
          <w:tcPr>
            <w:tcW w:type="dxa" w:w="1296"/>
            <w:tcMar>
              <w:top w:w="80" w:type="dxa"/>
              <w:start w:w="120" w:type="dxa"/>
              <w:bottom w:w="80" w:type="dxa"/>
              <w:end w:w="120" w:type="dxa"/>
            </w:tcMar>
            <w:vAlign w:val="center"/>
          </w:tcPr>
          <w:p>
            <w:r>
              <w:rPr>
                <w:rFonts w:ascii="Calibri" w:hAnsi="Calibri"/>
                <w:sz w:val="18"/>
              </w:rPr>
              <w:t>1.000</w:t>
            </w:r>
          </w:p>
        </w:tc>
        <w:tc>
          <w:tcPr>
            <w:tcW w:type="dxa" w:w="1224"/>
            <w:tcMar>
              <w:top w:w="80" w:type="dxa"/>
              <w:start w:w="120" w:type="dxa"/>
              <w:bottom w:w="80" w:type="dxa"/>
              <w:end w:w="120" w:type="dxa"/>
            </w:tcMar>
            <w:vAlign w:val="center"/>
          </w:tcPr>
          <w:p>
            <w:r>
              <w:rPr>
                <w:rFonts w:ascii="Calibri" w:hAnsi="Calibri"/>
                <w:sz w:val="18"/>
              </w:rPr>
              <w:t>4.39</w:t>
            </w:r>
          </w:p>
        </w:tc>
        <w:tc>
          <w:tcPr>
            <w:tcW w:type="dxa" w:w="3312"/>
            <w:tcMar>
              <w:top w:w="80" w:type="dxa"/>
              <w:start w:w="120" w:type="dxa"/>
              <w:bottom w:w="80" w:type="dxa"/>
              <w:end w:w="120" w:type="dxa"/>
            </w:tcMar>
            <w:vAlign w:val="center"/>
          </w:tcPr>
          <w:p>
            <w:r>
              <w:rPr>
                <w:rFonts w:ascii="Calibri" w:hAnsi="Calibri"/>
                <w:sz w:val="18"/>
              </w:rPr>
              <w:t>Payload still fully recovered.</w:t>
            </w:r>
          </w:p>
        </w:tc>
      </w:tr>
      <w:tr>
        <w:tc>
          <w:tcPr>
            <w:tcW w:type="dxa" w:w="1800"/>
            <w:tcMar>
              <w:top w:w="80" w:type="dxa"/>
              <w:start w:w="120" w:type="dxa"/>
              <w:bottom w:w="80" w:type="dxa"/>
              <w:end w:w="120" w:type="dxa"/>
            </w:tcMar>
            <w:vAlign w:val="center"/>
          </w:tcPr>
          <w:p>
            <w:r>
              <w:rPr>
                <w:rFonts w:ascii="Calibri" w:hAnsi="Calibri"/>
                <w:sz w:val="18"/>
              </w:rPr>
              <w:t>Row drop</w:t>
            </w:r>
          </w:p>
        </w:tc>
        <w:tc>
          <w:tcPr>
            <w:tcW w:type="dxa" w:w="1728"/>
            <w:tcMar>
              <w:top w:w="80" w:type="dxa"/>
              <w:start w:w="120" w:type="dxa"/>
              <w:bottom w:w="80" w:type="dxa"/>
              <w:end w:w="120" w:type="dxa"/>
            </w:tcMar>
            <w:vAlign w:val="center"/>
          </w:tcPr>
          <w:p>
            <w:r>
              <w:rPr>
                <w:rFonts w:ascii="Calibri" w:hAnsi="Calibri"/>
                <w:sz w:val="18"/>
              </w:rPr>
              <w:t>0.60</w:t>
            </w:r>
          </w:p>
        </w:tc>
        <w:tc>
          <w:tcPr>
            <w:tcW w:type="dxa" w:w="1296"/>
            <w:tcMar>
              <w:top w:w="80" w:type="dxa"/>
              <w:start w:w="120" w:type="dxa"/>
              <w:bottom w:w="80" w:type="dxa"/>
              <w:end w:w="120" w:type="dxa"/>
            </w:tcMar>
            <w:vAlign w:val="center"/>
          </w:tcPr>
          <w:p>
            <w:r>
              <w:rPr>
                <w:rFonts w:ascii="Calibri" w:hAnsi="Calibri"/>
                <w:sz w:val="18"/>
              </w:rPr>
              <w:t>1.000</w:t>
            </w:r>
          </w:p>
        </w:tc>
        <w:tc>
          <w:tcPr>
            <w:tcW w:type="dxa" w:w="1224"/>
            <w:tcMar>
              <w:top w:w="80" w:type="dxa"/>
              <w:start w:w="120" w:type="dxa"/>
              <w:bottom w:w="80" w:type="dxa"/>
              <w:end w:w="120" w:type="dxa"/>
            </w:tcMar>
            <w:vAlign w:val="center"/>
          </w:tcPr>
          <w:p>
            <w:r>
              <w:rPr>
                <w:rFonts w:ascii="Calibri" w:hAnsi="Calibri"/>
                <w:sz w:val="18"/>
              </w:rPr>
              <w:t>33.23</w:t>
            </w:r>
          </w:p>
        </w:tc>
        <w:tc>
          <w:tcPr>
            <w:tcW w:type="dxa" w:w="3312"/>
            <w:tcMar>
              <w:top w:w="80" w:type="dxa"/>
              <w:start w:w="120" w:type="dxa"/>
              <w:bottom w:w="80" w:type="dxa"/>
              <w:end w:w="120" w:type="dxa"/>
            </w:tcMar>
            <w:vAlign w:val="center"/>
          </w:tcPr>
          <w:p>
            <w:r>
              <w:rPr>
                <w:rFonts w:ascii="Calibri" w:hAnsi="Calibri"/>
                <w:sz w:val="18"/>
              </w:rPr>
              <w:t>Aggregation over many rows is highly robust.</w:t>
            </w:r>
          </w:p>
        </w:tc>
      </w:tr>
      <w:tr>
        <w:tc>
          <w:tcPr>
            <w:tcW w:type="dxa" w:w="1800"/>
            <w:tcMar>
              <w:top w:w="80" w:type="dxa"/>
              <w:start w:w="120" w:type="dxa"/>
              <w:bottom w:w="80" w:type="dxa"/>
              <w:end w:w="120" w:type="dxa"/>
            </w:tcMar>
            <w:vAlign w:val="center"/>
          </w:tcPr>
          <w:p>
            <w:r>
              <w:rPr>
                <w:rFonts w:ascii="Calibri" w:hAnsi="Calibri"/>
                <w:sz w:val="18"/>
              </w:rPr>
              <w:t>Quantization</w:t>
            </w:r>
          </w:p>
        </w:tc>
        <w:tc>
          <w:tcPr>
            <w:tcW w:type="dxa" w:w="1728"/>
            <w:tcMar>
              <w:top w:w="80" w:type="dxa"/>
              <w:start w:w="120" w:type="dxa"/>
              <w:bottom w:w="80" w:type="dxa"/>
              <w:end w:w="120" w:type="dxa"/>
            </w:tcMar>
            <w:vAlign w:val="center"/>
          </w:tcPr>
          <w:p>
            <w:r>
              <w:rPr>
                <w:rFonts w:ascii="Calibri" w:hAnsi="Calibri"/>
                <w:sz w:val="18"/>
              </w:rPr>
              <w:t>integer rounding</w:t>
            </w:r>
          </w:p>
        </w:tc>
        <w:tc>
          <w:tcPr>
            <w:tcW w:type="dxa" w:w="1296"/>
            <w:tcMar>
              <w:top w:w="80" w:type="dxa"/>
              <w:start w:w="120" w:type="dxa"/>
              <w:bottom w:w="80" w:type="dxa"/>
              <w:end w:w="120" w:type="dxa"/>
            </w:tcMar>
            <w:vAlign w:val="center"/>
          </w:tcPr>
          <w:p>
            <w:r>
              <w:rPr>
                <w:rFonts w:ascii="Calibri" w:hAnsi="Calibri"/>
                <w:sz w:val="18"/>
              </w:rPr>
              <w:t>1.000</w:t>
            </w:r>
          </w:p>
        </w:tc>
        <w:tc>
          <w:tcPr>
            <w:tcW w:type="dxa" w:w="1224"/>
            <w:tcMar>
              <w:top w:w="80" w:type="dxa"/>
              <w:start w:w="120" w:type="dxa"/>
              <w:bottom w:w="80" w:type="dxa"/>
              <w:end w:w="120" w:type="dxa"/>
            </w:tcMar>
            <w:vAlign w:val="center"/>
          </w:tcPr>
          <w:p>
            <w:r>
              <w:rPr>
                <w:rFonts w:ascii="Calibri" w:hAnsi="Calibri"/>
                <w:sz w:val="18"/>
              </w:rPr>
              <w:t>9.60</w:t>
            </w:r>
          </w:p>
        </w:tc>
        <w:tc>
          <w:tcPr>
            <w:tcW w:type="dxa" w:w="3312"/>
            <w:tcMar>
              <w:top w:w="80" w:type="dxa"/>
              <w:start w:w="120" w:type="dxa"/>
              <w:bottom w:w="80" w:type="dxa"/>
              <w:end w:w="120" w:type="dxa"/>
            </w:tcMar>
            <w:vAlign w:val="center"/>
          </w:tcPr>
          <w:p>
            <w:r>
              <w:rPr>
                <w:rFonts w:ascii="Calibri" w:hAnsi="Calibri"/>
                <w:sz w:val="18"/>
              </w:rPr>
              <w:t>Signal survives coarse rounding.</w:t>
            </w:r>
          </w:p>
        </w:tc>
      </w:tr>
      <w:tr>
        <w:tc>
          <w:tcPr>
            <w:tcW w:type="dxa" w:w="1800"/>
            <w:tcMar>
              <w:top w:w="80" w:type="dxa"/>
              <w:start w:w="120" w:type="dxa"/>
              <w:bottom w:w="80" w:type="dxa"/>
              <w:end w:w="120" w:type="dxa"/>
            </w:tcMar>
            <w:vAlign w:val="center"/>
          </w:tcPr>
          <w:p>
            <w:r>
              <w:rPr>
                <w:rFonts w:ascii="Calibri" w:hAnsi="Calibri"/>
                <w:sz w:val="18"/>
              </w:rPr>
              <w:t>Smoothing</w:t>
            </w:r>
          </w:p>
        </w:tc>
        <w:tc>
          <w:tcPr>
            <w:tcW w:type="dxa" w:w="1728"/>
            <w:tcMar>
              <w:top w:w="80" w:type="dxa"/>
              <w:start w:w="120" w:type="dxa"/>
              <w:bottom w:w="80" w:type="dxa"/>
              <w:end w:w="120" w:type="dxa"/>
            </w:tcMar>
            <w:vAlign w:val="center"/>
          </w:tcPr>
          <w:p>
            <w:r>
              <w:rPr>
                <w:rFonts w:ascii="Calibri" w:hAnsi="Calibri"/>
                <w:sz w:val="18"/>
              </w:rPr>
              <w:t>window 5-15</w:t>
            </w:r>
          </w:p>
        </w:tc>
        <w:tc>
          <w:tcPr>
            <w:tcW w:type="dxa" w:w="1296"/>
            <w:tcMar>
              <w:top w:w="80" w:type="dxa"/>
              <w:start w:w="120" w:type="dxa"/>
              <w:bottom w:w="80" w:type="dxa"/>
              <w:end w:w="120" w:type="dxa"/>
            </w:tcMar>
            <w:vAlign w:val="center"/>
          </w:tcPr>
          <w:p>
            <w:r>
              <w:rPr>
                <w:rFonts w:ascii="Calibri" w:hAnsi="Calibri"/>
                <w:sz w:val="18"/>
              </w:rPr>
              <w:t>0.750</w:t>
            </w:r>
          </w:p>
        </w:tc>
        <w:tc>
          <w:tcPr>
            <w:tcW w:type="dxa" w:w="1224"/>
            <w:tcMar>
              <w:top w:w="80" w:type="dxa"/>
              <w:start w:w="120" w:type="dxa"/>
              <w:bottom w:w="80" w:type="dxa"/>
              <w:end w:w="120" w:type="dxa"/>
            </w:tcMar>
            <w:vAlign w:val="center"/>
          </w:tcPr>
          <w:p>
            <w:r>
              <w:rPr>
                <w:rFonts w:ascii="Calibri" w:hAnsi="Calibri"/>
                <w:sz w:val="18"/>
              </w:rPr>
              <w:t>5.04-7.94</w:t>
            </w:r>
          </w:p>
        </w:tc>
        <w:tc>
          <w:tcPr>
            <w:tcW w:type="dxa" w:w="3312"/>
            <w:tcMar>
              <w:top w:w="80" w:type="dxa"/>
              <w:start w:w="120" w:type="dxa"/>
              <w:bottom w:w="80" w:type="dxa"/>
              <w:end w:w="120" w:type="dxa"/>
            </w:tcMar>
            <w:vAlign w:val="center"/>
          </w:tcPr>
          <w:p>
            <w:r>
              <w:rPr>
                <w:rFonts w:ascii="Calibri" w:hAnsi="Calibri"/>
                <w:sz w:val="18"/>
              </w:rPr>
              <w:t>Main weakness: local averaging removes residual signs.</w:t>
            </w:r>
          </w:p>
        </w:tc>
      </w:tr>
    </w:tbl>
    <w:p>
      <w:pPr>
        <w:spacing w:before="40" w:after="160"/>
        <w:jc w:val="center"/>
      </w:pPr>
      <w:r>
        <w:rPr>
          <w:i/>
          <w:color w:val="5A5A5A"/>
          <w:sz w:val="18"/>
        </w:rPr>
        <w:t>Table 4. Structured watermark robustness.</w:t>
      </w:r>
    </w:p>
    <w:p>
      <w:r>
        <w:drawing>
          <wp:inline xmlns:a="http://schemas.openxmlformats.org/drawingml/2006/main" xmlns:pic="http://schemas.openxmlformats.org/drawingml/2006/picture">
            <wp:extent cx="5669280" cy="3639538"/>
            <wp:docPr id="3" name="Picture 3"/>
            <wp:cNvGraphicFramePr>
              <a:graphicFrameLocks noChangeAspect="1"/>
            </wp:cNvGraphicFramePr>
            <a:graphic>
              <a:graphicData uri="http://schemas.openxmlformats.org/drawingml/2006/picture">
                <pic:pic>
                  <pic:nvPicPr>
                    <pic:cNvPr id="0" name="assignment3_full_charts.png"/>
                    <pic:cNvPicPr/>
                  </pic:nvPicPr>
                  <pic:blipFill>
                    <a:blip r:embed="rId11"/>
                    <a:stretch>
                      <a:fillRect/>
                    </a:stretch>
                  </pic:blipFill>
                  <pic:spPr>
                    <a:xfrm>
                      <a:off x="0" y="0"/>
                      <a:ext cx="5669280" cy="3639538"/>
                    </a:xfrm>
                    <a:prstGeom prst="rect"/>
                  </pic:spPr>
                </pic:pic>
              </a:graphicData>
            </a:graphic>
          </wp:inline>
        </w:drawing>
      </w:r>
    </w:p>
    <w:p>
      <w:pPr>
        <w:spacing w:before="40" w:after="160"/>
        <w:jc w:val="center"/>
      </w:pPr>
      <w:r>
        <w:rPr>
          <w:i/>
          <w:color w:val="5A5A5A"/>
          <w:sz w:val="18"/>
        </w:rPr>
        <w:t>Figure 3. Structured time-series watermark detection, quality, and attack robustness.</w:t>
      </w:r>
    </w:p>
    <w:p>
      <w:pPr>
        <w:pStyle w:val="Heading1"/>
      </w:pPr>
      <w:r>
        <w:t>6. Discussion</w:t>
      </w:r>
    </w:p>
    <w:p>
      <w:pPr/>
      <w:r>
        <w:t>The experiments show that no single watermark setting is optimal for every objective. KGW is preferable when the priority is confident detection and attack robustness. The unbiased method is preferable when preserving generation quality is more important and moderate detection confidence is acceptable. For structured data, residual aggregation can produce extremely strong bit-level evidence while keeping visible statistical changes small, but smoothing attacks are a clear limitation because they specifically suppress high-frequency residual patterns.</w:t>
      </w:r>
    </w:p>
    <w:p>
      <w:pPr/>
      <w:r>
        <w:t>A limitation of this project is scale. The text experiments use a small open-source model and 100 prompts, so the results should be viewed as a controlled reproduction rather than a full deployment study. Future work should evaluate larger models, longer generations, paraphrase attacks, multilingual prompts, and adaptive attackers who know the detector family but not the secret key.</w:t>
      </w:r>
    </w:p>
    <w:p>
      <w:pPr>
        <w:pStyle w:val="Heading1"/>
      </w:pPr>
      <w:r>
        <w:t>7. Conclusion</w:t>
      </w:r>
    </w:p>
    <w:p>
      <w:pPr/>
      <w:r>
        <w:t>We completed a full watermarking study in the required ML-paper structure. KGW achieved the strongest text watermark detection, with mean z=5.22 in the reproduction experiment and AUC up to 1.000 in systematic evaluation. The unbiased method reduced quality loss, with mean PPL close to baseline, but required stronger parameters to reach high recall. The proposed structured residual watermark embedded a 12-bit payload into time-series data with minimal statistical distortion and perfect recovery under several common attacks. Overall, the project demonstrates both the promise and the tradeoffs of watermarking across text and structured-data generation.</w:t>
      </w:r>
    </w:p>
    <w:p>
      <w:pPr>
        <w:pStyle w:val="Heading1"/>
      </w:pPr>
      <w:r>
        <w:t>References</w:t>
      </w:r>
    </w:p>
    <w:p>
      <w:pPr>
        <w:pStyle w:val="ListNumber"/>
      </w:pPr>
      <w:r>
        <w:t>Kirchenbauer, J., Geiping, J., Wen, Y., Katz, J., Miers, I., and Goldstein, T. A Watermark for Large Language Models. ICML, 2023.</w:t>
      </w:r>
    </w:p>
    <w:p>
      <w:pPr>
        <w:pStyle w:val="ListNumber"/>
      </w:pPr>
      <w:r>
        <w:t>Thickstun, J. Robust Distortion-free Watermarks for Language Models. TMLR, 2023.</w:t>
      </w:r>
    </w:p>
    <w:p>
      <w:pPr>
        <w:pStyle w:val="ListNumber"/>
      </w:pPr>
      <w:r>
        <w:t>Pan, X. et al. MarkLLM: An Open-Source Toolkit for LLM Watermarking. EMNLP, 2024.</w:t>
      </w:r>
    </w:p>
    <w:p>
      <w:pPr>
        <w:pStyle w:val="ListNumber"/>
      </w:pPr>
      <w:r>
        <w:t>Li Lab. LLM Watermarking Tutorial. ACL, 2024.</w:t>
      </w:r>
    </w:p>
    <w:p>
      <w:pPr>
        <w:pStyle w:val="ListNumber"/>
      </w:pPr>
      <w:r>
        <w:t>Qwen Team. Qwen2.5-0.5B-Instruct model documentation.</w:t>
      </w:r>
    </w:p>
    <w:sectPr w:rsidR="00FC693F" w:rsidRPr="0006063C" w:rsidSect="00034616">
      <w:footerReference w:type="defaul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Final Group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