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Calibri" w:hAnsi="Calibri"/>
          <w:b/>
          <w:color w:val="0B2545"/>
          <w:sz w:val="44"/>
        </w:rPr>
        <w:t>Watermarking for Large Language Models and Structured Time-Series Data</w:t>
      </w:r>
    </w:p>
    <w:p>
      <w:pPr>
        <w:spacing w:after="360"/>
        <w:jc w:val="center"/>
      </w:pPr>
      <w:r>
        <w:rPr>
          <w:i/>
          <w:sz w:val="26"/>
        </w:rPr>
        <w:t>Final Group Project Report</w:t>
      </w:r>
    </w:p>
    <w:tbl>
      <w:tblPr>
        <w:tblW w:type="dxa" w:w="9360"/>
        <w:jc w:val="center"/>
        <w:tblLayout w:type="fixed"/>
        <w:tblLook w:firstColumn="1" w:firstRow="1" w:lastColumn="0" w:lastRow="0" w:noHBand="0" w:noVBand="1" w:val="04A0"/>
      </w:tblPr>
      <w:tblGrid>
        <w:gridCol w:w="4680"/>
        <w:gridCol w:w="4680"/>
      </w:tblGrid>
      <w:tr>
        <w:tc>
          <w:tcPr>
            <w:tcW w:type="dxa" w:w="2448"/>
            <w:tcMar>
              <w:top w:w="80" w:type="dxa"/>
              <w:start w:w="120" w:type="dxa"/>
              <w:bottom w:w="80" w:type="dxa"/>
              <w:end w:w="120" w:type="dxa"/>
            </w:tcMar>
            <w:vAlign w:val="center"/>
            <w:shd w:fill="F2F4F7"/>
          </w:tcPr>
          <w:p>
            <w:r>
              <w:t>Course</w:t>
            </w:r>
          </w:p>
        </w:tc>
        <w:tc>
          <w:tcPr>
            <w:tcW w:type="dxa" w:w="6912"/>
            <w:tcMar>
              <w:top w:w="80" w:type="dxa"/>
              <w:start w:w="120" w:type="dxa"/>
              <w:bottom w:w="80" w:type="dxa"/>
              <w:end w:w="120" w:type="dxa"/>
            </w:tcMar>
            <w:vAlign w:val="center"/>
            <w:shd w:fill="F2F4F7"/>
          </w:tcPr>
          <w:p>
            <w:r>
              <w:t>Artificial Intelligence</w:t>
            </w:r>
          </w:p>
        </w:tc>
      </w:tr>
      <w:tr>
        <w:tc>
          <w:tcPr>
            <w:tcW w:type="dxa" w:w="2448"/>
            <w:tcMar>
              <w:top w:w="80" w:type="dxa"/>
              <w:start w:w="120" w:type="dxa"/>
              <w:bottom w:w="80" w:type="dxa"/>
              <w:end w:w="120" w:type="dxa"/>
            </w:tcMar>
            <w:vAlign w:val="center"/>
            <w:shd w:fill="F2F4F7"/>
          </w:tcPr>
          <w:p>
            <w:r>
              <w:t>Report Format</w:t>
            </w:r>
          </w:p>
        </w:tc>
        <w:tc>
          <w:tcPr>
            <w:tcW w:type="dxa" w:w="6912"/>
            <w:tcMar>
              <w:top w:w="80" w:type="dxa"/>
              <w:start w:w="120" w:type="dxa"/>
              <w:bottom w:w="80" w:type="dxa"/>
              <w:end w:w="120" w:type="dxa"/>
            </w:tcMar>
            <w:vAlign w:val="center"/>
          </w:tcPr>
          <w:p>
            <w:r>
              <w:t>Machine-learning paper style</w:t>
            </w:r>
          </w:p>
        </w:tc>
      </w:tr>
      <w:tr>
        <w:tc>
          <w:tcPr>
            <w:tcW w:type="dxa" w:w="2448"/>
            <w:tcMar>
              <w:top w:w="80" w:type="dxa"/>
              <w:start w:w="120" w:type="dxa"/>
              <w:bottom w:w="80" w:type="dxa"/>
              <w:end w:w="120" w:type="dxa"/>
            </w:tcMar>
            <w:vAlign w:val="center"/>
            <w:shd w:fill="F2F4F7"/>
          </w:tcPr>
          <w:p>
            <w:r>
              <w:t>Team Members</w:t>
            </w:r>
          </w:p>
        </w:tc>
        <w:tc>
          <w:tcPr>
            <w:tcW w:type="dxa" w:w="6912"/>
            <w:tcMar>
              <w:top w:w="80" w:type="dxa"/>
              <w:start w:w="120" w:type="dxa"/>
              <w:bottom w:w="80" w:type="dxa"/>
              <w:end w:w="120" w:type="dxa"/>
            </w:tcMar>
            <w:vAlign w:val="center"/>
          </w:tcPr>
          <w:p>
            <w:r>
              <w:t>郑胜文, 胡辉宇</w:t>
            </w:r>
          </w:p>
        </w:tc>
      </w:tr>
      <w:tr>
        <w:tc>
          <w:tcPr>
            <w:tcW w:type="dxa" w:w="2448"/>
            <w:tcMar>
              <w:top w:w="80" w:type="dxa"/>
              <w:start w:w="120" w:type="dxa"/>
              <w:bottom w:w="80" w:type="dxa"/>
              <w:end w:w="120" w:type="dxa"/>
            </w:tcMar>
            <w:vAlign w:val="center"/>
            <w:shd w:fill="F2F4F7"/>
          </w:tcPr>
          <w:p>
            <w:r>
              <w:t>Due Date</w:t>
            </w:r>
          </w:p>
        </w:tc>
        <w:tc>
          <w:tcPr>
            <w:tcW w:type="dxa" w:w="6912"/>
            <w:tcMar>
              <w:top w:w="80" w:type="dxa"/>
              <w:start w:w="120" w:type="dxa"/>
              <w:bottom w:w="80" w:type="dxa"/>
              <w:end w:w="120" w:type="dxa"/>
            </w:tcMar>
            <w:vAlign w:val="center"/>
          </w:tcPr>
          <w:p>
            <w:r>
              <w:t>30 June 2026</w:t>
            </w:r>
          </w:p>
        </w:tc>
      </w:tr>
    </w:tbl>
    <w:p/>
    <w:p>
      <w:pPr>
        <w:pStyle w:val="Heading1"/>
        <w:spacing w:before="360"/>
      </w:pPr>
      <w:r>
        <w:rPr>
          <w:b/>
          <w:color w:val="000000"/>
        </w:rPr>
        <w:t>Abstract</w:t>
      </w:r>
    </w:p>
    <w:p>
      <w:pPr/>
      <w:r>
        <w:t>This project studies watermarking as a practical mechanism for tracing machine-generated content. We reproduce two representative LLM text watermarking algorithms, KGW green-list watermarking and an unbiased probability-reweighting watermark, on Qwen2.5-0.5B-Instruct. We evaluate detectability, generation quality, runtime overhead, false positives on human text, parameter sensitivity, and robustness under deletion and synonym-substitution attacks. We further design a structured residual watermark for tabular and time-series foundation-model outputs, embedding a 12-bit payload into small numerical residuals while preserving the marginal distribution and time-series structure. Experiments show that KGW provides the strongest detection signal and robustness, while the unbiased method preserves text quality more closely. The structured residual watermark achieves perfect bit recovery under additive noise, row deletion, and quantization, but is more vulnerable to smoothing.</w:t>
      </w:r>
    </w:p>
    <w:p>
      <w:pPr>
        <w:pStyle w:val="Heading1"/>
      </w:pPr>
      <w:r>
        <w:rPr>
          <w:b/>
          <w:color w:val="000000"/>
        </w:rPr>
        <w:t>1. Introduction</w:t>
      </w:r>
    </w:p>
    <w:p>
      <w:pPr/>
      <w:r>
        <w:t>Large language models can generate fluent text at low cost, which creates both useful applications and attribution risks. Watermarking addresses this problem by inserting a hidden statistical signal during generation and detecting the signal later without changing the visible task interface. A good watermark should be detectable, hard to remove, computationally lightweight, and minimally harmful to output quality.</w:t>
      </w:r>
    </w:p>
    <w:p>
      <w:pPr/>
      <w:r>
        <w:t>Existing AI-text detectors often rely on post-hoc statistical features such as perplexity, burstiness, classifier scores, or retrieval-style similarity. These detectors are attractive because they can be applied after a model has already been deployed, but recent studies show that they can be brittle under paraphrasing, editing, and distribution shift [4]. Watermarking is different: it changes the generation process itself so that the generated sample carries a secret-keyed signal. This makes watermarking especially useful for providers who control decoding, because the detector can later test for a known statistical pattern without needing to train a separate classifier.</w:t>
      </w:r>
    </w:p>
    <w:p>
      <w:pPr/>
      <w:r>
        <w:t>The most influential LLM watermarking algorithm is the KGW green-list method of Kirchenbauer et al. [1]. At each decoding step, a secret pseudorandom function partitions the vocabulary into green and red tokens, then adds a logit bias to green tokens. The detector recomputes the same partition and uses a z-test to decide whether green tokens appear more often than expected. KGW is simple, efficient, and usually produces a strong detection signal, but because it shifts the model distribution, strong watermark settings can affect text quality. Follow-up work analyzes reliability under realistic attacks such as human rewriting, machine paraphrasing, and document mixing [2].</w:t>
      </w:r>
    </w:p>
    <w:p>
      <w:pPr/>
      <w:r>
        <w:t>A second line of work studies distribution-preserving or distortion-free watermarks. Kuditipudi et al. propose robust distortion-free watermarking based on keyed random sequences and sampling schemes such as inverse transform sampling and exponential minimum sampling [3]. The goal is to preserve the marginal distribution of model outputs while still enabling detection by a party that knows the key. This family is conceptually related to unbiased probability-reweighting methods: instead of adding a large logit offset, the sampler perturbs or reorders probability mass in a more controlled way. Such methods usually improve imperceptibility, but the detection signal can be weaker and more sensitive to output entropy.</w:t>
      </w:r>
    </w:p>
    <w:p>
      <w:pPr/>
      <w:r>
        <w:t>Recent toolkits and surveys organize these algorithms into a broader engineering space. MarkLLM provides a unified implementation and evaluation framework for text watermarking methods [5], while the ACL watermarking tutorial summarizes design choices such as green-list construction, secret keys, detection thresholds, quality metrics, and robustness evaluation [6]. Across this literature, the central tradeoff is consistent: stronger embedding improves detection and robustness, while weaker or distribution-preserving embedding better protects output quality. Most work, however, focuses on natural-language token sequences. There is less attention to watermarking structured outputs such as tables, time-series forecasts, and numerical records, even though foundation models are increasingly used to generate this type of data.</w:t>
      </w:r>
    </w:p>
    <w:p>
      <w:pPr/>
      <w:r>
        <w:t>This paper makes three contributions:</w:t>
      </w:r>
    </w:p>
    <w:p>
      <w:pPr>
        <w:pStyle w:val="ListNumber"/>
      </w:pPr>
      <w:r>
        <w:t>We reproduce KGW and an unbiased probability-reweighting watermark on Qwen2.5-0.5B-Instruct, using a controlled Chinese prompt set and human-written negative samples.</w:t>
      </w:r>
    </w:p>
    <w:p>
      <w:pPr>
        <w:pStyle w:val="ListNumber"/>
      </w:pPr>
      <w:r>
        <w:t>We evaluate the two text watermarks across detection accuracy, z-score behavior, ROC/AUC, false positives, generation quality, latency, parameter sensitivity, and robustness to deletion and synonym-substitution attacks.</w:t>
      </w:r>
    </w:p>
    <w:p>
      <w:pPr>
        <w:pStyle w:val="ListNumber"/>
      </w:pPr>
      <w:r>
        <w:t>We design and test a structured residual watermark for tabular time-series data, embedding a 12-bit payload into small numerical residuals while preserving distributional statistics.</w:t>
      </w:r>
    </w:p>
    <w:p>
      <w:pPr/>
      <w:r>
        <w:t>Together, these experiments connect the standard LLM watermarking literature with a structured-data setting that is relevant for future multimodal and data-generating foundation models.</w:t>
      </w:r>
    </w:p>
    <w:p>
      <w:pPr>
        <w:pStyle w:val="Heading1"/>
      </w:pPr>
      <w:r>
        <w:rPr>
          <w:b/>
          <w:color w:val="000000"/>
        </w:rPr>
        <w:t>2. Problem Definition</w:t>
      </w:r>
    </w:p>
    <w:p>
      <w:pPr/>
      <w:r>
        <w:t>For text generation, the watermarking problem is defined over a language model distribution p(x_t | x_&lt;t), following the standard decoding-time watermarking formulation used in prior LLM watermarking work [1, 3]. During decoding, a secret key partitions the vocabulary into green and red tokens based on context. A watermarking algorithm modifies the decoding distribution so that green tokens are sampled more often than expected under an unwatermarked model. Given a generated sequence, the detector computes a z-score measuring green-token enrichment relative to a binomial null distribution. A sequence is classified as watermarked when the z-score exceeds a threshold.</w:t>
      </w:r>
    </w:p>
    <w:p>
      <w:pPr/>
      <w:r>
        <w:t>For structured time-series data, the problem is to embed an identity payload into numerical outputs while preserving statistical utility. The detector should recover the payload after realistic transformations such as noise injection, row deletion, quantization, and smoothing. The main constraints are imperceptibility, payload capacity, and robustness.</w:t>
      </w:r>
    </w:p>
    <w:p>
      <w:pPr>
        <w:pStyle w:val="Heading1"/>
      </w:pPr>
      <w:r>
        <w:rPr>
          <w:b/>
          <w:color w:val="000000"/>
        </w:rPr>
        <w:t>3. Algorithm Design</w:t>
      </w:r>
    </w:p>
    <w:p>
      <w:pPr>
        <w:pStyle w:val="Heading2"/>
      </w:pPr>
      <w:r>
        <w:rPr>
          <w:b/>
          <w:color w:val="000000"/>
        </w:rPr>
        <w:t>3.1 KGW Green-List Text Watermark</w:t>
      </w:r>
    </w:p>
    <w:p>
      <w:pPr/>
      <w:r>
        <w:t>KGW constructs a pseudorandom green list using a stable hash of recent context tokens and a secret key [1]. During generation, green-list logits receive an additive bias delta. The detector repeats the same green-list construction and computes:</w:t>
      </w:r>
    </w:p>
    <w:p>
      <w:pPr/>
      <w:r>
        <w:t>z = (G - gamma n) / sqrt(n gamma (1 - gamma)), where G is the number of generated green tokens, n is the number of generated tokens, and gamma is the expected green-list fraction.</w:t>
      </w:r>
    </w:p>
    <w:p>
      <w:pPr>
        <w:pStyle w:val="Heading2"/>
      </w:pPr>
      <w:r>
        <w:rPr>
          <w:b/>
          <w:color w:val="000000"/>
        </w:rPr>
        <w:t>3.2 Unbiased Probability-Reweighting Watermark</w:t>
      </w:r>
    </w:p>
    <w:p>
      <w:pPr/>
      <w:r>
        <w:t>The unbiased method uses the same secret-keyed green-list partition but modifies token probabilities by multiplying green-token probabilities by alpha and renormalizing, following the motivation of distribution-preserving watermarking [3]. This generally produces a weaker detection signal than direct logit bias, but it is designed to reduce quality degradation because the transformation operates directly on the probability mass.</w:t>
      </w:r>
    </w:p>
    <w:p>
      <w:pPr>
        <w:pStyle w:val="Heading2"/>
      </w:pPr>
      <w:r>
        <w:rPr>
          <w:b/>
          <w:color w:val="000000"/>
        </w:rPr>
        <w:t>3.3 Structured Residual Watermark</w:t>
      </w:r>
    </w:p>
    <w:p>
      <w:pPr/>
      <w:r>
        <w:t>For tabular and time-series outputs, we embed a 12-bit payload into small residual perturbations rather than token choices. Each entity-time record receives a deterministic assignment from a secret hash. Bit value 1 and bit value 0 correspond to opposite signed residual shifts. Detection aggregates residual signs over all records assigned to each bit and computes a bit-level z-score. The perturbation magnitude is only about 3% of the data standard deviation, so the watermark remains small relative to natural variation.</w:t>
      </w:r>
    </w:p>
    <w:p>
      <w:pPr>
        <w:pStyle w:val="Heading1"/>
      </w:pPr>
      <w:r>
        <w:rPr>
          <w:b/>
          <w:color w:val="000000"/>
        </w:rPr>
        <w:t>4. Experiments</w:t>
      </w:r>
    </w:p>
    <w:p>
      <w:pPr/>
      <w:r>
        <w:t>The text experiments use Qwen2.5-0.5B-Instruct [7] with 100 Chinese prompts, maximum generation length of 80 new tokens, temperature 0.9, and top-p 0.95. Human-written Chinese texts are used as negative samples for false-positive evaluation. We compare baseline generation, KGW, and unbiased watermarking across detection, perplexity, latency, ROC/AUC, and attack robustness, following common evaluation dimensions in watermarking benchmarks and toolkits [5, 6].</w:t>
      </w:r>
    </w:p>
    <w:p>
      <w:pPr/>
      <w:r>
        <w:t>The structured-data experiment uses 48 entities and 150 time steps, for 7200 total rows. The payload is 12 bits. We evaluate distribution preservation with summary statistics, correlations, and a Kolmogorov-Smirnov test, then test robustness under additive noise, random row dropping, smoothing, and quantization.</w:t>
      </w:r>
    </w:p>
    <w:p>
      <w:pPr>
        <w:pStyle w:val="Heading2"/>
      </w:pPr>
      <w:r>
        <w:rPr>
          <w:b/>
          <w:color w:val="000000"/>
        </w:rPr>
        <w:t>4.1 Text Watermark Reproduction</w:t>
      </w:r>
    </w:p>
    <w:tbl>
      <w:tblPr>
        <w:tblW w:type="dxa" w:w="9360"/>
        <w:jc w:val="center"/>
        <w:tblLayout w:type="fixed"/>
        <w:tblLook w:firstColumn="1" w:firstRow="1" w:lastColumn="0" w:lastRow="0" w:noHBand="0" w:noVBand="1" w:val="04A0"/>
      </w:tblPr>
      <w:tblGrid>
        <w:gridCol w:w="1560"/>
        <w:gridCol w:w="1560"/>
        <w:gridCol w:w="1560"/>
        <w:gridCol w:w="1560"/>
        <w:gridCol w:w="1560"/>
        <w:gridCol w:w="1560"/>
      </w:tblGrid>
      <w:tr>
        <w:tc>
          <w:tcPr>
            <w:tcW w:type="dxa" w:w="1800"/>
            <w:tcMar>
              <w:top w:w="80" w:type="dxa"/>
              <w:start w:w="120" w:type="dxa"/>
              <w:bottom w:w="80" w:type="dxa"/>
              <w:end w:w="120" w:type="dxa"/>
            </w:tcMar>
            <w:vAlign w:val="center"/>
            <w:shd w:fill="F2F4F7"/>
          </w:tcPr>
          <w:p>
            <w:r>
              <w:rPr>
                <w:rFonts w:ascii="Calibri" w:hAnsi="Calibri"/>
                <w:b/>
                <w:sz w:val="18"/>
              </w:rPr>
              <w:t>Method</w:t>
            </w:r>
          </w:p>
        </w:tc>
        <w:tc>
          <w:tcPr>
            <w:tcW w:type="dxa" w:w="1224"/>
            <w:tcMar>
              <w:top w:w="80" w:type="dxa"/>
              <w:start w:w="120" w:type="dxa"/>
              <w:bottom w:w="80" w:type="dxa"/>
              <w:end w:w="120" w:type="dxa"/>
            </w:tcMar>
            <w:vAlign w:val="center"/>
            <w:shd w:fill="F2F4F7"/>
          </w:tcPr>
          <w:p>
            <w:r>
              <w:rPr>
                <w:rFonts w:ascii="Calibri" w:hAnsi="Calibri"/>
                <w:b/>
                <w:sz w:val="18"/>
              </w:rPr>
              <w:t>Samples</w:t>
            </w:r>
          </w:p>
        </w:tc>
        <w:tc>
          <w:tcPr>
            <w:tcW w:type="dxa" w:w="1584"/>
            <w:tcMar>
              <w:top w:w="80" w:type="dxa"/>
              <w:start w:w="120" w:type="dxa"/>
              <w:bottom w:w="80" w:type="dxa"/>
              <w:end w:w="120" w:type="dxa"/>
            </w:tcMar>
            <w:vAlign w:val="center"/>
            <w:shd w:fill="F2F4F7"/>
          </w:tcPr>
          <w:p>
            <w:r>
              <w:rPr>
                <w:rFonts w:ascii="Calibri" w:hAnsi="Calibri"/>
                <w:b/>
                <w:sz w:val="18"/>
              </w:rPr>
              <w:t>Mean z-score</w:t>
            </w:r>
          </w:p>
        </w:tc>
        <w:tc>
          <w:tcPr>
            <w:tcW w:type="dxa" w:w="1440"/>
            <w:tcMar>
              <w:top w:w="80" w:type="dxa"/>
              <w:start w:w="120" w:type="dxa"/>
              <w:bottom w:w="80" w:type="dxa"/>
              <w:end w:w="120" w:type="dxa"/>
            </w:tcMar>
            <w:vAlign w:val="center"/>
            <w:shd w:fill="F2F4F7"/>
          </w:tcPr>
          <w:p>
            <w:r>
              <w:rPr>
                <w:rFonts w:ascii="Calibri" w:hAnsi="Calibri"/>
                <w:b/>
                <w:sz w:val="18"/>
              </w:rPr>
              <w:t>Mean PPL</w:t>
            </w:r>
          </w:p>
        </w:tc>
        <w:tc>
          <w:tcPr>
            <w:tcW w:type="dxa" w:w="1656"/>
            <w:tcMar>
              <w:top w:w="80" w:type="dxa"/>
              <w:start w:w="120" w:type="dxa"/>
              <w:bottom w:w="80" w:type="dxa"/>
              <w:end w:w="120" w:type="dxa"/>
            </w:tcMar>
            <w:vAlign w:val="center"/>
            <w:shd w:fill="F2F4F7"/>
          </w:tcPr>
          <w:p>
            <w:r>
              <w:rPr>
                <w:rFonts w:ascii="Calibri" w:hAnsi="Calibri"/>
                <w:b/>
                <w:sz w:val="18"/>
              </w:rPr>
              <w:t>Mean seconds</w:t>
            </w:r>
          </w:p>
        </w:tc>
        <w:tc>
          <w:tcPr>
            <w:tcW w:type="dxa" w:w="1440"/>
            <w:tcMar>
              <w:top w:w="80" w:type="dxa"/>
              <w:start w:w="120" w:type="dxa"/>
              <w:bottom w:w="80" w:type="dxa"/>
              <w:end w:w="120" w:type="dxa"/>
            </w:tcMar>
            <w:vAlign w:val="center"/>
            <w:shd w:fill="F2F4F7"/>
          </w:tcPr>
          <w:p>
            <w:r>
              <w:rPr>
                <w:rFonts w:ascii="Calibri" w:hAnsi="Calibri"/>
                <w:b/>
                <w:sz w:val="18"/>
              </w:rPr>
              <w:t>Mean tokens</w:t>
            </w:r>
          </w:p>
        </w:tc>
      </w:tr>
      <w:tr>
        <w:tc>
          <w:tcPr>
            <w:tcW w:type="dxa" w:w="1800"/>
            <w:tcMar>
              <w:top w:w="80" w:type="dxa"/>
              <w:start w:w="120" w:type="dxa"/>
              <w:bottom w:w="80" w:type="dxa"/>
              <w:end w:w="120" w:type="dxa"/>
            </w:tcMar>
            <w:vAlign w:val="center"/>
          </w:tcPr>
          <w:p>
            <w:r>
              <w:rPr>
                <w:rFonts w:ascii="Calibri" w:hAnsi="Calibri"/>
                <w:sz w:val="18"/>
              </w:rPr>
              <w:t>Baseline</w:t>
            </w:r>
          </w:p>
        </w:tc>
        <w:tc>
          <w:tcPr>
            <w:tcW w:type="dxa" w:w="1224"/>
            <w:tcMar>
              <w:top w:w="80" w:type="dxa"/>
              <w:start w:w="120" w:type="dxa"/>
              <w:bottom w:w="80" w:type="dxa"/>
              <w:end w:w="120" w:type="dxa"/>
            </w:tcMar>
            <w:vAlign w:val="center"/>
          </w:tcPr>
          <w:p>
            <w:r>
              <w:rPr>
                <w:rFonts w:ascii="Calibri" w:hAnsi="Calibri"/>
                <w:sz w:val="18"/>
              </w:rPr>
              <w:t>100</w:t>
            </w:r>
          </w:p>
        </w:tc>
        <w:tc>
          <w:tcPr>
            <w:tcW w:type="dxa" w:w="1584"/>
            <w:tcMar>
              <w:top w:w="80" w:type="dxa"/>
              <w:start w:w="120" w:type="dxa"/>
              <w:bottom w:w="80" w:type="dxa"/>
              <w:end w:w="120" w:type="dxa"/>
            </w:tcMar>
            <w:vAlign w:val="center"/>
          </w:tcPr>
          <w:p>
            <w:r>
              <w:rPr>
                <w:rFonts w:ascii="Calibri" w:hAnsi="Calibri"/>
                <w:sz w:val="18"/>
              </w:rPr>
              <w:t>0.13</w:t>
            </w:r>
          </w:p>
        </w:tc>
        <w:tc>
          <w:tcPr>
            <w:tcW w:type="dxa" w:w="1440"/>
            <w:tcMar>
              <w:top w:w="80" w:type="dxa"/>
              <w:start w:w="120" w:type="dxa"/>
              <w:bottom w:w="80" w:type="dxa"/>
              <w:end w:w="120" w:type="dxa"/>
            </w:tcMar>
            <w:vAlign w:val="center"/>
          </w:tcPr>
          <w:p>
            <w:r>
              <w:rPr>
                <w:rFonts w:ascii="Calibri" w:hAnsi="Calibri"/>
                <w:sz w:val="18"/>
              </w:rPr>
              <w:t>9.24</w:t>
            </w:r>
          </w:p>
        </w:tc>
        <w:tc>
          <w:tcPr>
            <w:tcW w:type="dxa" w:w="1656"/>
            <w:tcMar>
              <w:top w:w="80" w:type="dxa"/>
              <w:start w:w="120" w:type="dxa"/>
              <w:bottom w:w="80" w:type="dxa"/>
              <w:end w:w="120" w:type="dxa"/>
            </w:tcMar>
            <w:vAlign w:val="center"/>
          </w:tcPr>
          <w:p>
            <w:r>
              <w:rPr>
                <w:rFonts w:ascii="Calibri" w:hAnsi="Calibri"/>
                <w:sz w:val="18"/>
              </w:rPr>
              <w:t>1.73</w:t>
            </w:r>
          </w:p>
        </w:tc>
        <w:tc>
          <w:tcPr>
            <w:tcW w:type="dxa" w:w="1440"/>
            <w:tcMar>
              <w:top w:w="80" w:type="dxa"/>
              <w:start w:w="120" w:type="dxa"/>
              <w:bottom w:w="80" w:type="dxa"/>
              <w:end w:w="120" w:type="dxa"/>
            </w:tcMar>
            <w:vAlign w:val="center"/>
          </w:tcPr>
          <w:p>
            <w:r>
              <w:rPr>
                <w:rFonts w:ascii="Calibri" w:hAnsi="Calibri"/>
                <w:sz w:val="18"/>
              </w:rPr>
              <w:t>80</w:t>
            </w:r>
          </w:p>
        </w:tc>
      </w:tr>
      <w:tr>
        <w:tc>
          <w:tcPr>
            <w:tcW w:type="dxa" w:w="1800"/>
            <w:tcMar>
              <w:top w:w="80" w:type="dxa"/>
              <w:start w:w="120" w:type="dxa"/>
              <w:bottom w:w="80" w:type="dxa"/>
              <w:end w:w="120" w:type="dxa"/>
            </w:tcMar>
            <w:vAlign w:val="center"/>
          </w:tcPr>
          <w:p>
            <w:r>
              <w:rPr>
                <w:rFonts w:ascii="Calibri" w:hAnsi="Calibri"/>
                <w:sz w:val="18"/>
              </w:rPr>
              <w:t>KGW</w:t>
            </w:r>
          </w:p>
        </w:tc>
        <w:tc>
          <w:tcPr>
            <w:tcW w:type="dxa" w:w="1224"/>
            <w:tcMar>
              <w:top w:w="80" w:type="dxa"/>
              <w:start w:w="120" w:type="dxa"/>
              <w:bottom w:w="80" w:type="dxa"/>
              <w:end w:w="120" w:type="dxa"/>
            </w:tcMar>
            <w:vAlign w:val="center"/>
          </w:tcPr>
          <w:p>
            <w:r>
              <w:rPr>
                <w:rFonts w:ascii="Calibri" w:hAnsi="Calibri"/>
                <w:sz w:val="18"/>
              </w:rPr>
              <w:t>100</w:t>
            </w:r>
          </w:p>
        </w:tc>
        <w:tc>
          <w:tcPr>
            <w:tcW w:type="dxa" w:w="1584"/>
            <w:tcMar>
              <w:top w:w="80" w:type="dxa"/>
              <w:start w:w="120" w:type="dxa"/>
              <w:bottom w:w="80" w:type="dxa"/>
              <w:end w:w="120" w:type="dxa"/>
            </w:tcMar>
            <w:vAlign w:val="center"/>
          </w:tcPr>
          <w:p>
            <w:r>
              <w:rPr>
                <w:rFonts w:ascii="Calibri" w:hAnsi="Calibri"/>
                <w:sz w:val="18"/>
              </w:rPr>
              <w:t>5.22</w:t>
            </w:r>
          </w:p>
        </w:tc>
        <w:tc>
          <w:tcPr>
            <w:tcW w:type="dxa" w:w="1440"/>
            <w:tcMar>
              <w:top w:w="80" w:type="dxa"/>
              <w:start w:w="120" w:type="dxa"/>
              <w:bottom w:w="80" w:type="dxa"/>
              <w:end w:w="120" w:type="dxa"/>
            </w:tcMar>
            <w:vAlign w:val="center"/>
          </w:tcPr>
          <w:p>
            <w:r>
              <w:rPr>
                <w:rFonts w:ascii="Calibri" w:hAnsi="Calibri"/>
                <w:sz w:val="18"/>
              </w:rPr>
              <w:t>12.18</w:t>
            </w:r>
          </w:p>
        </w:tc>
        <w:tc>
          <w:tcPr>
            <w:tcW w:type="dxa" w:w="1656"/>
            <w:tcMar>
              <w:top w:w="80" w:type="dxa"/>
              <w:start w:w="120" w:type="dxa"/>
              <w:bottom w:w="80" w:type="dxa"/>
              <w:end w:w="120" w:type="dxa"/>
            </w:tcMar>
            <w:vAlign w:val="center"/>
          </w:tcPr>
          <w:p>
            <w:r>
              <w:rPr>
                <w:rFonts w:ascii="Calibri" w:hAnsi="Calibri"/>
                <w:sz w:val="18"/>
              </w:rPr>
              <w:t>1.74</w:t>
            </w:r>
          </w:p>
        </w:tc>
        <w:tc>
          <w:tcPr>
            <w:tcW w:type="dxa" w:w="1440"/>
            <w:tcMar>
              <w:top w:w="80" w:type="dxa"/>
              <w:start w:w="120" w:type="dxa"/>
              <w:bottom w:w="80" w:type="dxa"/>
              <w:end w:w="120" w:type="dxa"/>
            </w:tcMar>
            <w:vAlign w:val="center"/>
          </w:tcPr>
          <w:p>
            <w:r>
              <w:rPr>
                <w:rFonts w:ascii="Calibri" w:hAnsi="Calibri"/>
                <w:sz w:val="18"/>
              </w:rPr>
              <w:t>80</w:t>
            </w:r>
          </w:p>
        </w:tc>
      </w:tr>
      <w:tr>
        <w:tc>
          <w:tcPr>
            <w:tcW w:type="dxa" w:w="1800"/>
            <w:tcMar>
              <w:top w:w="80" w:type="dxa"/>
              <w:start w:w="120" w:type="dxa"/>
              <w:bottom w:w="80" w:type="dxa"/>
              <w:end w:w="120" w:type="dxa"/>
            </w:tcMar>
            <w:vAlign w:val="center"/>
          </w:tcPr>
          <w:p>
            <w:r>
              <w:rPr>
                <w:rFonts w:ascii="Calibri" w:hAnsi="Calibri"/>
                <w:sz w:val="18"/>
              </w:rPr>
              <w:t>Unbiased</w:t>
            </w:r>
          </w:p>
        </w:tc>
        <w:tc>
          <w:tcPr>
            <w:tcW w:type="dxa" w:w="1224"/>
            <w:tcMar>
              <w:top w:w="80" w:type="dxa"/>
              <w:start w:w="120" w:type="dxa"/>
              <w:bottom w:w="80" w:type="dxa"/>
              <w:end w:w="120" w:type="dxa"/>
            </w:tcMar>
            <w:vAlign w:val="center"/>
          </w:tcPr>
          <w:p>
            <w:r>
              <w:rPr>
                <w:rFonts w:ascii="Calibri" w:hAnsi="Calibri"/>
                <w:sz w:val="18"/>
              </w:rPr>
              <w:t>100</w:t>
            </w:r>
          </w:p>
        </w:tc>
        <w:tc>
          <w:tcPr>
            <w:tcW w:type="dxa" w:w="1584"/>
            <w:tcMar>
              <w:top w:w="80" w:type="dxa"/>
              <w:start w:w="120" w:type="dxa"/>
              <w:bottom w:w="80" w:type="dxa"/>
              <w:end w:w="120" w:type="dxa"/>
            </w:tcMar>
            <w:vAlign w:val="center"/>
          </w:tcPr>
          <w:p>
            <w:r>
              <w:rPr>
                <w:rFonts w:ascii="Calibri" w:hAnsi="Calibri"/>
                <w:sz w:val="18"/>
              </w:rPr>
              <w:t>2.75</w:t>
            </w:r>
          </w:p>
        </w:tc>
        <w:tc>
          <w:tcPr>
            <w:tcW w:type="dxa" w:w="1440"/>
            <w:tcMar>
              <w:top w:w="80" w:type="dxa"/>
              <w:start w:w="120" w:type="dxa"/>
              <w:bottom w:w="80" w:type="dxa"/>
              <w:end w:w="120" w:type="dxa"/>
            </w:tcMar>
            <w:vAlign w:val="center"/>
          </w:tcPr>
          <w:p>
            <w:r>
              <w:rPr>
                <w:rFonts w:ascii="Calibri" w:hAnsi="Calibri"/>
                <w:sz w:val="18"/>
              </w:rPr>
              <w:t>9.91</w:t>
            </w:r>
          </w:p>
        </w:tc>
        <w:tc>
          <w:tcPr>
            <w:tcW w:type="dxa" w:w="1656"/>
            <w:tcMar>
              <w:top w:w="80" w:type="dxa"/>
              <w:start w:w="120" w:type="dxa"/>
              <w:bottom w:w="80" w:type="dxa"/>
              <w:end w:w="120" w:type="dxa"/>
            </w:tcMar>
            <w:vAlign w:val="center"/>
          </w:tcPr>
          <w:p>
            <w:r>
              <w:rPr>
                <w:rFonts w:ascii="Calibri" w:hAnsi="Calibri"/>
                <w:sz w:val="18"/>
              </w:rPr>
              <w:t>1.77</w:t>
            </w:r>
          </w:p>
        </w:tc>
        <w:tc>
          <w:tcPr>
            <w:tcW w:type="dxa" w:w="1440"/>
            <w:tcMar>
              <w:top w:w="80" w:type="dxa"/>
              <w:start w:w="120" w:type="dxa"/>
              <w:bottom w:w="80" w:type="dxa"/>
              <w:end w:w="120" w:type="dxa"/>
            </w:tcMar>
            <w:vAlign w:val="center"/>
          </w:tcPr>
          <w:p>
            <w:r>
              <w:rPr>
                <w:rFonts w:ascii="Calibri" w:hAnsi="Calibri"/>
                <w:sz w:val="18"/>
              </w:rPr>
              <w:t>80</w:t>
            </w:r>
          </w:p>
        </w:tc>
      </w:tr>
    </w:tbl>
    <w:p>
      <w:pPr/>
      <w:r>
        <w:t>It compares the detection signal, text quality, runtime, and output length, so it is the main evidence for the basic tradeoff between watermark strength and generation quality.</w:t>
      </w:r>
    </w:p>
    <w:p>
      <w:pPr/>
      <w:r>
        <w:t>Table 1 reports the core reproduction results for the three generation settings.</w:t>
      </w:r>
    </w:p>
    <w:p>
      <w:pPr>
        <w:spacing w:before="40" w:after="160"/>
        <w:jc w:val="center"/>
      </w:pPr>
      <w:r>
        <w:rPr>
          <w:i/>
          <w:color w:val="5A5A5A"/>
          <w:sz w:val="18"/>
        </w:rPr>
        <w:t>Table 1. Assignment 1 reproduction results on 100 prompts.</w:t>
      </w:r>
    </w:p>
    <w:p>
      <w:pPr/>
      <w:r>
        <w:t>KGW produces the strongest detection signal: its mean z-score is 5.22, clearly above the common threshold z=2 used in prior green-list watermark detectors [1]. The unbiased method also produces a detectable signal with mean z=2.75, but its signal is weaker. The quality tradeoff is visible in perplexity: KGW increases mean PPL from 9.24 to 12.18, while the unbiased method stays closer to baseline at 9.91. Runtime overhead is small for both methods, with per-sample latency remaining near baseline.</w:t>
      </w:r>
    </w:p>
    <w:p>
      <w:r>
        <w:drawing>
          <wp:inline xmlns:a="http://schemas.openxmlformats.org/drawingml/2006/main" xmlns:pic="http://schemas.openxmlformats.org/drawingml/2006/picture">
            <wp:extent cx="5669280" cy="3855886"/>
            <wp:docPr id="1" name="Picture 1"/>
            <wp:cNvGraphicFramePr>
              <a:graphicFrameLocks noChangeAspect="1"/>
            </wp:cNvGraphicFramePr>
            <a:graphic>
              <a:graphicData uri="http://schemas.openxmlformats.org/drawingml/2006/picture">
                <pic:pic>
                  <pic:nvPicPr>
                    <pic:cNvPr id="0" name="assignment1_full_charts.png"/>
                    <pic:cNvPicPr/>
                  </pic:nvPicPr>
                  <pic:blipFill>
                    <a:blip r:embed="rId9"/>
                    <a:stretch>
                      <a:fillRect/>
                    </a:stretch>
                  </pic:blipFill>
                  <pic:spPr>
                    <a:xfrm>
                      <a:off x="0" y="0"/>
                      <a:ext cx="5669280" cy="3855886"/>
                    </a:xfrm>
                    <a:prstGeom prst="rect"/>
                  </pic:spPr>
                </pic:pic>
              </a:graphicData>
            </a:graphic>
          </wp:inline>
        </w:drawing>
      </w:r>
    </w:p>
    <w:p>
      <w:pPr/>
      <w:r>
        <w:t>The z-score panel makes the detection gap between baseline, KGW, and unbiased watermarking easy to see, while the quality and runtime panels show that stronger detectability does not come with a large latency cost.</w:t>
      </w:r>
    </w:p>
    <w:p>
      <w:pPr/>
      <w:r>
        <w:t>Figure 1 visualizes the same reproduction experiment from multiple angles.</w:t>
      </w:r>
    </w:p>
    <w:p>
      <w:pPr>
        <w:spacing w:before="40" w:after="160"/>
        <w:jc w:val="center"/>
      </w:pPr>
      <w:r>
        <w:rPr>
          <w:i/>
          <w:color w:val="5A5A5A"/>
          <w:sz w:val="18"/>
        </w:rPr>
        <w:t>Figure 1. Detection, quality, and runtime comparison for baseline, KGW, and unbiased watermarking.</w:t>
      </w:r>
    </w:p>
    <w:p>
      <w:pPr>
        <w:pStyle w:val="Heading2"/>
      </w:pPr>
      <w:r>
        <w:rPr>
          <w:b/>
          <w:color w:val="000000"/>
        </w:rPr>
        <w:t>4.2 Detection Metrics and Parameter Sensitivity</w:t>
      </w:r>
    </w:p>
    <w:tbl>
      <w:tblPr>
        <w:tblW w:type="dxa" w:w="936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2232"/>
            <w:tcMar>
              <w:top w:w="80" w:type="dxa"/>
              <w:start w:w="120" w:type="dxa"/>
              <w:bottom w:w="80" w:type="dxa"/>
              <w:end w:w="120" w:type="dxa"/>
            </w:tcMar>
            <w:vAlign w:val="center"/>
            <w:shd w:fill="F2F4F7"/>
          </w:tcPr>
          <w:p>
            <w:r>
              <w:rPr>
                <w:rFonts w:ascii="Calibri" w:hAnsi="Calibri"/>
                <w:b/>
                <w:sz w:val="18"/>
              </w:rPr>
              <w:t>Configuration</w:t>
            </w:r>
          </w:p>
        </w:tc>
        <w:tc>
          <w:tcPr>
            <w:tcW w:type="dxa" w:w="1224"/>
            <w:tcMar>
              <w:top w:w="80" w:type="dxa"/>
              <w:start w:w="120" w:type="dxa"/>
              <w:bottom w:w="80" w:type="dxa"/>
              <w:end w:w="120" w:type="dxa"/>
            </w:tcMar>
            <w:vAlign w:val="center"/>
            <w:shd w:fill="F2F4F7"/>
          </w:tcPr>
          <w:p>
            <w:r>
              <w:rPr>
                <w:rFonts w:ascii="Calibri" w:hAnsi="Calibri"/>
                <w:b/>
                <w:sz w:val="18"/>
              </w:rPr>
              <w:t>Threshold</w:t>
            </w:r>
          </w:p>
        </w:tc>
        <w:tc>
          <w:tcPr>
            <w:tcW w:type="dxa" w:w="1224"/>
            <w:tcMar>
              <w:top w:w="80" w:type="dxa"/>
              <w:start w:w="120" w:type="dxa"/>
              <w:bottom w:w="80" w:type="dxa"/>
              <w:end w:w="120" w:type="dxa"/>
            </w:tcMar>
            <w:vAlign w:val="center"/>
            <w:shd w:fill="F2F4F7"/>
          </w:tcPr>
          <w:p>
            <w:r>
              <w:rPr>
                <w:rFonts w:ascii="Calibri" w:hAnsi="Calibri"/>
                <w:b/>
                <w:sz w:val="18"/>
              </w:rPr>
              <w:t>Accuracy</w:t>
            </w:r>
          </w:p>
        </w:tc>
        <w:tc>
          <w:tcPr>
            <w:tcW w:type="dxa" w:w="1296"/>
            <w:tcMar>
              <w:top w:w="80" w:type="dxa"/>
              <w:start w:w="120" w:type="dxa"/>
              <w:bottom w:w="80" w:type="dxa"/>
              <w:end w:w="120" w:type="dxa"/>
            </w:tcMar>
            <w:vAlign w:val="center"/>
            <w:shd w:fill="F2F4F7"/>
          </w:tcPr>
          <w:p>
            <w:r>
              <w:rPr>
                <w:rFonts w:ascii="Calibri" w:hAnsi="Calibri"/>
                <w:b/>
                <w:sz w:val="18"/>
              </w:rPr>
              <w:t>Precision</w:t>
            </w:r>
          </w:p>
        </w:tc>
        <w:tc>
          <w:tcPr>
            <w:tcW w:type="dxa" w:w="1224"/>
            <w:tcMar>
              <w:top w:w="80" w:type="dxa"/>
              <w:start w:w="120" w:type="dxa"/>
              <w:bottom w:w="80" w:type="dxa"/>
              <w:end w:w="120" w:type="dxa"/>
            </w:tcMar>
            <w:vAlign w:val="center"/>
            <w:shd w:fill="F2F4F7"/>
          </w:tcPr>
          <w:p>
            <w:r>
              <w:rPr>
                <w:rFonts w:ascii="Calibri" w:hAnsi="Calibri"/>
                <w:b/>
                <w:sz w:val="18"/>
              </w:rPr>
              <w:t>Recall</w:t>
            </w:r>
          </w:p>
        </w:tc>
        <w:tc>
          <w:tcPr>
            <w:tcW w:type="dxa" w:w="1080"/>
            <w:tcMar>
              <w:top w:w="80" w:type="dxa"/>
              <w:start w:w="120" w:type="dxa"/>
              <w:bottom w:w="80" w:type="dxa"/>
              <w:end w:w="120" w:type="dxa"/>
            </w:tcMar>
            <w:vAlign w:val="center"/>
            <w:shd w:fill="F2F4F7"/>
          </w:tcPr>
          <w:p>
            <w:r>
              <w:rPr>
                <w:rFonts w:ascii="Calibri" w:hAnsi="Calibri"/>
                <w:b/>
                <w:sz w:val="18"/>
              </w:rPr>
              <w:t>F1</w:t>
            </w:r>
          </w:p>
        </w:tc>
        <w:tc>
          <w:tcPr>
            <w:tcW w:type="dxa" w:w="1080"/>
            <w:tcMar>
              <w:top w:w="80" w:type="dxa"/>
              <w:start w:w="120" w:type="dxa"/>
              <w:bottom w:w="80" w:type="dxa"/>
              <w:end w:w="120" w:type="dxa"/>
            </w:tcMar>
            <w:vAlign w:val="center"/>
            <w:shd w:fill="F2F4F7"/>
          </w:tcPr>
          <w:p>
            <w:r>
              <w:rPr>
                <w:rFonts w:ascii="Calibri" w:hAnsi="Calibri"/>
                <w:b/>
                <w:sz w:val="18"/>
              </w:rPr>
              <w:t>AUC</w:t>
            </w:r>
          </w:p>
        </w:tc>
      </w:tr>
      <w:tr>
        <w:tc>
          <w:tcPr>
            <w:tcW w:type="dxa" w:w="2232"/>
            <w:tcMar>
              <w:top w:w="80" w:type="dxa"/>
              <w:start w:w="120" w:type="dxa"/>
              <w:bottom w:w="80" w:type="dxa"/>
              <w:end w:w="120" w:type="dxa"/>
            </w:tcMar>
            <w:vAlign w:val="center"/>
          </w:tcPr>
          <w:p>
            <w:r>
              <w:rPr>
                <w:rFonts w:ascii="Calibri" w:hAnsi="Calibri"/>
                <w:sz w:val="18"/>
              </w:rPr>
              <w:t>KGW delta=1.5</w:t>
            </w:r>
          </w:p>
        </w:tc>
        <w:tc>
          <w:tcPr>
            <w:tcW w:type="dxa" w:w="1224"/>
            <w:tcMar>
              <w:top w:w="80" w:type="dxa"/>
              <w:start w:w="120" w:type="dxa"/>
              <w:bottom w:w="80" w:type="dxa"/>
              <w:end w:w="120" w:type="dxa"/>
            </w:tcMar>
            <w:vAlign w:val="center"/>
          </w:tcPr>
          <w:p>
            <w:r>
              <w:rPr>
                <w:rFonts w:ascii="Calibri" w:hAnsi="Calibri"/>
                <w:sz w:val="18"/>
              </w:rPr>
              <w:t>2.0</w:t>
            </w:r>
          </w:p>
        </w:tc>
        <w:tc>
          <w:tcPr>
            <w:tcW w:type="dxa" w:w="1224"/>
            <w:tcMar>
              <w:top w:w="80" w:type="dxa"/>
              <w:start w:w="120" w:type="dxa"/>
              <w:bottom w:w="80" w:type="dxa"/>
              <w:end w:w="120" w:type="dxa"/>
            </w:tcMar>
            <w:vAlign w:val="center"/>
          </w:tcPr>
          <w:p>
            <w:r>
              <w:rPr>
                <w:rFonts w:ascii="Calibri" w:hAnsi="Calibri"/>
                <w:sz w:val="18"/>
              </w:rPr>
              <w:t>0.985</w:t>
            </w:r>
          </w:p>
        </w:tc>
        <w:tc>
          <w:tcPr>
            <w:tcW w:type="dxa" w:w="1296"/>
            <w:tcMar>
              <w:top w:w="80" w:type="dxa"/>
              <w:start w:w="120" w:type="dxa"/>
              <w:bottom w:w="80" w:type="dxa"/>
              <w:end w:w="120" w:type="dxa"/>
            </w:tcMar>
            <w:vAlign w:val="center"/>
          </w:tcPr>
          <w:p>
            <w:r>
              <w:rPr>
                <w:rFonts w:ascii="Calibri" w:hAnsi="Calibri"/>
                <w:sz w:val="18"/>
              </w:rPr>
              <w:t>0.990</w:t>
            </w:r>
          </w:p>
        </w:tc>
        <w:tc>
          <w:tcPr>
            <w:tcW w:type="dxa" w:w="1224"/>
            <w:tcMar>
              <w:top w:w="80" w:type="dxa"/>
              <w:start w:w="120" w:type="dxa"/>
              <w:bottom w:w="80" w:type="dxa"/>
              <w:end w:w="120" w:type="dxa"/>
            </w:tcMar>
            <w:vAlign w:val="center"/>
          </w:tcPr>
          <w:p>
            <w:r>
              <w:rPr>
                <w:rFonts w:ascii="Calibri" w:hAnsi="Calibri"/>
                <w:sz w:val="18"/>
              </w:rPr>
              <w:t>0.980</w:t>
            </w:r>
          </w:p>
        </w:tc>
        <w:tc>
          <w:tcPr>
            <w:tcW w:type="dxa" w:w="1080"/>
            <w:tcMar>
              <w:top w:w="80" w:type="dxa"/>
              <w:start w:w="120" w:type="dxa"/>
              <w:bottom w:w="80" w:type="dxa"/>
              <w:end w:w="120" w:type="dxa"/>
            </w:tcMar>
            <w:vAlign w:val="center"/>
          </w:tcPr>
          <w:p>
            <w:r>
              <w:rPr>
                <w:rFonts w:ascii="Calibri" w:hAnsi="Calibri"/>
                <w:sz w:val="18"/>
              </w:rPr>
              <w:t>0.985</w:t>
            </w:r>
          </w:p>
        </w:tc>
        <w:tc>
          <w:tcPr>
            <w:tcW w:type="dxa" w:w="1080"/>
            <w:tcMar>
              <w:top w:w="80" w:type="dxa"/>
              <w:start w:w="120" w:type="dxa"/>
              <w:bottom w:w="80" w:type="dxa"/>
              <w:end w:w="120" w:type="dxa"/>
            </w:tcMar>
            <w:vAlign w:val="center"/>
          </w:tcPr>
          <w:p>
            <w:r>
              <w:rPr>
                <w:rFonts w:ascii="Calibri" w:hAnsi="Calibri"/>
                <w:sz w:val="18"/>
              </w:rPr>
              <w:t>0.999</w:t>
            </w:r>
          </w:p>
        </w:tc>
      </w:tr>
      <w:tr>
        <w:tc>
          <w:tcPr>
            <w:tcW w:type="dxa" w:w="2232"/>
            <w:tcMar>
              <w:top w:w="80" w:type="dxa"/>
              <w:start w:w="120" w:type="dxa"/>
              <w:bottom w:w="80" w:type="dxa"/>
              <w:end w:w="120" w:type="dxa"/>
            </w:tcMar>
            <w:vAlign w:val="center"/>
          </w:tcPr>
          <w:p>
            <w:r>
              <w:rPr>
                <w:rFonts w:ascii="Calibri" w:hAnsi="Calibri"/>
                <w:sz w:val="18"/>
              </w:rPr>
              <w:t>KGW delta=2.0</w:t>
            </w:r>
          </w:p>
        </w:tc>
        <w:tc>
          <w:tcPr>
            <w:tcW w:type="dxa" w:w="1224"/>
            <w:tcMar>
              <w:top w:w="80" w:type="dxa"/>
              <w:start w:w="120" w:type="dxa"/>
              <w:bottom w:w="80" w:type="dxa"/>
              <w:end w:w="120" w:type="dxa"/>
            </w:tcMar>
            <w:vAlign w:val="center"/>
          </w:tcPr>
          <w:p>
            <w:r>
              <w:rPr>
                <w:rFonts w:ascii="Calibri" w:hAnsi="Calibri"/>
                <w:sz w:val="18"/>
              </w:rPr>
              <w:t>2.0</w:t>
            </w:r>
          </w:p>
        </w:tc>
        <w:tc>
          <w:tcPr>
            <w:tcW w:type="dxa" w:w="1224"/>
            <w:tcMar>
              <w:top w:w="80" w:type="dxa"/>
              <w:start w:w="120" w:type="dxa"/>
              <w:bottom w:w="80" w:type="dxa"/>
              <w:end w:w="120" w:type="dxa"/>
            </w:tcMar>
            <w:vAlign w:val="center"/>
          </w:tcPr>
          <w:p>
            <w:r>
              <w:rPr>
                <w:rFonts w:ascii="Calibri" w:hAnsi="Calibri"/>
                <w:sz w:val="18"/>
              </w:rPr>
              <w:t>0.995</w:t>
            </w:r>
          </w:p>
        </w:tc>
        <w:tc>
          <w:tcPr>
            <w:tcW w:type="dxa" w:w="1296"/>
            <w:tcMar>
              <w:top w:w="80" w:type="dxa"/>
              <w:start w:w="120" w:type="dxa"/>
              <w:bottom w:w="80" w:type="dxa"/>
              <w:end w:w="120" w:type="dxa"/>
            </w:tcMar>
            <w:vAlign w:val="center"/>
          </w:tcPr>
          <w:p>
            <w:r>
              <w:rPr>
                <w:rFonts w:ascii="Calibri" w:hAnsi="Calibri"/>
                <w:sz w:val="18"/>
              </w:rPr>
              <w:t>0.990</w:t>
            </w:r>
          </w:p>
        </w:tc>
        <w:tc>
          <w:tcPr>
            <w:tcW w:type="dxa" w:w="1224"/>
            <w:tcMar>
              <w:top w:w="80" w:type="dxa"/>
              <w:start w:w="120" w:type="dxa"/>
              <w:bottom w:w="80" w:type="dxa"/>
              <w:end w:w="120" w:type="dxa"/>
            </w:tcMar>
            <w:vAlign w:val="center"/>
          </w:tcPr>
          <w:p>
            <w:r>
              <w:rPr>
                <w:rFonts w:ascii="Calibri" w:hAnsi="Calibri"/>
                <w:sz w:val="18"/>
              </w:rPr>
              <w:t>1.000</w:t>
            </w:r>
          </w:p>
        </w:tc>
        <w:tc>
          <w:tcPr>
            <w:tcW w:type="dxa" w:w="1080"/>
            <w:tcMar>
              <w:top w:w="80" w:type="dxa"/>
              <w:start w:w="120" w:type="dxa"/>
              <w:bottom w:w="80" w:type="dxa"/>
              <w:end w:w="120" w:type="dxa"/>
            </w:tcMar>
            <w:vAlign w:val="center"/>
          </w:tcPr>
          <w:p>
            <w:r>
              <w:rPr>
                <w:rFonts w:ascii="Calibri" w:hAnsi="Calibri"/>
                <w:sz w:val="18"/>
              </w:rPr>
              <w:t>0.995</w:t>
            </w:r>
          </w:p>
        </w:tc>
        <w:tc>
          <w:tcPr>
            <w:tcW w:type="dxa" w:w="1080"/>
            <w:tcMar>
              <w:top w:w="80" w:type="dxa"/>
              <w:start w:w="120" w:type="dxa"/>
              <w:bottom w:w="80" w:type="dxa"/>
              <w:end w:w="120" w:type="dxa"/>
            </w:tcMar>
            <w:vAlign w:val="center"/>
          </w:tcPr>
          <w:p>
            <w:r>
              <w:rPr>
                <w:rFonts w:ascii="Calibri" w:hAnsi="Calibri"/>
                <w:sz w:val="18"/>
              </w:rPr>
              <w:t>1.000</w:t>
            </w:r>
          </w:p>
        </w:tc>
      </w:tr>
      <w:tr>
        <w:tc>
          <w:tcPr>
            <w:tcW w:type="dxa" w:w="2232"/>
            <w:tcMar>
              <w:top w:w="80" w:type="dxa"/>
              <w:start w:w="120" w:type="dxa"/>
              <w:bottom w:w="80" w:type="dxa"/>
              <w:end w:w="120" w:type="dxa"/>
            </w:tcMar>
            <w:vAlign w:val="center"/>
          </w:tcPr>
          <w:p>
            <w:r>
              <w:rPr>
                <w:rFonts w:ascii="Calibri" w:hAnsi="Calibri"/>
                <w:sz w:val="18"/>
              </w:rPr>
              <w:t>KGW delta=2.5</w:t>
            </w:r>
          </w:p>
        </w:tc>
        <w:tc>
          <w:tcPr>
            <w:tcW w:type="dxa" w:w="1224"/>
            <w:tcMar>
              <w:top w:w="80" w:type="dxa"/>
              <w:start w:w="120" w:type="dxa"/>
              <w:bottom w:w="80" w:type="dxa"/>
              <w:end w:w="120" w:type="dxa"/>
            </w:tcMar>
            <w:vAlign w:val="center"/>
          </w:tcPr>
          <w:p>
            <w:r>
              <w:rPr>
                <w:rFonts w:ascii="Calibri" w:hAnsi="Calibri"/>
                <w:sz w:val="18"/>
              </w:rPr>
              <w:t>2.5</w:t>
            </w:r>
          </w:p>
        </w:tc>
        <w:tc>
          <w:tcPr>
            <w:tcW w:type="dxa" w:w="1224"/>
            <w:tcMar>
              <w:top w:w="80" w:type="dxa"/>
              <w:start w:w="120" w:type="dxa"/>
              <w:bottom w:w="80" w:type="dxa"/>
              <w:end w:w="120" w:type="dxa"/>
            </w:tcMar>
            <w:vAlign w:val="center"/>
          </w:tcPr>
          <w:p>
            <w:r>
              <w:rPr>
                <w:rFonts w:ascii="Calibri" w:hAnsi="Calibri"/>
                <w:sz w:val="18"/>
              </w:rPr>
              <w:t>0.995</w:t>
            </w:r>
          </w:p>
        </w:tc>
        <w:tc>
          <w:tcPr>
            <w:tcW w:type="dxa" w:w="1296"/>
            <w:tcMar>
              <w:top w:w="80" w:type="dxa"/>
              <w:start w:w="120" w:type="dxa"/>
              <w:bottom w:w="80" w:type="dxa"/>
              <w:end w:w="120" w:type="dxa"/>
            </w:tcMar>
            <w:vAlign w:val="center"/>
          </w:tcPr>
          <w:p>
            <w:r>
              <w:rPr>
                <w:rFonts w:ascii="Calibri" w:hAnsi="Calibri"/>
                <w:sz w:val="18"/>
              </w:rPr>
              <w:t>1.000</w:t>
            </w:r>
          </w:p>
        </w:tc>
        <w:tc>
          <w:tcPr>
            <w:tcW w:type="dxa" w:w="1224"/>
            <w:tcMar>
              <w:top w:w="80" w:type="dxa"/>
              <w:start w:w="120" w:type="dxa"/>
              <w:bottom w:w="80" w:type="dxa"/>
              <w:end w:w="120" w:type="dxa"/>
            </w:tcMar>
            <w:vAlign w:val="center"/>
          </w:tcPr>
          <w:p>
            <w:r>
              <w:rPr>
                <w:rFonts w:ascii="Calibri" w:hAnsi="Calibri"/>
                <w:sz w:val="18"/>
              </w:rPr>
              <w:t>0.990</w:t>
            </w:r>
          </w:p>
        </w:tc>
        <w:tc>
          <w:tcPr>
            <w:tcW w:type="dxa" w:w="1080"/>
            <w:tcMar>
              <w:top w:w="80" w:type="dxa"/>
              <w:start w:w="120" w:type="dxa"/>
              <w:bottom w:w="80" w:type="dxa"/>
              <w:end w:w="120" w:type="dxa"/>
            </w:tcMar>
            <w:vAlign w:val="center"/>
          </w:tcPr>
          <w:p>
            <w:r>
              <w:rPr>
                <w:rFonts w:ascii="Calibri" w:hAnsi="Calibri"/>
                <w:sz w:val="18"/>
              </w:rPr>
              <w:t>0.995</w:t>
            </w:r>
          </w:p>
        </w:tc>
        <w:tc>
          <w:tcPr>
            <w:tcW w:type="dxa" w:w="1080"/>
            <w:tcMar>
              <w:top w:w="80" w:type="dxa"/>
              <w:start w:w="120" w:type="dxa"/>
              <w:bottom w:w="80" w:type="dxa"/>
              <w:end w:w="120" w:type="dxa"/>
            </w:tcMar>
            <w:vAlign w:val="center"/>
          </w:tcPr>
          <w:p>
            <w:r>
              <w:rPr>
                <w:rFonts w:ascii="Calibri" w:hAnsi="Calibri"/>
                <w:sz w:val="18"/>
              </w:rPr>
              <w:t>1.000</w:t>
            </w:r>
          </w:p>
        </w:tc>
      </w:tr>
      <w:tr>
        <w:tc>
          <w:tcPr>
            <w:tcW w:type="dxa" w:w="2232"/>
            <w:tcMar>
              <w:top w:w="80" w:type="dxa"/>
              <w:start w:w="120" w:type="dxa"/>
              <w:bottom w:w="80" w:type="dxa"/>
              <w:end w:w="120" w:type="dxa"/>
            </w:tcMar>
            <w:vAlign w:val="center"/>
          </w:tcPr>
          <w:p>
            <w:r>
              <w:rPr>
                <w:rFonts w:ascii="Calibri" w:hAnsi="Calibri"/>
                <w:sz w:val="18"/>
              </w:rPr>
              <w:t>KGW delta=3.0</w:t>
            </w:r>
          </w:p>
        </w:tc>
        <w:tc>
          <w:tcPr>
            <w:tcW w:type="dxa" w:w="1224"/>
            <w:tcMar>
              <w:top w:w="80" w:type="dxa"/>
              <w:start w:w="120" w:type="dxa"/>
              <w:bottom w:w="80" w:type="dxa"/>
              <w:end w:w="120" w:type="dxa"/>
            </w:tcMar>
            <w:vAlign w:val="center"/>
          </w:tcPr>
          <w:p>
            <w:r>
              <w:rPr>
                <w:rFonts w:ascii="Calibri" w:hAnsi="Calibri"/>
                <w:sz w:val="18"/>
              </w:rPr>
              <w:t>3.0</w:t>
            </w:r>
          </w:p>
        </w:tc>
        <w:tc>
          <w:tcPr>
            <w:tcW w:type="dxa" w:w="1224"/>
            <w:tcMar>
              <w:top w:w="80" w:type="dxa"/>
              <w:start w:w="120" w:type="dxa"/>
              <w:bottom w:w="80" w:type="dxa"/>
              <w:end w:w="120" w:type="dxa"/>
            </w:tcMar>
            <w:vAlign w:val="center"/>
          </w:tcPr>
          <w:p>
            <w:r>
              <w:rPr>
                <w:rFonts w:ascii="Calibri" w:hAnsi="Calibri"/>
                <w:sz w:val="18"/>
              </w:rPr>
              <w:t>1.000</w:t>
            </w:r>
          </w:p>
        </w:tc>
        <w:tc>
          <w:tcPr>
            <w:tcW w:type="dxa" w:w="1296"/>
            <w:tcMar>
              <w:top w:w="80" w:type="dxa"/>
              <w:start w:w="120" w:type="dxa"/>
              <w:bottom w:w="80" w:type="dxa"/>
              <w:end w:w="120" w:type="dxa"/>
            </w:tcMar>
            <w:vAlign w:val="center"/>
          </w:tcPr>
          <w:p>
            <w:r>
              <w:rPr>
                <w:rFonts w:ascii="Calibri" w:hAnsi="Calibri"/>
                <w:sz w:val="18"/>
              </w:rPr>
              <w:t>1.000</w:t>
            </w:r>
          </w:p>
        </w:tc>
        <w:tc>
          <w:tcPr>
            <w:tcW w:type="dxa" w:w="1224"/>
            <w:tcMar>
              <w:top w:w="80" w:type="dxa"/>
              <w:start w:w="120" w:type="dxa"/>
              <w:bottom w:w="80" w:type="dxa"/>
              <w:end w:w="120" w:type="dxa"/>
            </w:tcMar>
            <w:vAlign w:val="center"/>
          </w:tcPr>
          <w:p>
            <w:r>
              <w:rPr>
                <w:rFonts w:ascii="Calibri" w:hAnsi="Calibri"/>
                <w:sz w:val="18"/>
              </w:rPr>
              <w:t>1.000</w:t>
            </w:r>
          </w:p>
        </w:tc>
        <w:tc>
          <w:tcPr>
            <w:tcW w:type="dxa" w:w="1080"/>
            <w:tcMar>
              <w:top w:w="80" w:type="dxa"/>
              <w:start w:w="120" w:type="dxa"/>
              <w:bottom w:w="80" w:type="dxa"/>
              <w:end w:w="120" w:type="dxa"/>
            </w:tcMar>
            <w:vAlign w:val="center"/>
          </w:tcPr>
          <w:p>
            <w:r>
              <w:rPr>
                <w:rFonts w:ascii="Calibri" w:hAnsi="Calibri"/>
                <w:sz w:val="18"/>
              </w:rPr>
              <w:t>1.000</w:t>
            </w:r>
          </w:p>
        </w:tc>
        <w:tc>
          <w:tcPr>
            <w:tcW w:type="dxa" w:w="1080"/>
            <w:tcMar>
              <w:top w:w="80" w:type="dxa"/>
              <w:start w:w="120" w:type="dxa"/>
              <w:bottom w:w="80" w:type="dxa"/>
              <w:end w:w="120" w:type="dxa"/>
            </w:tcMar>
            <w:vAlign w:val="center"/>
          </w:tcPr>
          <w:p>
            <w:r>
              <w:rPr>
                <w:rFonts w:ascii="Calibri" w:hAnsi="Calibri"/>
                <w:sz w:val="18"/>
              </w:rPr>
              <w:t>1.000</w:t>
            </w:r>
          </w:p>
        </w:tc>
      </w:tr>
      <w:tr>
        <w:tc>
          <w:tcPr>
            <w:tcW w:type="dxa" w:w="2232"/>
            <w:tcMar>
              <w:top w:w="80" w:type="dxa"/>
              <w:start w:w="120" w:type="dxa"/>
              <w:bottom w:w="80" w:type="dxa"/>
              <w:end w:w="120" w:type="dxa"/>
            </w:tcMar>
            <w:vAlign w:val="center"/>
          </w:tcPr>
          <w:p>
            <w:r>
              <w:rPr>
                <w:rFonts w:ascii="Calibri" w:hAnsi="Calibri"/>
                <w:sz w:val="18"/>
              </w:rPr>
              <w:t>Unbiased alpha=3.0</w:t>
            </w:r>
          </w:p>
        </w:tc>
        <w:tc>
          <w:tcPr>
            <w:tcW w:type="dxa" w:w="1224"/>
            <w:tcMar>
              <w:top w:w="80" w:type="dxa"/>
              <w:start w:w="120" w:type="dxa"/>
              <w:bottom w:w="80" w:type="dxa"/>
              <w:end w:w="120" w:type="dxa"/>
            </w:tcMar>
            <w:vAlign w:val="center"/>
          </w:tcPr>
          <w:p>
            <w:r>
              <w:rPr>
                <w:rFonts w:ascii="Calibri" w:hAnsi="Calibri"/>
                <w:sz w:val="18"/>
              </w:rPr>
              <w:t>2.0</w:t>
            </w:r>
          </w:p>
        </w:tc>
        <w:tc>
          <w:tcPr>
            <w:tcW w:type="dxa" w:w="1224"/>
            <w:tcMar>
              <w:top w:w="80" w:type="dxa"/>
              <w:start w:w="120" w:type="dxa"/>
              <w:bottom w:w="80" w:type="dxa"/>
              <w:end w:w="120" w:type="dxa"/>
            </w:tcMar>
            <w:vAlign w:val="center"/>
          </w:tcPr>
          <w:p>
            <w:r>
              <w:rPr>
                <w:rFonts w:ascii="Calibri" w:hAnsi="Calibri"/>
                <w:sz w:val="18"/>
              </w:rPr>
              <w:t>0.905</w:t>
            </w:r>
          </w:p>
        </w:tc>
        <w:tc>
          <w:tcPr>
            <w:tcW w:type="dxa" w:w="1296"/>
            <w:tcMar>
              <w:top w:w="80" w:type="dxa"/>
              <w:start w:w="120" w:type="dxa"/>
              <w:bottom w:w="80" w:type="dxa"/>
              <w:end w:w="120" w:type="dxa"/>
            </w:tcMar>
            <w:vAlign w:val="center"/>
          </w:tcPr>
          <w:p>
            <w:r>
              <w:rPr>
                <w:rFonts w:ascii="Calibri" w:hAnsi="Calibri"/>
                <w:sz w:val="18"/>
              </w:rPr>
              <w:t>0.955</w:t>
            </w:r>
          </w:p>
        </w:tc>
        <w:tc>
          <w:tcPr>
            <w:tcW w:type="dxa" w:w="1224"/>
            <w:tcMar>
              <w:top w:w="80" w:type="dxa"/>
              <w:start w:w="120" w:type="dxa"/>
              <w:bottom w:w="80" w:type="dxa"/>
              <w:end w:w="120" w:type="dxa"/>
            </w:tcMar>
            <w:vAlign w:val="center"/>
          </w:tcPr>
          <w:p>
            <w:r>
              <w:rPr>
                <w:rFonts w:ascii="Calibri" w:hAnsi="Calibri"/>
                <w:sz w:val="18"/>
              </w:rPr>
              <w:t>0.850</w:t>
            </w:r>
          </w:p>
        </w:tc>
        <w:tc>
          <w:tcPr>
            <w:tcW w:type="dxa" w:w="1080"/>
            <w:tcMar>
              <w:top w:w="80" w:type="dxa"/>
              <w:start w:w="120" w:type="dxa"/>
              <w:bottom w:w="80" w:type="dxa"/>
              <w:end w:w="120" w:type="dxa"/>
            </w:tcMar>
            <w:vAlign w:val="center"/>
          </w:tcPr>
          <w:p>
            <w:r>
              <w:rPr>
                <w:rFonts w:ascii="Calibri" w:hAnsi="Calibri"/>
                <w:sz w:val="18"/>
              </w:rPr>
              <w:t>0.899</w:t>
            </w:r>
          </w:p>
        </w:tc>
        <w:tc>
          <w:tcPr>
            <w:tcW w:type="dxa" w:w="1080"/>
            <w:tcMar>
              <w:top w:w="80" w:type="dxa"/>
              <w:start w:w="120" w:type="dxa"/>
              <w:bottom w:w="80" w:type="dxa"/>
              <w:end w:w="120" w:type="dxa"/>
            </w:tcMar>
            <w:vAlign w:val="center"/>
          </w:tcPr>
          <w:p>
            <w:r>
              <w:rPr>
                <w:rFonts w:ascii="Calibri" w:hAnsi="Calibri"/>
                <w:sz w:val="18"/>
              </w:rPr>
              <w:t>0.970</w:t>
            </w:r>
          </w:p>
        </w:tc>
      </w:tr>
      <w:tr>
        <w:tc>
          <w:tcPr>
            <w:tcW w:type="dxa" w:w="2232"/>
            <w:tcMar>
              <w:top w:w="80" w:type="dxa"/>
              <w:start w:w="120" w:type="dxa"/>
              <w:bottom w:w="80" w:type="dxa"/>
              <w:end w:w="120" w:type="dxa"/>
            </w:tcMar>
            <w:vAlign w:val="center"/>
          </w:tcPr>
          <w:p>
            <w:r>
              <w:rPr>
                <w:rFonts w:ascii="Calibri" w:hAnsi="Calibri"/>
                <w:sz w:val="18"/>
              </w:rPr>
              <w:t>Unbiased alpha=3.5</w:t>
            </w:r>
          </w:p>
        </w:tc>
        <w:tc>
          <w:tcPr>
            <w:tcW w:type="dxa" w:w="1224"/>
            <w:tcMar>
              <w:top w:w="80" w:type="dxa"/>
              <w:start w:w="120" w:type="dxa"/>
              <w:bottom w:w="80" w:type="dxa"/>
              <w:end w:w="120" w:type="dxa"/>
            </w:tcMar>
            <w:vAlign w:val="center"/>
          </w:tcPr>
          <w:p>
            <w:r>
              <w:rPr>
                <w:rFonts w:ascii="Calibri" w:hAnsi="Calibri"/>
                <w:sz w:val="18"/>
              </w:rPr>
              <w:t>2.0</w:t>
            </w:r>
          </w:p>
        </w:tc>
        <w:tc>
          <w:tcPr>
            <w:tcW w:type="dxa" w:w="1224"/>
            <w:tcMar>
              <w:top w:w="80" w:type="dxa"/>
              <w:start w:w="120" w:type="dxa"/>
              <w:bottom w:w="80" w:type="dxa"/>
              <w:end w:w="120" w:type="dxa"/>
            </w:tcMar>
            <w:vAlign w:val="center"/>
          </w:tcPr>
          <w:p>
            <w:r>
              <w:rPr>
                <w:rFonts w:ascii="Calibri" w:hAnsi="Calibri"/>
                <w:sz w:val="18"/>
              </w:rPr>
              <w:t>0.970</w:t>
            </w:r>
          </w:p>
        </w:tc>
        <w:tc>
          <w:tcPr>
            <w:tcW w:type="dxa" w:w="1296"/>
            <w:tcMar>
              <w:top w:w="80" w:type="dxa"/>
              <w:start w:w="120" w:type="dxa"/>
              <w:bottom w:w="80" w:type="dxa"/>
              <w:end w:w="120" w:type="dxa"/>
            </w:tcMar>
            <w:vAlign w:val="center"/>
          </w:tcPr>
          <w:p>
            <w:r>
              <w:rPr>
                <w:rFonts w:ascii="Calibri" w:hAnsi="Calibri"/>
                <w:sz w:val="18"/>
              </w:rPr>
              <w:t>0.961</w:t>
            </w:r>
          </w:p>
        </w:tc>
        <w:tc>
          <w:tcPr>
            <w:tcW w:type="dxa" w:w="1224"/>
            <w:tcMar>
              <w:top w:w="80" w:type="dxa"/>
              <w:start w:w="120" w:type="dxa"/>
              <w:bottom w:w="80" w:type="dxa"/>
              <w:end w:w="120" w:type="dxa"/>
            </w:tcMar>
            <w:vAlign w:val="center"/>
          </w:tcPr>
          <w:p>
            <w:r>
              <w:rPr>
                <w:rFonts w:ascii="Calibri" w:hAnsi="Calibri"/>
                <w:sz w:val="18"/>
              </w:rPr>
              <w:t>0.980</w:t>
            </w:r>
          </w:p>
        </w:tc>
        <w:tc>
          <w:tcPr>
            <w:tcW w:type="dxa" w:w="1080"/>
            <w:tcMar>
              <w:top w:w="80" w:type="dxa"/>
              <w:start w:w="120" w:type="dxa"/>
              <w:bottom w:w="80" w:type="dxa"/>
              <w:end w:w="120" w:type="dxa"/>
            </w:tcMar>
            <w:vAlign w:val="center"/>
          </w:tcPr>
          <w:p>
            <w:r>
              <w:rPr>
                <w:rFonts w:ascii="Calibri" w:hAnsi="Calibri"/>
                <w:sz w:val="18"/>
              </w:rPr>
              <w:t>0.970</w:t>
            </w:r>
          </w:p>
        </w:tc>
        <w:tc>
          <w:tcPr>
            <w:tcW w:type="dxa" w:w="1080"/>
            <w:tcMar>
              <w:top w:w="80" w:type="dxa"/>
              <w:start w:w="120" w:type="dxa"/>
              <w:bottom w:w="80" w:type="dxa"/>
              <w:end w:w="120" w:type="dxa"/>
            </w:tcMar>
            <w:vAlign w:val="center"/>
          </w:tcPr>
          <w:p>
            <w:r>
              <w:rPr>
                <w:rFonts w:ascii="Calibri" w:hAnsi="Calibri"/>
                <w:sz w:val="18"/>
              </w:rPr>
              <w:t>0.994</w:t>
            </w:r>
          </w:p>
        </w:tc>
      </w:tr>
    </w:tbl>
    <w:p>
      <w:pPr/>
      <w:r>
        <w:t>The table is used to compare not only accuracy, but also precision, recall, F1, and AUC, which together describe whether a method is both sensitive to watermarked text and conservative on non-watermarked text.</w:t>
      </w:r>
    </w:p>
    <w:p>
      <w:pPr/>
      <w:r>
        <w:t>Table 2 summarizes representative classification metrics under different watermark strengths and detection thresholds.</w:t>
      </w:r>
    </w:p>
    <w:p>
      <w:pPr>
        <w:spacing w:before="40" w:after="160"/>
        <w:jc w:val="center"/>
      </w:pPr>
      <w:r>
        <w:rPr>
          <w:i/>
          <w:color w:val="5A5A5A"/>
          <w:sz w:val="18"/>
        </w:rPr>
        <w:t>Table 2. Representative detection results from the systematic evaluation.</w:t>
      </w:r>
    </w:p>
    <w:p>
      <w:pPr/>
      <w:r>
        <w:t>Increasing delta or alpha monotonically strengthens the watermark signal. KGW reaches near-perfect or perfect AUC when delta is at least 1.5, and perfect classification appears for strong settings such as delta=3.0. The unbiased method requires a larger alpha to reach comparable recall. At z=2, false positives on human texts remain low; stronger thresholds reduce false positives further but can reduce recall, especially for weaker watermark parameters.</w:t>
      </w:r>
    </w:p>
    <w:p>
      <w:r>
        <w:drawing>
          <wp:inline xmlns:a="http://schemas.openxmlformats.org/drawingml/2006/main" xmlns:pic="http://schemas.openxmlformats.org/drawingml/2006/picture">
            <wp:extent cx="5669280" cy="3956320"/>
            <wp:docPr id="2" name="Picture 2"/>
            <wp:cNvGraphicFramePr>
              <a:graphicFrameLocks noChangeAspect="1"/>
            </wp:cNvGraphicFramePr>
            <a:graphic>
              <a:graphicData uri="http://schemas.openxmlformats.org/drawingml/2006/picture">
                <pic:pic>
                  <pic:nvPicPr>
                    <pic:cNvPr id="0" name="assignment2_full_charts.png"/>
                    <pic:cNvPicPr/>
                  </pic:nvPicPr>
                  <pic:blipFill>
                    <a:blip r:embed="rId10"/>
                    <a:stretch>
                      <a:fillRect/>
                    </a:stretch>
                  </pic:blipFill>
                  <pic:spPr>
                    <a:xfrm>
                      <a:off x="0" y="0"/>
                      <a:ext cx="5669280" cy="3956320"/>
                    </a:xfrm>
                    <a:prstGeom prst="rect"/>
                  </pic:spPr>
                </pic:pic>
              </a:graphicData>
            </a:graphic>
          </wp:inline>
        </w:drawing>
      </w:r>
    </w:p>
    <w:p>
      <w:pPr/>
      <w:r>
        <w:t>It complements Table 2 by showing trends across more configurations, making the parameter-sensitivity pattern clearer than a small table alone.</w:t>
      </w:r>
    </w:p>
    <w:p>
      <w:pPr/>
      <w:r>
        <w:t>Figure 2 aggregates the systematic evaluation into charts for detection, ROC behavior, quality, runtime, and robustness.</w:t>
      </w:r>
    </w:p>
    <w:p>
      <w:pPr>
        <w:spacing w:before="40" w:after="160"/>
        <w:jc w:val="center"/>
      </w:pPr>
      <w:r>
        <w:rPr>
          <w:i/>
          <w:color w:val="5A5A5A"/>
          <w:sz w:val="18"/>
        </w:rPr>
        <w:t>Figure 2. Systematic detection, ROC, quality, runtime, and robustness analysis.</w:t>
      </w:r>
    </w:p>
    <w:p>
      <w:pPr>
        <w:pStyle w:val="Heading2"/>
      </w:pPr>
      <w:r>
        <w:rPr>
          <w:b/>
          <w:color w:val="000000"/>
        </w:rPr>
        <w:t>4.3 Robustness</w:t>
      </w:r>
    </w:p>
    <w:p>
      <w:pPr/>
      <w:r>
        <w:t>Deletion and synonym-substitution attacks reduce z-scores because they remove or alter the token-level evidence used by the detector, which is consistent with prior reliability analyses of watermarked and post-hoc detected AI text [2, 4]. KGW is more robust overall because its additive logit bias creates a stronger initial signal. In the stored attack traces, KGW with delta=2.5 remains strongly detectable under moderate synonym replacement and light deletion, while weaker KGW and unbiased configurations lose evidence faster. This confirms a practical tradeoff: stronger watermarks survive attacks better but can increase distributional distortion.</w:t>
      </w:r>
    </w:p>
    <w:p>
      <w:pPr>
        <w:pStyle w:val="Heading2"/>
      </w:pPr>
      <w:r>
        <w:rPr>
          <w:b/>
          <w:color w:val="000000"/>
        </w:rPr>
        <w:t>4.4 Structured Time-Series Watermark</w:t>
      </w:r>
    </w:p>
    <w:tbl>
      <w:tblPr>
        <w:tblW w:type="dxa" w:w="9360"/>
        <w:jc w:val="center"/>
        <w:tblLayout w:type="fixed"/>
        <w:tblLook w:firstColumn="1" w:firstRow="1" w:lastColumn="0" w:lastRow="0" w:noHBand="0" w:noVBand="1" w:val="04A0"/>
      </w:tblPr>
      <w:tblGrid>
        <w:gridCol w:w="1872"/>
        <w:gridCol w:w="1872"/>
        <w:gridCol w:w="1872"/>
        <w:gridCol w:w="1872"/>
        <w:gridCol w:w="1872"/>
      </w:tblGrid>
      <w:tr>
        <w:tc>
          <w:tcPr>
            <w:tcW w:type="dxa" w:w="2088"/>
            <w:tcMar>
              <w:top w:w="80" w:type="dxa"/>
              <w:start w:w="120" w:type="dxa"/>
              <w:bottom w:w="80" w:type="dxa"/>
              <w:end w:w="120" w:type="dxa"/>
            </w:tcMar>
            <w:vAlign w:val="center"/>
            <w:shd w:fill="F2F4F7"/>
          </w:tcPr>
          <w:p>
            <w:r>
              <w:rPr>
                <w:rFonts w:ascii="Calibri" w:hAnsi="Calibri"/>
                <w:b/>
                <w:sz w:val="18"/>
              </w:rPr>
              <w:t>Metric</w:t>
            </w:r>
          </w:p>
        </w:tc>
        <w:tc>
          <w:tcPr>
            <w:tcW w:type="dxa" w:w="1656"/>
            <w:tcMar>
              <w:top w:w="80" w:type="dxa"/>
              <w:start w:w="120" w:type="dxa"/>
              <w:bottom w:w="80" w:type="dxa"/>
              <w:end w:w="120" w:type="dxa"/>
            </w:tcMar>
            <w:vAlign w:val="center"/>
            <w:shd w:fill="F2F4F7"/>
          </w:tcPr>
          <w:p>
            <w:r>
              <w:rPr>
                <w:rFonts w:ascii="Calibri" w:hAnsi="Calibri"/>
                <w:b/>
                <w:sz w:val="18"/>
              </w:rPr>
              <w:t>Original</w:t>
            </w:r>
          </w:p>
        </w:tc>
        <w:tc>
          <w:tcPr>
            <w:tcW w:type="dxa" w:w="1800"/>
            <w:tcMar>
              <w:top w:w="80" w:type="dxa"/>
              <w:start w:w="120" w:type="dxa"/>
              <w:bottom w:w="80" w:type="dxa"/>
              <w:end w:w="120" w:type="dxa"/>
            </w:tcMar>
            <w:vAlign w:val="center"/>
            <w:shd w:fill="F2F4F7"/>
          </w:tcPr>
          <w:p>
            <w:r>
              <w:rPr>
                <w:rFonts w:ascii="Calibri" w:hAnsi="Calibri"/>
                <w:b/>
                <w:sz w:val="18"/>
              </w:rPr>
              <w:t>Watermarked</w:t>
            </w:r>
          </w:p>
        </w:tc>
        <w:tc>
          <w:tcPr>
            <w:tcW w:type="dxa" w:w="1944"/>
            <w:tcMar>
              <w:top w:w="80" w:type="dxa"/>
              <w:start w:w="120" w:type="dxa"/>
              <w:bottom w:w="80" w:type="dxa"/>
              <w:end w:w="120" w:type="dxa"/>
            </w:tcMar>
            <w:vAlign w:val="center"/>
            <w:shd w:fill="F2F4F7"/>
          </w:tcPr>
          <w:p>
            <w:r>
              <w:rPr>
                <w:rFonts w:ascii="Calibri" w:hAnsi="Calibri"/>
                <w:b/>
                <w:sz w:val="18"/>
              </w:rPr>
              <w:t>Absolute change</w:t>
            </w:r>
          </w:p>
        </w:tc>
        <w:tc>
          <w:tcPr>
            <w:tcW w:type="dxa" w:w="1872"/>
            <w:tcMar>
              <w:top w:w="80" w:type="dxa"/>
              <w:start w:w="120" w:type="dxa"/>
              <w:bottom w:w="80" w:type="dxa"/>
              <w:end w:w="120" w:type="dxa"/>
            </w:tcMar>
            <w:vAlign w:val="center"/>
            <w:shd w:fill="F2F4F7"/>
          </w:tcPr>
          <w:p>
            <w:r>
              <w:rPr>
                <w:rFonts w:ascii="Calibri" w:hAnsi="Calibri"/>
                <w:b/>
                <w:sz w:val="18"/>
              </w:rPr>
              <w:t>Relative change</w:t>
            </w:r>
          </w:p>
        </w:tc>
      </w:tr>
      <w:tr>
        <w:tc>
          <w:tcPr>
            <w:tcW w:type="dxa" w:w="2088"/>
            <w:tcMar>
              <w:top w:w="80" w:type="dxa"/>
              <w:start w:w="120" w:type="dxa"/>
              <w:bottom w:w="80" w:type="dxa"/>
              <w:end w:w="120" w:type="dxa"/>
            </w:tcMar>
            <w:vAlign w:val="center"/>
          </w:tcPr>
          <w:p>
            <w:r>
              <w:rPr>
                <w:rFonts w:ascii="Calibri" w:hAnsi="Calibri"/>
                <w:sz w:val="18"/>
              </w:rPr>
              <w:t>Mean</w:t>
            </w:r>
          </w:p>
        </w:tc>
        <w:tc>
          <w:tcPr>
            <w:tcW w:type="dxa" w:w="1656"/>
            <w:tcMar>
              <w:top w:w="80" w:type="dxa"/>
              <w:start w:w="120" w:type="dxa"/>
              <w:bottom w:w="80" w:type="dxa"/>
              <w:end w:w="120" w:type="dxa"/>
            </w:tcMar>
            <w:vAlign w:val="center"/>
          </w:tcPr>
          <w:p>
            <w:r>
              <w:rPr>
                <w:rFonts w:ascii="Calibri" w:hAnsi="Calibri"/>
                <w:sz w:val="18"/>
              </w:rPr>
              <w:t>16.5992</w:t>
            </w:r>
          </w:p>
        </w:tc>
        <w:tc>
          <w:tcPr>
            <w:tcW w:type="dxa" w:w="1800"/>
            <w:tcMar>
              <w:top w:w="80" w:type="dxa"/>
              <w:start w:w="120" w:type="dxa"/>
              <w:bottom w:w="80" w:type="dxa"/>
              <w:end w:w="120" w:type="dxa"/>
            </w:tcMar>
            <w:vAlign w:val="center"/>
          </w:tcPr>
          <w:p>
            <w:r>
              <w:rPr>
                <w:rFonts w:ascii="Calibri" w:hAnsi="Calibri"/>
                <w:sz w:val="18"/>
              </w:rPr>
              <w:t>16.6545</w:t>
            </w:r>
          </w:p>
        </w:tc>
        <w:tc>
          <w:tcPr>
            <w:tcW w:type="dxa" w:w="1944"/>
            <w:tcMar>
              <w:top w:w="80" w:type="dxa"/>
              <w:start w:w="120" w:type="dxa"/>
              <w:bottom w:w="80" w:type="dxa"/>
              <w:end w:w="120" w:type="dxa"/>
            </w:tcMar>
            <w:vAlign w:val="center"/>
          </w:tcPr>
          <w:p>
            <w:r>
              <w:rPr>
                <w:rFonts w:ascii="Calibri" w:hAnsi="Calibri"/>
                <w:sz w:val="18"/>
              </w:rPr>
              <w:t>0.0553</w:t>
            </w:r>
          </w:p>
        </w:tc>
        <w:tc>
          <w:tcPr>
            <w:tcW w:type="dxa" w:w="1872"/>
            <w:tcMar>
              <w:top w:w="80" w:type="dxa"/>
              <w:start w:w="120" w:type="dxa"/>
              <w:bottom w:w="80" w:type="dxa"/>
              <w:end w:w="120" w:type="dxa"/>
            </w:tcMar>
            <w:vAlign w:val="center"/>
          </w:tcPr>
          <w:p>
            <w:r>
              <w:rPr>
                <w:rFonts w:ascii="Calibri" w:hAnsi="Calibri"/>
                <w:sz w:val="18"/>
              </w:rPr>
              <w:t>0.333%</w:t>
            </w:r>
          </w:p>
        </w:tc>
      </w:tr>
      <w:tr>
        <w:tc>
          <w:tcPr>
            <w:tcW w:type="dxa" w:w="2088"/>
            <w:tcMar>
              <w:top w:w="80" w:type="dxa"/>
              <w:start w:w="120" w:type="dxa"/>
              <w:bottom w:w="80" w:type="dxa"/>
              <w:end w:w="120" w:type="dxa"/>
            </w:tcMar>
            <w:vAlign w:val="center"/>
          </w:tcPr>
          <w:p>
            <w:r>
              <w:rPr>
                <w:rFonts w:ascii="Calibri" w:hAnsi="Calibri"/>
                <w:sz w:val="18"/>
              </w:rPr>
              <w:t>Std</w:t>
            </w:r>
          </w:p>
        </w:tc>
        <w:tc>
          <w:tcPr>
            <w:tcW w:type="dxa" w:w="1656"/>
            <w:tcMar>
              <w:top w:w="80" w:type="dxa"/>
              <w:start w:w="120" w:type="dxa"/>
              <w:bottom w:w="80" w:type="dxa"/>
              <w:end w:w="120" w:type="dxa"/>
            </w:tcMar>
            <w:vAlign w:val="center"/>
          </w:tcPr>
          <w:p>
            <w:r>
              <w:rPr>
                <w:rFonts w:ascii="Calibri" w:hAnsi="Calibri"/>
                <w:sz w:val="18"/>
              </w:rPr>
              <w:t>3.6842</w:t>
            </w:r>
          </w:p>
        </w:tc>
        <w:tc>
          <w:tcPr>
            <w:tcW w:type="dxa" w:w="1800"/>
            <w:tcMar>
              <w:top w:w="80" w:type="dxa"/>
              <w:start w:w="120" w:type="dxa"/>
              <w:bottom w:w="80" w:type="dxa"/>
              <w:end w:w="120" w:type="dxa"/>
            </w:tcMar>
            <w:vAlign w:val="center"/>
          </w:tcPr>
          <w:p>
            <w:r>
              <w:rPr>
                <w:rFonts w:ascii="Calibri" w:hAnsi="Calibri"/>
                <w:sz w:val="18"/>
              </w:rPr>
              <w:t>3.6867</w:t>
            </w:r>
          </w:p>
        </w:tc>
        <w:tc>
          <w:tcPr>
            <w:tcW w:type="dxa" w:w="1944"/>
            <w:tcMar>
              <w:top w:w="80" w:type="dxa"/>
              <w:start w:w="120" w:type="dxa"/>
              <w:bottom w:w="80" w:type="dxa"/>
              <w:end w:w="120" w:type="dxa"/>
            </w:tcMar>
            <w:vAlign w:val="center"/>
          </w:tcPr>
          <w:p>
            <w:r>
              <w:rPr>
                <w:rFonts w:ascii="Calibri" w:hAnsi="Calibri"/>
                <w:sz w:val="18"/>
              </w:rPr>
              <w:t>0.0026</w:t>
            </w:r>
          </w:p>
        </w:tc>
        <w:tc>
          <w:tcPr>
            <w:tcW w:type="dxa" w:w="1872"/>
            <w:tcMar>
              <w:top w:w="80" w:type="dxa"/>
              <w:start w:w="120" w:type="dxa"/>
              <w:bottom w:w="80" w:type="dxa"/>
              <w:end w:w="120" w:type="dxa"/>
            </w:tcMar>
            <w:vAlign w:val="center"/>
          </w:tcPr>
          <w:p>
            <w:r>
              <w:rPr>
                <w:rFonts w:ascii="Calibri" w:hAnsi="Calibri"/>
                <w:sz w:val="18"/>
              </w:rPr>
              <w:t>0.069%</w:t>
            </w:r>
          </w:p>
        </w:tc>
      </w:tr>
      <w:tr>
        <w:tc>
          <w:tcPr>
            <w:tcW w:type="dxa" w:w="2088"/>
            <w:tcMar>
              <w:top w:w="80" w:type="dxa"/>
              <w:start w:w="120" w:type="dxa"/>
              <w:bottom w:w="80" w:type="dxa"/>
              <w:end w:w="120" w:type="dxa"/>
            </w:tcMar>
            <w:vAlign w:val="center"/>
          </w:tcPr>
          <w:p>
            <w:r>
              <w:rPr>
                <w:rFonts w:ascii="Calibri" w:hAnsi="Calibri"/>
                <w:sz w:val="18"/>
              </w:rPr>
              <w:t>Pearson corr.</w:t>
            </w:r>
          </w:p>
        </w:tc>
        <w:tc>
          <w:tcPr>
            <w:tcW w:type="dxa" w:w="1656"/>
            <w:tcMar>
              <w:top w:w="80" w:type="dxa"/>
              <w:start w:w="120" w:type="dxa"/>
              <w:bottom w:w="80" w:type="dxa"/>
              <w:end w:w="120" w:type="dxa"/>
            </w:tcMar>
            <w:vAlign w:val="center"/>
          </w:tcPr>
          <w:p>
            <w:r>
              <w:rPr>
                <w:rFonts w:ascii="Calibri" w:hAnsi="Calibri"/>
                <w:sz w:val="18"/>
              </w:rPr>
              <w:t>1.0000</w:t>
            </w:r>
          </w:p>
        </w:tc>
        <w:tc>
          <w:tcPr>
            <w:tcW w:type="dxa" w:w="1800"/>
            <w:tcMar>
              <w:top w:w="80" w:type="dxa"/>
              <w:start w:w="120" w:type="dxa"/>
              <w:bottom w:w="80" w:type="dxa"/>
              <w:end w:w="120" w:type="dxa"/>
            </w:tcMar>
            <w:vAlign w:val="center"/>
          </w:tcPr>
          <w:p>
            <w:r>
              <w:rPr>
                <w:rFonts w:ascii="Calibri" w:hAnsi="Calibri"/>
                <w:sz w:val="18"/>
              </w:rPr>
              <w:t>0.9996</w:t>
            </w:r>
          </w:p>
        </w:tc>
        <w:tc>
          <w:tcPr>
            <w:tcW w:type="dxa" w:w="1944"/>
            <w:tcMar>
              <w:top w:w="80" w:type="dxa"/>
              <w:start w:w="120" w:type="dxa"/>
              <w:bottom w:w="80" w:type="dxa"/>
              <w:end w:w="120" w:type="dxa"/>
            </w:tcMar>
            <w:vAlign w:val="center"/>
          </w:tcPr>
          <w:p>
            <w:r>
              <w:rPr>
                <w:rFonts w:ascii="Calibri" w:hAnsi="Calibri"/>
                <w:sz w:val="18"/>
              </w:rPr>
              <w:t>0.0004</w:t>
            </w:r>
          </w:p>
        </w:tc>
        <w:tc>
          <w:tcPr>
            <w:tcW w:type="dxa" w:w="1872"/>
            <w:tcMar>
              <w:top w:w="80" w:type="dxa"/>
              <w:start w:w="120" w:type="dxa"/>
              <w:bottom w:w="80" w:type="dxa"/>
              <w:end w:w="120" w:type="dxa"/>
            </w:tcMar>
            <w:vAlign w:val="center"/>
          </w:tcPr>
          <w:p>
            <w:r>
              <w:rPr>
                <w:rFonts w:ascii="Calibri" w:hAnsi="Calibri"/>
                <w:sz w:val="18"/>
              </w:rPr>
              <w:t>0.043%</w:t>
            </w:r>
          </w:p>
        </w:tc>
      </w:tr>
      <w:tr>
        <w:tc>
          <w:tcPr>
            <w:tcW w:type="dxa" w:w="2088"/>
            <w:tcMar>
              <w:top w:w="80" w:type="dxa"/>
              <w:start w:w="120" w:type="dxa"/>
              <w:bottom w:w="80" w:type="dxa"/>
              <w:end w:w="120" w:type="dxa"/>
            </w:tcMar>
            <w:vAlign w:val="center"/>
          </w:tcPr>
          <w:p>
            <w:r>
              <w:rPr>
                <w:rFonts w:ascii="Calibri" w:hAnsi="Calibri"/>
                <w:sz w:val="18"/>
              </w:rPr>
              <w:t>Spearman corr.</w:t>
            </w:r>
          </w:p>
        </w:tc>
        <w:tc>
          <w:tcPr>
            <w:tcW w:type="dxa" w:w="1656"/>
            <w:tcMar>
              <w:top w:w="80" w:type="dxa"/>
              <w:start w:w="120" w:type="dxa"/>
              <w:bottom w:w="80" w:type="dxa"/>
              <w:end w:w="120" w:type="dxa"/>
            </w:tcMar>
            <w:vAlign w:val="center"/>
          </w:tcPr>
          <w:p>
            <w:r>
              <w:rPr>
                <w:rFonts w:ascii="Calibri" w:hAnsi="Calibri"/>
                <w:sz w:val="18"/>
              </w:rPr>
              <w:t>1.0000</w:t>
            </w:r>
          </w:p>
        </w:tc>
        <w:tc>
          <w:tcPr>
            <w:tcW w:type="dxa" w:w="1800"/>
            <w:tcMar>
              <w:top w:w="80" w:type="dxa"/>
              <w:start w:w="120" w:type="dxa"/>
              <w:bottom w:w="80" w:type="dxa"/>
              <w:end w:w="120" w:type="dxa"/>
            </w:tcMar>
            <w:vAlign w:val="center"/>
          </w:tcPr>
          <w:p>
            <w:r>
              <w:rPr>
                <w:rFonts w:ascii="Calibri" w:hAnsi="Calibri"/>
                <w:sz w:val="18"/>
              </w:rPr>
              <w:t>0.9996</w:t>
            </w:r>
          </w:p>
        </w:tc>
        <w:tc>
          <w:tcPr>
            <w:tcW w:type="dxa" w:w="1944"/>
            <w:tcMar>
              <w:top w:w="80" w:type="dxa"/>
              <w:start w:w="120" w:type="dxa"/>
              <w:bottom w:w="80" w:type="dxa"/>
              <w:end w:w="120" w:type="dxa"/>
            </w:tcMar>
            <w:vAlign w:val="center"/>
          </w:tcPr>
          <w:p>
            <w:r>
              <w:rPr>
                <w:rFonts w:ascii="Calibri" w:hAnsi="Calibri"/>
                <w:sz w:val="18"/>
              </w:rPr>
              <w:t>0.0004</w:t>
            </w:r>
          </w:p>
        </w:tc>
        <w:tc>
          <w:tcPr>
            <w:tcW w:type="dxa" w:w="1872"/>
            <w:tcMar>
              <w:top w:w="80" w:type="dxa"/>
              <w:start w:w="120" w:type="dxa"/>
              <w:bottom w:w="80" w:type="dxa"/>
              <w:end w:w="120" w:type="dxa"/>
            </w:tcMar>
            <w:vAlign w:val="center"/>
          </w:tcPr>
          <w:p>
            <w:r>
              <w:rPr>
                <w:rFonts w:ascii="Calibri" w:hAnsi="Calibri"/>
                <w:sz w:val="18"/>
              </w:rPr>
              <w:t>0.041%</w:t>
            </w:r>
          </w:p>
        </w:tc>
      </w:tr>
      <w:tr>
        <w:tc>
          <w:tcPr>
            <w:tcW w:type="dxa" w:w="2088"/>
            <w:tcMar>
              <w:top w:w="80" w:type="dxa"/>
              <w:start w:w="120" w:type="dxa"/>
              <w:bottom w:w="80" w:type="dxa"/>
              <w:end w:w="120" w:type="dxa"/>
            </w:tcMar>
            <w:vAlign w:val="center"/>
          </w:tcPr>
          <w:p>
            <w:r>
              <w:rPr>
                <w:rFonts w:ascii="Calibri" w:hAnsi="Calibri"/>
                <w:sz w:val="18"/>
              </w:rPr>
              <w:t>KS p-value</w:t>
            </w:r>
          </w:p>
        </w:tc>
        <w:tc>
          <w:tcPr>
            <w:tcW w:type="dxa" w:w="1656"/>
            <w:tcMar>
              <w:top w:w="80" w:type="dxa"/>
              <w:start w:w="120" w:type="dxa"/>
              <w:bottom w:w="80" w:type="dxa"/>
              <w:end w:w="120" w:type="dxa"/>
            </w:tcMar>
            <w:vAlign w:val="center"/>
          </w:tcPr>
          <w:p>
            <w:r>
              <w:rPr>
                <w:rFonts w:ascii="Calibri" w:hAnsi="Calibri"/>
                <w:sz w:val="18"/>
              </w:rPr>
              <w:t>1.0000</w:t>
            </w:r>
          </w:p>
        </w:tc>
        <w:tc>
          <w:tcPr>
            <w:tcW w:type="dxa" w:w="1800"/>
            <w:tcMar>
              <w:top w:w="80" w:type="dxa"/>
              <w:start w:w="120" w:type="dxa"/>
              <w:bottom w:w="80" w:type="dxa"/>
              <w:end w:w="120" w:type="dxa"/>
            </w:tcMar>
            <w:vAlign w:val="center"/>
          </w:tcPr>
          <w:p>
            <w:r>
              <w:rPr>
                <w:rFonts w:ascii="Calibri" w:hAnsi="Calibri"/>
                <w:sz w:val="18"/>
              </w:rPr>
              <w:t>0.9874</w:t>
            </w:r>
          </w:p>
        </w:tc>
        <w:tc>
          <w:tcPr>
            <w:tcW w:type="dxa" w:w="1944"/>
            <w:tcMar>
              <w:top w:w="80" w:type="dxa"/>
              <w:start w:w="120" w:type="dxa"/>
              <w:bottom w:w="80" w:type="dxa"/>
              <w:end w:w="120" w:type="dxa"/>
            </w:tcMar>
            <w:vAlign w:val="center"/>
          </w:tcPr>
          <w:p>
            <w:r>
              <w:rPr>
                <w:rFonts w:ascii="Calibri" w:hAnsi="Calibri"/>
                <w:sz w:val="18"/>
              </w:rPr>
              <w:t>0.0075</w:t>
            </w:r>
          </w:p>
        </w:tc>
        <w:tc>
          <w:tcPr>
            <w:tcW w:type="dxa" w:w="1872"/>
            <w:tcMar>
              <w:top w:w="80" w:type="dxa"/>
              <w:start w:w="120" w:type="dxa"/>
              <w:bottom w:w="80" w:type="dxa"/>
              <w:end w:w="120" w:type="dxa"/>
            </w:tcMar>
            <w:vAlign w:val="center"/>
          </w:tcPr>
          <w:p>
            <w:r>
              <w:rPr>
                <w:rFonts w:ascii="Calibri" w:hAnsi="Calibri"/>
                <w:sz w:val="18"/>
              </w:rPr>
              <w:t>0.000%</w:t>
            </w:r>
          </w:p>
        </w:tc>
      </w:tr>
    </w:tbl>
    <w:p>
      <w:pPr/>
      <w:r>
        <w:t>The small mean and standard-deviation shifts, very high correlations, and high KS p-value indicate that the watermark is difficult to notice from ordinary distributional summaries.</w:t>
      </w:r>
    </w:p>
    <w:p>
      <w:pPr/>
      <w:r>
        <w:t>Table 3 evaluates whether the structured residual watermark changes the visible statistical properties of the generated time series.</w:t>
      </w:r>
    </w:p>
    <w:p>
      <w:pPr>
        <w:spacing w:before="40" w:after="160"/>
        <w:jc w:val="center"/>
      </w:pPr>
      <w:r>
        <w:rPr>
          <w:i/>
          <w:color w:val="5A5A5A"/>
          <w:sz w:val="18"/>
        </w:rPr>
        <w:t>Table 3. Quality preservation for structured residual watermarking.</w:t>
      </w:r>
    </w:p>
    <w:p>
      <w:pPr/>
      <w:r>
        <w:t>The structured residual watermark preserves data utility well. Mean and quantile shifts are below one percent, Pearson and Spearman correlations remain above 0.9995, and the KS p-value remains high at 0.9874. All 12 payload bits are recovered in the clean setting, with very large absolute bit-level z-scores between 48.88 and 55.06.</w:t>
      </w:r>
    </w:p>
    <w:tbl>
      <w:tblPr>
        <w:tblW w:type="dxa" w:w="9360"/>
        <w:jc w:val="center"/>
        <w:tblLayout w:type="fixed"/>
        <w:tblLook w:firstColumn="1" w:firstRow="1" w:lastColumn="0" w:lastRow="0" w:noHBand="0" w:noVBand="1" w:val="04A0"/>
      </w:tblPr>
      <w:tblGrid>
        <w:gridCol w:w="1872"/>
        <w:gridCol w:w="1872"/>
        <w:gridCol w:w="1872"/>
        <w:gridCol w:w="1872"/>
        <w:gridCol w:w="1872"/>
      </w:tblGrid>
      <w:tr>
        <w:tc>
          <w:tcPr>
            <w:tcW w:type="dxa" w:w="1800"/>
            <w:tcMar>
              <w:top w:w="80" w:type="dxa"/>
              <w:start w:w="120" w:type="dxa"/>
              <w:bottom w:w="80" w:type="dxa"/>
              <w:end w:w="120" w:type="dxa"/>
            </w:tcMar>
            <w:vAlign w:val="center"/>
            <w:shd w:fill="F2F4F7"/>
          </w:tcPr>
          <w:p>
            <w:r>
              <w:rPr>
                <w:rFonts w:ascii="Calibri" w:hAnsi="Calibri"/>
                <w:b/>
                <w:sz w:val="18"/>
              </w:rPr>
              <w:t>Attack</w:t>
            </w:r>
          </w:p>
        </w:tc>
        <w:tc>
          <w:tcPr>
            <w:tcW w:type="dxa" w:w="1728"/>
            <w:tcMar>
              <w:top w:w="80" w:type="dxa"/>
              <w:start w:w="120" w:type="dxa"/>
              <w:bottom w:w="80" w:type="dxa"/>
              <w:end w:w="120" w:type="dxa"/>
            </w:tcMar>
            <w:vAlign w:val="center"/>
            <w:shd w:fill="F2F4F7"/>
          </w:tcPr>
          <w:p>
            <w:r>
              <w:rPr>
                <w:rFonts w:ascii="Calibri" w:hAnsi="Calibri"/>
                <w:b/>
                <w:sz w:val="18"/>
              </w:rPr>
              <w:t>Max tested strength</w:t>
            </w:r>
          </w:p>
        </w:tc>
        <w:tc>
          <w:tcPr>
            <w:tcW w:type="dxa" w:w="1296"/>
            <w:tcMar>
              <w:top w:w="80" w:type="dxa"/>
              <w:start w:w="120" w:type="dxa"/>
              <w:bottom w:w="80" w:type="dxa"/>
              <w:end w:w="120" w:type="dxa"/>
            </w:tcMar>
            <w:vAlign w:val="center"/>
            <w:shd w:fill="F2F4F7"/>
          </w:tcPr>
          <w:p>
            <w:r>
              <w:rPr>
                <w:rFonts w:ascii="Calibri" w:hAnsi="Calibri"/>
                <w:b/>
                <w:sz w:val="18"/>
              </w:rPr>
              <w:t>Bit accuracy</w:t>
            </w:r>
          </w:p>
        </w:tc>
        <w:tc>
          <w:tcPr>
            <w:tcW w:type="dxa" w:w="1224"/>
            <w:tcMar>
              <w:top w:w="80" w:type="dxa"/>
              <w:start w:w="120" w:type="dxa"/>
              <w:bottom w:w="80" w:type="dxa"/>
              <w:end w:w="120" w:type="dxa"/>
            </w:tcMar>
            <w:vAlign w:val="center"/>
            <w:shd w:fill="F2F4F7"/>
          </w:tcPr>
          <w:p>
            <w:r>
              <w:rPr>
                <w:rFonts w:ascii="Calibri" w:hAnsi="Calibri"/>
                <w:b/>
                <w:sz w:val="18"/>
              </w:rPr>
              <w:t>Mean |z|</w:t>
            </w:r>
          </w:p>
        </w:tc>
        <w:tc>
          <w:tcPr>
            <w:tcW w:type="dxa" w:w="3312"/>
            <w:tcMar>
              <w:top w:w="80" w:type="dxa"/>
              <w:start w:w="120" w:type="dxa"/>
              <w:bottom w:w="80" w:type="dxa"/>
              <w:end w:w="120" w:type="dxa"/>
            </w:tcMar>
            <w:vAlign w:val="center"/>
            <w:shd w:fill="F2F4F7"/>
          </w:tcPr>
          <w:p>
            <w:r>
              <w:rPr>
                <w:rFonts w:ascii="Calibri" w:hAnsi="Calibri"/>
                <w:b/>
                <w:sz w:val="18"/>
              </w:rPr>
              <w:t>Main observation</w:t>
            </w:r>
          </w:p>
        </w:tc>
      </w:tr>
      <w:tr>
        <w:tc>
          <w:tcPr>
            <w:tcW w:type="dxa" w:w="1800"/>
            <w:tcMar>
              <w:top w:w="80" w:type="dxa"/>
              <w:start w:w="120" w:type="dxa"/>
              <w:bottom w:w="80" w:type="dxa"/>
              <w:end w:w="120" w:type="dxa"/>
            </w:tcMar>
            <w:vAlign w:val="center"/>
          </w:tcPr>
          <w:p>
            <w:r>
              <w:rPr>
                <w:rFonts w:ascii="Calibri" w:hAnsi="Calibri"/>
                <w:sz w:val="18"/>
              </w:rPr>
              <w:t>Additive noise</w:t>
            </w:r>
          </w:p>
        </w:tc>
        <w:tc>
          <w:tcPr>
            <w:tcW w:type="dxa" w:w="1728"/>
            <w:tcMar>
              <w:top w:w="80" w:type="dxa"/>
              <w:start w:w="120" w:type="dxa"/>
              <w:bottom w:w="80" w:type="dxa"/>
              <w:end w:w="120" w:type="dxa"/>
            </w:tcMar>
            <w:vAlign w:val="center"/>
          </w:tcPr>
          <w:p>
            <w:r>
              <w:rPr>
                <w:rFonts w:ascii="Calibri" w:hAnsi="Calibri"/>
                <w:sz w:val="18"/>
              </w:rPr>
              <w:t>0.18</w:t>
            </w:r>
          </w:p>
        </w:tc>
        <w:tc>
          <w:tcPr>
            <w:tcW w:type="dxa" w:w="1296"/>
            <w:tcMar>
              <w:top w:w="80" w:type="dxa"/>
              <w:start w:w="120" w:type="dxa"/>
              <w:bottom w:w="80" w:type="dxa"/>
              <w:end w:w="120" w:type="dxa"/>
            </w:tcMar>
            <w:vAlign w:val="center"/>
          </w:tcPr>
          <w:p>
            <w:r>
              <w:rPr>
                <w:rFonts w:ascii="Calibri" w:hAnsi="Calibri"/>
                <w:sz w:val="18"/>
              </w:rPr>
              <w:t>1.000</w:t>
            </w:r>
          </w:p>
        </w:tc>
        <w:tc>
          <w:tcPr>
            <w:tcW w:type="dxa" w:w="1224"/>
            <w:tcMar>
              <w:top w:w="80" w:type="dxa"/>
              <w:start w:w="120" w:type="dxa"/>
              <w:bottom w:w="80" w:type="dxa"/>
              <w:end w:w="120" w:type="dxa"/>
            </w:tcMar>
            <w:vAlign w:val="center"/>
          </w:tcPr>
          <w:p>
            <w:r>
              <w:rPr>
                <w:rFonts w:ascii="Calibri" w:hAnsi="Calibri"/>
                <w:sz w:val="18"/>
              </w:rPr>
              <w:t>4.39</w:t>
            </w:r>
          </w:p>
        </w:tc>
        <w:tc>
          <w:tcPr>
            <w:tcW w:type="dxa" w:w="3312"/>
            <w:tcMar>
              <w:top w:w="80" w:type="dxa"/>
              <w:start w:w="120" w:type="dxa"/>
              <w:bottom w:w="80" w:type="dxa"/>
              <w:end w:w="120" w:type="dxa"/>
            </w:tcMar>
            <w:vAlign w:val="center"/>
          </w:tcPr>
          <w:p>
            <w:r>
              <w:rPr>
                <w:rFonts w:ascii="Calibri" w:hAnsi="Calibri"/>
                <w:sz w:val="18"/>
              </w:rPr>
              <w:t>Payload still fully recovered.</w:t>
            </w:r>
          </w:p>
        </w:tc>
      </w:tr>
      <w:tr>
        <w:tc>
          <w:tcPr>
            <w:tcW w:type="dxa" w:w="1800"/>
            <w:tcMar>
              <w:top w:w="80" w:type="dxa"/>
              <w:start w:w="120" w:type="dxa"/>
              <w:bottom w:w="80" w:type="dxa"/>
              <w:end w:w="120" w:type="dxa"/>
            </w:tcMar>
            <w:vAlign w:val="center"/>
          </w:tcPr>
          <w:p>
            <w:r>
              <w:rPr>
                <w:rFonts w:ascii="Calibri" w:hAnsi="Calibri"/>
                <w:sz w:val="18"/>
              </w:rPr>
              <w:t>Row drop</w:t>
            </w:r>
          </w:p>
        </w:tc>
        <w:tc>
          <w:tcPr>
            <w:tcW w:type="dxa" w:w="1728"/>
            <w:tcMar>
              <w:top w:w="80" w:type="dxa"/>
              <w:start w:w="120" w:type="dxa"/>
              <w:bottom w:w="80" w:type="dxa"/>
              <w:end w:w="120" w:type="dxa"/>
            </w:tcMar>
            <w:vAlign w:val="center"/>
          </w:tcPr>
          <w:p>
            <w:r>
              <w:rPr>
                <w:rFonts w:ascii="Calibri" w:hAnsi="Calibri"/>
                <w:sz w:val="18"/>
              </w:rPr>
              <w:t>0.60</w:t>
            </w:r>
          </w:p>
        </w:tc>
        <w:tc>
          <w:tcPr>
            <w:tcW w:type="dxa" w:w="1296"/>
            <w:tcMar>
              <w:top w:w="80" w:type="dxa"/>
              <w:start w:w="120" w:type="dxa"/>
              <w:bottom w:w="80" w:type="dxa"/>
              <w:end w:w="120" w:type="dxa"/>
            </w:tcMar>
            <w:vAlign w:val="center"/>
          </w:tcPr>
          <w:p>
            <w:r>
              <w:rPr>
                <w:rFonts w:ascii="Calibri" w:hAnsi="Calibri"/>
                <w:sz w:val="18"/>
              </w:rPr>
              <w:t>1.000</w:t>
            </w:r>
          </w:p>
        </w:tc>
        <w:tc>
          <w:tcPr>
            <w:tcW w:type="dxa" w:w="1224"/>
            <w:tcMar>
              <w:top w:w="80" w:type="dxa"/>
              <w:start w:w="120" w:type="dxa"/>
              <w:bottom w:w="80" w:type="dxa"/>
              <w:end w:w="120" w:type="dxa"/>
            </w:tcMar>
            <w:vAlign w:val="center"/>
          </w:tcPr>
          <w:p>
            <w:r>
              <w:rPr>
                <w:rFonts w:ascii="Calibri" w:hAnsi="Calibri"/>
                <w:sz w:val="18"/>
              </w:rPr>
              <w:t>33.23</w:t>
            </w:r>
          </w:p>
        </w:tc>
        <w:tc>
          <w:tcPr>
            <w:tcW w:type="dxa" w:w="3312"/>
            <w:tcMar>
              <w:top w:w="80" w:type="dxa"/>
              <w:start w:w="120" w:type="dxa"/>
              <w:bottom w:w="80" w:type="dxa"/>
              <w:end w:w="120" w:type="dxa"/>
            </w:tcMar>
            <w:vAlign w:val="center"/>
          </w:tcPr>
          <w:p>
            <w:r>
              <w:rPr>
                <w:rFonts w:ascii="Calibri" w:hAnsi="Calibri"/>
                <w:sz w:val="18"/>
              </w:rPr>
              <w:t>Aggregation over many rows is highly robust.</w:t>
            </w:r>
          </w:p>
        </w:tc>
      </w:tr>
      <w:tr>
        <w:tc>
          <w:tcPr>
            <w:tcW w:type="dxa" w:w="1800"/>
            <w:tcMar>
              <w:top w:w="80" w:type="dxa"/>
              <w:start w:w="120" w:type="dxa"/>
              <w:bottom w:w="80" w:type="dxa"/>
              <w:end w:w="120" w:type="dxa"/>
            </w:tcMar>
            <w:vAlign w:val="center"/>
          </w:tcPr>
          <w:p>
            <w:r>
              <w:rPr>
                <w:rFonts w:ascii="Calibri" w:hAnsi="Calibri"/>
                <w:sz w:val="18"/>
              </w:rPr>
              <w:t>Quantization</w:t>
            </w:r>
          </w:p>
        </w:tc>
        <w:tc>
          <w:tcPr>
            <w:tcW w:type="dxa" w:w="1728"/>
            <w:tcMar>
              <w:top w:w="80" w:type="dxa"/>
              <w:start w:w="120" w:type="dxa"/>
              <w:bottom w:w="80" w:type="dxa"/>
              <w:end w:w="120" w:type="dxa"/>
            </w:tcMar>
            <w:vAlign w:val="center"/>
          </w:tcPr>
          <w:p>
            <w:r>
              <w:rPr>
                <w:rFonts w:ascii="Calibri" w:hAnsi="Calibri"/>
                <w:sz w:val="18"/>
              </w:rPr>
              <w:t>integer rounding</w:t>
            </w:r>
          </w:p>
        </w:tc>
        <w:tc>
          <w:tcPr>
            <w:tcW w:type="dxa" w:w="1296"/>
            <w:tcMar>
              <w:top w:w="80" w:type="dxa"/>
              <w:start w:w="120" w:type="dxa"/>
              <w:bottom w:w="80" w:type="dxa"/>
              <w:end w:w="120" w:type="dxa"/>
            </w:tcMar>
            <w:vAlign w:val="center"/>
          </w:tcPr>
          <w:p>
            <w:r>
              <w:rPr>
                <w:rFonts w:ascii="Calibri" w:hAnsi="Calibri"/>
                <w:sz w:val="18"/>
              </w:rPr>
              <w:t>1.000</w:t>
            </w:r>
          </w:p>
        </w:tc>
        <w:tc>
          <w:tcPr>
            <w:tcW w:type="dxa" w:w="1224"/>
            <w:tcMar>
              <w:top w:w="80" w:type="dxa"/>
              <w:start w:w="120" w:type="dxa"/>
              <w:bottom w:w="80" w:type="dxa"/>
              <w:end w:w="120" w:type="dxa"/>
            </w:tcMar>
            <w:vAlign w:val="center"/>
          </w:tcPr>
          <w:p>
            <w:r>
              <w:rPr>
                <w:rFonts w:ascii="Calibri" w:hAnsi="Calibri"/>
                <w:sz w:val="18"/>
              </w:rPr>
              <w:t>9.60</w:t>
            </w:r>
          </w:p>
        </w:tc>
        <w:tc>
          <w:tcPr>
            <w:tcW w:type="dxa" w:w="3312"/>
            <w:tcMar>
              <w:top w:w="80" w:type="dxa"/>
              <w:start w:w="120" w:type="dxa"/>
              <w:bottom w:w="80" w:type="dxa"/>
              <w:end w:w="120" w:type="dxa"/>
            </w:tcMar>
            <w:vAlign w:val="center"/>
          </w:tcPr>
          <w:p>
            <w:r>
              <w:rPr>
                <w:rFonts w:ascii="Calibri" w:hAnsi="Calibri"/>
                <w:sz w:val="18"/>
              </w:rPr>
              <w:t>Signal survives coarse rounding.</w:t>
            </w:r>
          </w:p>
        </w:tc>
      </w:tr>
      <w:tr>
        <w:tc>
          <w:tcPr>
            <w:tcW w:type="dxa" w:w="1800"/>
            <w:tcMar>
              <w:top w:w="80" w:type="dxa"/>
              <w:start w:w="120" w:type="dxa"/>
              <w:bottom w:w="80" w:type="dxa"/>
              <w:end w:w="120" w:type="dxa"/>
            </w:tcMar>
            <w:vAlign w:val="center"/>
          </w:tcPr>
          <w:p>
            <w:r>
              <w:rPr>
                <w:rFonts w:ascii="Calibri" w:hAnsi="Calibri"/>
                <w:sz w:val="18"/>
              </w:rPr>
              <w:t>Smoothing</w:t>
            </w:r>
          </w:p>
        </w:tc>
        <w:tc>
          <w:tcPr>
            <w:tcW w:type="dxa" w:w="1728"/>
            <w:tcMar>
              <w:top w:w="80" w:type="dxa"/>
              <w:start w:w="120" w:type="dxa"/>
              <w:bottom w:w="80" w:type="dxa"/>
              <w:end w:w="120" w:type="dxa"/>
            </w:tcMar>
            <w:vAlign w:val="center"/>
          </w:tcPr>
          <w:p>
            <w:r>
              <w:rPr>
                <w:rFonts w:ascii="Calibri" w:hAnsi="Calibri"/>
                <w:sz w:val="18"/>
              </w:rPr>
              <w:t>window 5-15</w:t>
            </w:r>
          </w:p>
        </w:tc>
        <w:tc>
          <w:tcPr>
            <w:tcW w:type="dxa" w:w="1296"/>
            <w:tcMar>
              <w:top w:w="80" w:type="dxa"/>
              <w:start w:w="120" w:type="dxa"/>
              <w:bottom w:w="80" w:type="dxa"/>
              <w:end w:w="120" w:type="dxa"/>
            </w:tcMar>
            <w:vAlign w:val="center"/>
          </w:tcPr>
          <w:p>
            <w:r>
              <w:rPr>
                <w:rFonts w:ascii="Calibri" w:hAnsi="Calibri"/>
                <w:sz w:val="18"/>
              </w:rPr>
              <w:t>0.750</w:t>
            </w:r>
          </w:p>
        </w:tc>
        <w:tc>
          <w:tcPr>
            <w:tcW w:type="dxa" w:w="1224"/>
            <w:tcMar>
              <w:top w:w="80" w:type="dxa"/>
              <w:start w:w="120" w:type="dxa"/>
              <w:bottom w:w="80" w:type="dxa"/>
              <w:end w:w="120" w:type="dxa"/>
            </w:tcMar>
            <w:vAlign w:val="center"/>
          </w:tcPr>
          <w:p>
            <w:r>
              <w:rPr>
                <w:rFonts w:ascii="Calibri" w:hAnsi="Calibri"/>
                <w:sz w:val="18"/>
              </w:rPr>
              <w:t>5.04-7.94</w:t>
            </w:r>
          </w:p>
        </w:tc>
        <w:tc>
          <w:tcPr>
            <w:tcW w:type="dxa" w:w="3312"/>
            <w:tcMar>
              <w:top w:w="80" w:type="dxa"/>
              <w:start w:w="120" w:type="dxa"/>
              <w:bottom w:w="80" w:type="dxa"/>
              <w:end w:w="120" w:type="dxa"/>
            </w:tcMar>
            <w:vAlign w:val="center"/>
          </w:tcPr>
          <w:p>
            <w:r>
              <w:rPr>
                <w:rFonts w:ascii="Calibri" w:hAnsi="Calibri"/>
                <w:sz w:val="18"/>
              </w:rPr>
              <w:t>Main weakness: local averaging removes residual signs.</w:t>
            </w:r>
          </w:p>
        </w:tc>
      </w:tr>
    </w:tbl>
    <w:p>
      <w:pPr/>
      <w:r>
        <w:t>The table shows that aggregation over many records makes the payload robust to additive noise, row deletion, and quantization, while smoothing is the main weakness because it directly suppresses local residual signs.</w:t>
      </w:r>
    </w:p>
    <w:p>
      <w:pPr/>
      <w:r>
        <w:t>Table 4 reports robustness results for the structured residual watermark under four common transformations.</w:t>
      </w:r>
    </w:p>
    <w:p>
      <w:pPr>
        <w:spacing w:before="40" w:after="160"/>
        <w:jc w:val="center"/>
      </w:pPr>
      <w:r>
        <w:rPr>
          <w:i/>
          <w:color w:val="5A5A5A"/>
          <w:sz w:val="18"/>
        </w:rPr>
        <w:t>Table 4. Structured watermark robustness.</w:t>
      </w:r>
    </w:p>
    <w:p>
      <w:r>
        <w:drawing>
          <wp:inline xmlns:a="http://schemas.openxmlformats.org/drawingml/2006/main" xmlns:pic="http://schemas.openxmlformats.org/drawingml/2006/picture">
            <wp:extent cx="5669280" cy="3639538"/>
            <wp:docPr id="3" name="Picture 3"/>
            <wp:cNvGraphicFramePr>
              <a:graphicFrameLocks noChangeAspect="1"/>
            </wp:cNvGraphicFramePr>
            <a:graphic>
              <a:graphicData uri="http://schemas.openxmlformats.org/drawingml/2006/picture">
                <pic:pic>
                  <pic:nvPicPr>
                    <pic:cNvPr id="0" name="assignment3_full_charts.png"/>
                    <pic:cNvPicPr/>
                  </pic:nvPicPr>
                  <pic:blipFill>
                    <a:blip r:embed="rId11"/>
                    <a:stretch>
                      <a:fillRect/>
                    </a:stretch>
                  </pic:blipFill>
                  <pic:spPr>
                    <a:xfrm>
                      <a:off x="0" y="0"/>
                      <a:ext cx="5669280" cy="3639538"/>
                    </a:xfrm>
                    <a:prstGeom prst="rect"/>
                  </pic:spPr>
                </pic:pic>
              </a:graphicData>
            </a:graphic>
          </wp:inline>
        </w:drawing>
      </w:r>
    </w:p>
    <w:p>
      <w:pPr/>
      <w:r>
        <w:t>It links the bit-detection results, quality-preservation metrics, and attack outcomes, making it clear that the proposed residual watermark has strong clean detection and broad robustness but degrades under smoothing.</w:t>
      </w:r>
    </w:p>
    <w:p>
      <w:pPr/>
      <w:r>
        <w:t>Figure 3 gives a visual summary of the structured-data experiment.</w:t>
      </w:r>
    </w:p>
    <w:p>
      <w:pPr>
        <w:spacing w:before="40" w:after="160"/>
        <w:jc w:val="center"/>
      </w:pPr>
      <w:r>
        <w:rPr>
          <w:i/>
          <w:color w:val="5A5A5A"/>
          <w:sz w:val="18"/>
        </w:rPr>
        <w:t>Figure 3. Structured time-series watermark detection, quality, and attack robustness.</w:t>
      </w:r>
    </w:p>
    <w:p>
      <w:pPr>
        <w:pStyle w:val="Heading1"/>
      </w:pPr>
      <w:r>
        <w:rPr>
          <w:b/>
          <w:color w:val="000000"/>
        </w:rPr>
        <w:t>5. Discussion</w:t>
      </w:r>
    </w:p>
    <w:p>
      <w:pPr/>
      <w:r>
        <w:t>The experiments show that no single watermark setting is optimal for every objective, matching the detection-quality-robustness tradeoff emphasized in previous watermarking studies [1, 3, 5]. KGW is preferable when the priority is confident detection and attack robustness. The unbiased method is preferable when preserving generation quality is more important and moderate detection confidence is acceptable. For structured data, residual aggregation can produce extremely strong bit-level evidence while keeping visible statistical changes small, but smoothing attacks are a clear limitation because they specifically suppress high-frequency residual patterns.</w:t>
      </w:r>
    </w:p>
    <w:p>
      <w:pPr/>
      <w:r>
        <w:t>A limitation of this project is scale. The text experiments use a small open-source model and 100 prompts, so the results should be viewed as a controlled reproduction rather than a full deployment study. Future work should evaluate larger models, longer generations, paraphrase attacks, multilingual prompts, and adaptive attackers who know the detector family but not the secret key, because these factors are repeatedly identified as key deployment risks for AI-text watermarking and detection [2, 4].</w:t>
      </w:r>
    </w:p>
    <w:p>
      <w:pPr>
        <w:pStyle w:val="Heading1"/>
      </w:pPr>
      <w:r>
        <w:rPr>
          <w:b/>
          <w:color w:val="000000"/>
        </w:rPr>
        <w:t>6. Conclusion</w:t>
      </w:r>
    </w:p>
    <w:p>
      <w:pPr/>
      <w:r>
        <w:t>We completed a full watermarking study in the required ML-paper structure. KGW achieved the strongest text watermark detection, with mean z=5.22 in the reproduction experiment and AUC up to 1.000 in systematic evaluation. The unbiased method reduced quality loss, with mean PPL close to baseline, but required stronger parameters to reach high recall. The proposed structured residual watermark embedded a 12-bit payload into time-series data with minimal statistical distortion and perfect recovery under several common attacks. Overall, the project demonstrates both the promise and the tradeoffs of watermarking across text and structured-data generation.</w:t>
      </w:r>
    </w:p>
    <w:p>
      <w:pPr>
        <w:pStyle w:val="Heading1"/>
      </w:pPr>
      <w:r>
        <w:rPr>
          <w:b/>
          <w:color w:val="000000"/>
        </w:rPr>
        <w:t>References</w:t>
      </w:r>
    </w:p>
    <w:p>
      <w:pPr>
        <w:pStyle w:val="ListNumber"/>
      </w:pPr>
      <w:r>
        <w:t>Kirchenbauer, J., Geiping, J., Wen, Y., Katz, J., Miers, I., and Goldstein, T. A Watermark for Large Language Models. ICML, 2023.</w:t>
      </w:r>
    </w:p>
    <w:p>
      <w:pPr>
        <w:pStyle w:val="ListNumber"/>
      </w:pPr>
      <w:r>
        <w:t>Kirchenbauer, J., Geiping, J., Wen, Y., Shu, M., Saifullah, K., Kong, K., Fernando, K., Saha, A., Goldblum, M., and Goldstein, T. On the Reliability of Watermarks for Large Language Models. arXiv preprint arXiv:2306.04634, 2023.</w:t>
      </w:r>
    </w:p>
    <w:p>
      <w:pPr>
        <w:pStyle w:val="ListNumber"/>
      </w:pPr>
      <w:r>
        <w:t>Kuditipudi, R., Thickstun, J., Hashimoto, T., and Liang, P. Robust Distortion-free Watermarks for Language Models. Transactions on Machine Learning Research, 2024.</w:t>
      </w:r>
    </w:p>
    <w:p>
      <w:pPr>
        <w:pStyle w:val="ListNumber"/>
      </w:pPr>
      <w:r>
        <w:t>Sadasivan, V., Kumar, A., Balasubramanian, S., Wang, W., and Feizi, S. Can AI-Generated Text be Reliably Detected? arXiv preprint arXiv:2303.11156, 2023.</w:t>
      </w:r>
    </w:p>
    <w:p>
      <w:pPr>
        <w:pStyle w:val="ListNumber"/>
      </w:pPr>
      <w:r>
        <w:t>Pan, X. et al. MarkLLM: An Open-Source Toolkit for LLM Watermarking. EMNLP, 2024.</w:t>
      </w:r>
    </w:p>
    <w:p>
      <w:pPr>
        <w:pStyle w:val="ListNumber"/>
      </w:pPr>
      <w:r>
        <w:t>Li Lab. LLM Watermarking Tutorial. ACL Tutorial, 2024.</w:t>
      </w:r>
    </w:p>
    <w:p>
      <w:pPr>
        <w:pStyle w:val="ListNumber"/>
      </w:pPr>
      <w:r>
        <w:t>Qwen Team. Qwen2.5-0.5B-Instruct model documentation.</w:t>
      </w:r>
    </w:p>
    <w:sectPr w:rsidR="00FC693F" w:rsidRPr="0006063C" w:rsidSect="00034616">
      <w:footerReference w:type="default" r:id="rId12"/>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Final Group Project Report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