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CellMar>
          <w:left w:w="10" w:type="dxa"/>
          <w:right w:w="10" w:type="dxa"/>
        </w:tblCellMar>
        <w:tblLook w:val="0000" w:firstRow="0" w:lastRow="0" w:firstColumn="0" w:lastColumn="0" w:noHBand="0" w:noVBand="0"/>
      </w:tblPr>
      <w:tblGrid>
        <w:gridCol w:w="5040"/>
        <w:gridCol w:w="5040"/>
      </w:tblGrid>
      <w:tr w:rsidR="0033729F" w14:paraId="17C592A6" w14:textId="77777777" w:rsidTr="00916058">
        <w:tblPrEx>
          <w:tblCellMar>
            <w:top w:w="0" w:type="dxa"/>
            <w:bottom w:w="0" w:type="dxa"/>
          </w:tblCellMar>
        </w:tblPrEx>
        <w:tc>
          <w:tcPr>
            <w:tcW w:w="10080" w:type="dxa"/>
            <w:gridSpan w:val="2"/>
            <w:tcMar>
              <w:top w:w="220" w:type="dxa"/>
              <w:left w:w="300" w:type="dxa"/>
              <w:bottom w:w="200" w:type="dxa"/>
              <w:right w:w="300" w:type="dxa"/>
            </w:tcMar>
          </w:tcPr>
          <w:p w14:paraId="49D396C8" w14:textId="77777777" w:rsidR="0033729F" w:rsidRPr="00916058" w:rsidRDefault="00000000">
            <w:pPr>
              <w:spacing w:after="80"/>
              <w:jc w:val="center"/>
              <w:rPr>
                <w:color w:val="000000" w:themeColor="text1"/>
              </w:rPr>
            </w:pPr>
            <w:r w:rsidRPr="00916058">
              <w:rPr>
                <w:caps/>
                <w:color w:val="000000" w:themeColor="text1"/>
                <w:sz w:val="28"/>
                <w:szCs w:val="28"/>
              </w:rPr>
              <w:t>ESCENARIO DE ANÁLISIS DE RIESGOS</w:t>
            </w:r>
          </w:p>
          <w:p w14:paraId="554C65B3" w14:textId="77777777" w:rsidR="0033729F" w:rsidRPr="00916058" w:rsidRDefault="00000000">
            <w:pPr>
              <w:spacing w:after="60"/>
              <w:jc w:val="center"/>
              <w:rPr>
                <w:color w:val="000000" w:themeColor="text1"/>
              </w:rPr>
            </w:pPr>
            <w:r w:rsidRPr="00916058">
              <w:rPr>
                <w:color w:val="000000" w:themeColor="text1"/>
                <w:sz w:val="24"/>
                <w:szCs w:val="24"/>
              </w:rPr>
              <w:t>Infraestructura IT/OT Convergente</w:t>
            </w:r>
          </w:p>
          <w:p w14:paraId="6EE66535" w14:textId="77777777" w:rsidR="0033729F" w:rsidRPr="00916058" w:rsidRDefault="00000000">
            <w:pPr>
              <w:jc w:val="center"/>
              <w:rPr>
                <w:color w:val="000000" w:themeColor="text1"/>
              </w:rPr>
            </w:pPr>
            <w:r w:rsidRPr="00916058">
              <w:rPr>
                <w:color w:val="000000" w:themeColor="text1"/>
                <w:sz w:val="18"/>
                <w:szCs w:val="18"/>
              </w:rPr>
              <w:t>Entorno industrial con Active Directory, SCADA, PLCs y red OT</w:t>
            </w:r>
          </w:p>
        </w:tc>
      </w:tr>
      <w:tr w:rsidR="0033729F" w14:paraId="5E7DB51A" w14:textId="77777777" w:rsidTr="00916058">
        <w:tblPrEx>
          <w:tblCellMar>
            <w:top w:w="0" w:type="dxa"/>
            <w:bottom w:w="0" w:type="dxa"/>
          </w:tblCellMar>
        </w:tblPrEx>
        <w:tc>
          <w:tcPr>
            <w:tcW w:w="5040" w:type="dxa"/>
          </w:tcPr>
          <w:p w14:paraId="1197AF77" w14:textId="77777777" w:rsidR="0033729F" w:rsidRDefault="0033729F"/>
        </w:tc>
        <w:tc>
          <w:tcPr>
            <w:tcW w:w="5040" w:type="dxa"/>
          </w:tcPr>
          <w:p w14:paraId="033334D0" w14:textId="77777777" w:rsidR="0033729F" w:rsidRDefault="0033729F"/>
        </w:tc>
      </w:tr>
    </w:tbl>
    <w:p w14:paraId="1799805D" w14:textId="77777777" w:rsidR="0033729F" w:rsidRDefault="0033729F">
      <w:pPr>
        <w:spacing w:before="200" w:after="140"/>
      </w:pPr>
    </w:p>
    <w:tbl>
      <w:tblPr>
        <w:tblW w:w="10080" w:type="dxa"/>
        <w:tblCellMar>
          <w:left w:w="10" w:type="dxa"/>
          <w:right w:w="10" w:type="dxa"/>
        </w:tblCellMar>
        <w:tblLook w:val="0000" w:firstRow="0" w:lastRow="0" w:firstColumn="0" w:lastColumn="0" w:noHBand="0" w:noVBand="0"/>
      </w:tblPr>
      <w:tblGrid>
        <w:gridCol w:w="10080"/>
      </w:tblGrid>
      <w:tr w:rsidR="0033729F" w:rsidRPr="00916058" w14:paraId="46400D61" w14:textId="77777777" w:rsidTr="00916058">
        <w:tblPrEx>
          <w:tblCellMar>
            <w:top w:w="0" w:type="dxa"/>
            <w:bottom w:w="0" w:type="dxa"/>
          </w:tblCellMar>
        </w:tblPrEx>
        <w:tc>
          <w:tcPr>
            <w:tcW w:w="10080" w:type="dxa"/>
            <w:tcMar>
              <w:top w:w="100" w:type="dxa"/>
              <w:left w:w="200" w:type="dxa"/>
              <w:bottom w:w="100" w:type="dxa"/>
              <w:right w:w="200" w:type="dxa"/>
            </w:tcMar>
          </w:tcPr>
          <w:p w14:paraId="76DE3910" w14:textId="77777777" w:rsidR="0033729F" w:rsidRPr="00916058" w:rsidRDefault="00000000">
            <w:pPr>
              <w:rPr>
                <w:color w:val="000000" w:themeColor="text1"/>
              </w:rPr>
            </w:pPr>
            <w:r w:rsidRPr="00916058">
              <w:rPr>
                <w:b/>
                <w:bCs/>
                <w:color w:val="000000" w:themeColor="text1"/>
                <w:sz w:val="26"/>
                <w:szCs w:val="26"/>
              </w:rPr>
              <w:t>DESCRIPCIÓN DE LA EMPRESA Y SU INFRAESTRUCTURA</w:t>
            </w:r>
          </w:p>
        </w:tc>
      </w:tr>
    </w:tbl>
    <w:p w14:paraId="224E11BD" w14:textId="77777777" w:rsidR="0033729F" w:rsidRDefault="0033729F">
      <w:pPr>
        <w:spacing w:before="120" w:after="80"/>
      </w:pPr>
    </w:p>
    <w:p w14:paraId="280B4EC9" w14:textId="77777777" w:rsidR="0033729F" w:rsidRDefault="00000000">
      <w:pPr>
        <w:spacing w:before="100" w:after="80" w:line="276" w:lineRule="auto"/>
        <w:jc w:val="both"/>
      </w:pPr>
      <w:r>
        <w:t>La empresa "IndusCorp S.A." opera una planta de manufactura con 3 líneas de producción automatizadas. Su infraestructura combina una red corporativa de Tecnología de la Información (TI/IT) y una red de Tecnología Operativa (TO/OT) que controla en tiempo real los procesos industriales físicos. Ambas redes han sido parcialmente integradas para permitir la telemetría de producción y el acceso remoto de proveedores, introduciendo una superficie de ataque IT/OT que no existía cuando los sistemas fueron diseñados originalmente.</w:t>
      </w:r>
    </w:p>
    <w:p w14:paraId="54DA47AA" w14:textId="77777777" w:rsidR="0033729F" w:rsidRDefault="0033729F">
      <w:pPr>
        <w:spacing w:before="120" w:after="80"/>
      </w:pPr>
    </w:p>
    <w:tbl>
      <w:tblPr>
        <w:tblW w:w="10080" w:type="dxa"/>
        <w:tblCellMar>
          <w:left w:w="10" w:type="dxa"/>
          <w:right w:w="10" w:type="dxa"/>
        </w:tblCellMar>
        <w:tblLook w:val="0000" w:firstRow="0" w:lastRow="0" w:firstColumn="0" w:lastColumn="0" w:noHBand="0" w:noVBand="0"/>
      </w:tblPr>
      <w:tblGrid>
        <w:gridCol w:w="10080"/>
      </w:tblGrid>
      <w:tr w:rsidR="0033729F" w:rsidRPr="00916058" w14:paraId="69312E1A" w14:textId="77777777" w:rsidTr="00916058">
        <w:tblPrEx>
          <w:tblCellMar>
            <w:top w:w="0" w:type="dxa"/>
            <w:bottom w:w="0" w:type="dxa"/>
          </w:tblCellMar>
        </w:tblPrEx>
        <w:tc>
          <w:tcPr>
            <w:tcW w:w="10080" w:type="dxa"/>
            <w:tcMar>
              <w:top w:w="80" w:type="dxa"/>
              <w:left w:w="200" w:type="dxa"/>
              <w:bottom w:w="80" w:type="dxa"/>
              <w:right w:w="200" w:type="dxa"/>
            </w:tcMar>
          </w:tcPr>
          <w:p w14:paraId="54FC2C02" w14:textId="77777777" w:rsidR="0033729F" w:rsidRPr="00916058" w:rsidRDefault="00000000">
            <w:pPr>
              <w:rPr>
                <w:color w:val="000000" w:themeColor="text1"/>
              </w:rPr>
            </w:pPr>
            <w:r w:rsidRPr="00916058">
              <w:rPr>
                <w:b/>
                <w:bCs/>
                <w:color w:val="000000" w:themeColor="text1"/>
                <w:sz w:val="22"/>
                <w:szCs w:val="22"/>
              </w:rPr>
              <w:t>Red de Tecnología de la Información (IT) — Nivel 4/5 Purdue</w:t>
            </w:r>
          </w:p>
        </w:tc>
      </w:tr>
    </w:tbl>
    <w:p w14:paraId="1EC2926F" w14:textId="77777777" w:rsidR="0033729F" w:rsidRDefault="0033729F">
      <w:pPr>
        <w:spacing w:before="80" w:after="60"/>
      </w:pPr>
    </w:p>
    <w:p w14:paraId="297870E3" w14:textId="77777777" w:rsidR="0033729F" w:rsidRDefault="00000000">
      <w:pPr>
        <w:pStyle w:val="ListParagraph"/>
        <w:numPr>
          <w:ilvl w:val="0"/>
          <w:numId w:val="1"/>
        </w:numPr>
        <w:spacing w:before="60" w:after="60" w:line="260" w:lineRule="auto"/>
        <w:jc w:val="both"/>
      </w:pPr>
      <w:r>
        <w:t>Controlador de Dominio (DC): Servidor Active Directory que centraliza la autenticación, autorización y GPOs para todos los usuarios corporativos.</w:t>
      </w:r>
    </w:p>
    <w:p w14:paraId="0C8F6FA9" w14:textId="77777777" w:rsidR="0033729F" w:rsidRDefault="00000000">
      <w:pPr>
        <w:pStyle w:val="ListParagraph"/>
        <w:numPr>
          <w:ilvl w:val="0"/>
          <w:numId w:val="1"/>
        </w:numPr>
        <w:spacing w:before="60" w:after="60" w:line="260" w:lineRule="auto"/>
        <w:jc w:val="both"/>
      </w:pPr>
      <w:r>
        <w:t>Estaciones de trabajo administrativas: PCs del personal de ingeniería, producción y gerencia, unidas al dominio Windows.</w:t>
      </w:r>
    </w:p>
    <w:p w14:paraId="75BB6CE6" w14:textId="77777777" w:rsidR="0033729F" w:rsidRDefault="00000000">
      <w:pPr>
        <w:pStyle w:val="ListParagraph"/>
        <w:numPr>
          <w:ilvl w:val="0"/>
          <w:numId w:val="1"/>
        </w:numPr>
        <w:spacing w:before="60" w:after="60" w:line="260" w:lineRule="auto"/>
        <w:jc w:val="both"/>
      </w:pPr>
      <w:r>
        <w:t>Servidor ERP: Sistema de planificación de recursos empresariales conectado al dominio; consume datos del entorno OT vía servidor Historian.</w:t>
      </w:r>
    </w:p>
    <w:p w14:paraId="324DB0D6" w14:textId="77777777" w:rsidR="0033729F" w:rsidRDefault="00000000">
      <w:pPr>
        <w:pStyle w:val="ListParagraph"/>
        <w:numPr>
          <w:ilvl w:val="0"/>
          <w:numId w:val="1"/>
        </w:numPr>
        <w:spacing w:before="60" w:after="60" w:line="260" w:lineRule="auto"/>
        <w:jc w:val="both"/>
      </w:pPr>
      <w:r>
        <w:t>Servidor de correo y colaboración: Expuesto parcialmente hacia Internet para acceso remoto del personal.</w:t>
      </w:r>
    </w:p>
    <w:p w14:paraId="6985D031" w14:textId="77777777" w:rsidR="0033729F" w:rsidRDefault="00000000">
      <w:pPr>
        <w:pStyle w:val="ListParagraph"/>
        <w:numPr>
          <w:ilvl w:val="0"/>
          <w:numId w:val="1"/>
        </w:numPr>
        <w:spacing w:before="60" w:after="60" w:line="260" w:lineRule="auto"/>
        <w:jc w:val="both"/>
      </w:pPr>
      <w:r>
        <w:t>Usuarios con diferentes niveles de privilegio: Administradores de dominio, ingenieros de planta, operadores y cuentas de servicio de aplicaciones OT.</w:t>
      </w:r>
    </w:p>
    <w:p w14:paraId="4D90C875" w14:textId="77777777" w:rsidR="0033729F" w:rsidRDefault="00000000">
      <w:pPr>
        <w:pStyle w:val="ListParagraph"/>
        <w:numPr>
          <w:ilvl w:val="0"/>
          <w:numId w:val="1"/>
        </w:numPr>
        <w:spacing w:before="60" w:after="60" w:line="260" w:lineRule="auto"/>
        <w:jc w:val="both"/>
      </w:pPr>
      <w:r>
        <w:t>Firewall perimetral: Separa la red IT de Internet; no separa IT de OT.</w:t>
      </w:r>
    </w:p>
    <w:p w14:paraId="4667167B" w14:textId="77777777" w:rsidR="0033729F" w:rsidRDefault="0033729F">
      <w:pPr>
        <w:spacing w:before="120" w:after="80"/>
      </w:pPr>
    </w:p>
    <w:tbl>
      <w:tblPr>
        <w:tblW w:w="10080" w:type="dxa"/>
        <w:tblCellMar>
          <w:left w:w="10" w:type="dxa"/>
          <w:right w:w="10" w:type="dxa"/>
        </w:tblCellMar>
        <w:tblLook w:val="0000" w:firstRow="0" w:lastRow="0" w:firstColumn="0" w:lastColumn="0" w:noHBand="0" w:noVBand="0"/>
      </w:tblPr>
      <w:tblGrid>
        <w:gridCol w:w="10080"/>
      </w:tblGrid>
      <w:tr w:rsidR="0033729F" w:rsidRPr="00916058" w14:paraId="6795A641" w14:textId="77777777" w:rsidTr="00916058">
        <w:tblPrEx>
          <w:tblCellMar>
            <w:top w:w="0" w:type="dxa"/>
            <w:bottom w:w="0" w:type="dxa"/>
          </w:tblCellMar>
        </w:tblPrEx>
        <w:tc>
          <w:tcPr>
            <w:tcW w:w="10080" w:type="dxa"/>
            <w:tcMar>
              <w:top w:w="80" w:type="dxa"/>
              <w:left w:w="200" w:type="dxa"/>
              <w:bottom w:w="80" w:type="dxa"/>
              <w:right w:w="200" w:type="dxa"/>
            </w:tcMar>
          </w:tcPr>
          <w:p w14:paraId="7BD64EB0" w14:textId="77777777" w:rsidR="0033729F" w:rsidRPr="00916058" w:rsidRDefault="00000000">
            <w:pPr>
              <w:rPr>
                <w:color w:val="000000" w:themeColor="text1"/>
              </w:rPr>
            </w:pPr>
            <w:r w:rsidRPr="00916058">
              <w:rPr>
                <w:b/>
                <w:bCs/>
                <w:color w:val="000000" w:themeColor="text1"/>
                <w:sz w:val="22"/>
                <w:szCs w:val="22"/>
              </w:rPr>
              <w:t>Red de Tecnología Operativa (OT) — Niveles 0–3 Purdue</w:t>
            </w:r>
          </w:p>
        </w:tc>
      </w:tr>
    </w:tbl>
    <w:p w14:paraId="7317F03D" w14:textId="77777777" w:rsidR="0033729F" w:rsidRDefault="0033729F">
      <w:pPr>
        <w:spacing w:before="80" w:after="60"/>
      </w:pPr>
    </w:p>
    <w:p w14:paraId="78685230" w14:textId="77777777" w:rsidR="0033729F" w:rsidRDefault="00000000">
      <w:pPr>
        <w:pStyle w:val="ListParagraph"/>
        <w:numPr>
          <w:ilvl w:val="0"/>
          <w:numId w:val="1"/>
        </w:numPr>
        <w:spacing w:before="60" w:after="60" w:line="260" w:lineRule="auto"/>
        <w:jc w:val="both"/>
      </w:pPr>
      <w:r>
        <w:t>SCADA (Supervisory Control and Data Acquisition): Sistema centralizado que supervisa y controla los procesos de las 3 líneas de producción. Interfaz HMI accesible desde la red IT para monitoreo.</w:t>
      </w:r>
    </w:p>
    <w:p w14:paraId="5525E935" w14:textId="77777777" w:rsidR="0033729F" w:rsidRDefault="00000000">
      <w:pPr>
        <w:pStyle w:val="ListParagraph"/>
        <w:numPr>
          <w:ilvl w:val="0"/>
          <w:numId w:val="1"/>
        </w:numPr>
        <w:spacing w:before="60" w:after="60" w:line="260" w:lineRule="auto"/>
        <w:jc w:val="both"/>
      </w:pPr>
      <w:r>
        <w:t>PLCs (Programmable Logic Controllers): 12 controladores distribuidos en planta que ejecutan la lógica de automatización (temperatura, presión, velocidad de línea). Firmware con actualizaciones infrecuentes.</w:t>
      </w:r>
    </w:p>
    <w:p w14:paraId="2A707424" w14:textId="77777777" w:rsidR="0033729F" w:rsidRDefault="00000000">
      <w:pPr>
        <w:pStyle w:val="ListParagraph"/>
        <w:numPr>
          <w:ilvl w:val="0"/>
          <w:numId w:val="1"/>
        </w:numPr>
        <w:spacing w:before="60" w:after="60" w:line="260" w:lineRule="auto"/>
        <w:jc w:val="both"/>
      </w:pPr>
      <w:r>
        <w:t>HMI (Human Machine Interface): Pantallas de operación en planta que permiten modificar parámetros de proceso en tiempo real. Algunas ejecutan Windows XP Embedded o Windows 7.</w:t>
      </w:r>
    </w:p>
    <w:p w14:paraId="37245368" w14:textId="77777777" w:rsidR="0033729F" w:rsidRDefault="00000000">
      <w:pPr>
        <w:pStyle w:val="ListParagraph"/>
        <w:numPr>
          <w:ilvl w:val="0"/>
          <w:numId w:val="1"/>
        </w:numPr>
        <w:spacing w:before="60" w:after="60" w:line="260" w:lineRule="auto"/>
        <w:jc w:val="both"/>
      </w:pPr>
      <w:r>
        <w:t>Servidor Historian: Servidor en la zona DMZ IT/OT que recolecta datos de proceso del SCADA y los expone al ERP corporativo. Actúa como puente entre ambas redes.</w:t>
      </w:r>
    </w:p>
    <w:p w14:paraId="07A09DD1" w14:textId="77777777" w:rsidR="0033729F" w:rsidRDefault="00000000">
      <w:pPr>
        <w:pStyle w:val="ListParagraph"/>
        <w:numPr>
          <w:ilvl w:val="0"/>
          <w:numId w:val="1"/>
        </w:numPr>
        <w:spacing w:before="60" w:after="60" w:line="260" w:lineRule="auto"/>
        <w:jc w:val="both"/>
      </w:pPr>
      <w:r>
        <w:t>Red OT plana: Los PLCs, HMIs y el SCADA comparten el mismo segmento de red sin VLANs ni firewalls internos, utilizando protocolos industriales: Modbus TCP, DNP3, OPC-UA.</w:t>
      </w:r>
    </w:p>
    <w:p w14:paraId="37D31705" w14:textId="77777777" w:rsidR="0033729F" w:rsidRDefault="00000000">
      <w:pPr>
        <w:pStyle w:val="ListParagraph"/>
        <w:numPr>
          <w:ilvl w:val="0"/>
          <w:numId w:val="1"/>
        </w:numPr>
        <w:spacing w:before="60" w:after="60" w:line="260" w:lineRule="auto"/>
        <w:jc w:val="both"/>
      </w:pPr>
      <w:r>
        <w:t>Acceso remoto de proveedores: Dos proveedores externos acceden periódicamente vía VPN de usuario para mantenimiento de PLCs y actualización de firmware, utilizando cuentas compartidas sin MFA.</w:t>
      </w:r>
    </w:p>
    <w:p w14:paraId="3826E838" w14:textId="77777777" w:rsidR="0033729F" w:rsidRDefault="0033729F">
      <w:pPr>
        <w:spacing w:before="180" w:after="100"/>
      </w:pPr>
    </w:p>
    <w:tbl>
      <w:tblPr>
        <w:tblW w:w="10080" w:type="dxa"/>
        <w:tblCellMar>
          <w:left w:w="10" w:type="dxa"/>
          <w:right w:w="10" w:type="dxa"/>
        </w:tblCellMar>
        <w:tblLook w:val="0000" w:firstRow="0" w:lastRow="0" w:firstColumn="0" w:lastColumn="0" w:noHBand="0" w:noVBand="0"/>
      </w:tblPr>
      <w:tblGrid>
        <w:gridCol w:w="10080"/>
      </w:tblGrid>
      <w:tr w:rsidR="0033729F" w:rsidRPr="00916058" w14:paraId="7EBA02ED" w14:textId="77777777" w:rsidTr="00916058">
        <w:tblPrEx>
          <w:tblCellMar>
            <w:top w:w="0" w:type="dxa"/>
            <w:bottom w:w="0" w:type="dxa"/>
          </w:tblCellMar>
        </w:tblPrEx>
        <w:tc>
          <w:tcPr>
            <w:tcW w:w="10080" w:type="dxa"/>
            <w:tcMar>
              <w:top w:w="100" w:type="dxa"/>
              <w:left w:w="200" w:type="dxa"/>
              <w:bottom w:w="100" w:type="dxa"/>
              <w:right w:w="200" w:type="dxa"/>
            </w:tcMar>
          </w:tcPr>
          <w:p w14:paraId="47A7782C" w14:textId="77777777" w:rsidR="0033729F" w:rsidRPr="00916058" w:rsidRDefault="00000000">
            <w:pPr>
              <w:rPr>
                <w:color w:val="000000" w:themeColor="text1"/>
              </w:rPr>
            </w:pPr>
            <w:r w:rsidRPr="00916058">
              <w:rPr>
                <w:b/>
                <w:bCs/>
                <w:color w:val="000000" w:themeColor="text1"/>
                <w:sz w:val="26"/>
                <w:szCs w:val="26"/>
              </w:rPr>
              <w:lastRenderedPageBreak/>
              <w:t>ESCENARIO DE AMENAZAS</w:t>
            </w:r>
          </w:p>
        </w:tc>
      </w:tr>
    </w:tbl>
    <w:p w14:paraId="410F4139" w14:textId="77777777" w:rsidR="0033729F" w:rsidRDefault="0033729F">
      <w:pPr>
        <w:spacing w:before="120" w:after="80"/>
      </w:pPr>
    </w:p>
    <w:p w14:paraId="0145FC9B" w14:textId="77777777" w:rsidR="0033729F" w:rsidRDefault="00000000">
      <w:pPr>
        <w:spacing w:before="100" w:after="80" w:line="276" w:lineRule="auto"/>
        <w:jc w:val="both"/>
      </w:pPr>
      <w:r>
        <w:t>Los Maestrandos deben identificar y evaluar los riesgos derivados de las vulnerabilidades y amenazas en este entorno IT/OT convergente. A diferencia de un entorno puramente IT, las consecuencias aquí trascienden la pérdida de datos: pueden materializarse como daño físico a equipos, interrupción de producción, riesgo para la seguridad del personal (Safety) e impacto ambiental.</w:t>
      </w:r>
    </w:p>
    <w:p w14:paraId="74F87210" w14:textId="77777777" w:rsidR="0033729F" w:rsidRDefault="0033729F">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0A78016B"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7A3CD303" w14:textId="77777777" w:rsidR="0033729F" w:rsidRDefault="00000000">
            <w:r>
              <w:rPr>
                <w:b/>
                <w:bCs/>
                <w:color w:val="C55A11"/>
                <w:sz w:val="22"/>
                <w:szCs w:val="22"/>
              </w:rPr>
              <w:t xml:space="preserve">1. </w:t>
            </w:r>
            <w:r>
              <w:rPr>
                <w:b/>
                <w:bCs/>
                <w:color w:val="1F3864"/>
                <w:sz w:val="22"/>
                <w:szCs w:val="22"/>
              </w:rPr>
              <w:t>Movimiento lateral IT → OT a través del servidor Historian</w:t>
            </w:r>
          </w:p>
        </w:tc>
      </w:tr>
      <w:tr w:rsidR="0033729F" w14:paraId="362FBDA3"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38DB2BEE" w14:textId="77777777" w:rsidR="0033729F" w:rsidRDefault="00000000">
            <w:pPr>
              <w:spacing w:before="40" w:after="40"/>
            </w:pPr>
            <w:r>
              <w:rPr>
                <w:b/>
                <w:bCs/>
                <w:color w:val="2E75B6"/>
                <w:sz w:val="19"/>
                <w:szCs w:val="19"/>
              </w:rPr>
              <w:t xml:space="preserve">Descripción:  </w:t>
            </w:r>
            <w:r>
              <w:rPr>
                <w:sz w:val="19"/>
                <w:szCs w:val="19"/>
              </w:rPr>
              <w:t>El servidor Historian opera como puente entre la red IT (Nivel 4 Purdue) y la red OT (Nivel 3 Purdue). Si un atacante compromete una cuenta de dominio con acceso al Historian —por ejemplo mediante phishing o Pass-the-Hash— puede utilizarlo como pivote para alcanzar el servidor SCADA y los PLCs, sin necesidad de vulnerar el perímetro OT directamente.</w:t>
            </w:r>
          </w:p>
          <w:p w14:paraId="4B311CEE" w14:textId="77777777" w:rsidR="0033729F" w:rsidRDefault="00000000">
            <w:pPr>
              <w:spacing w:before="60" w:after="40"/>
            </w:pPr>
            <w:r>
              <w:rPr>
                <w:b/>
                <w:bCs/>
                <w:color w:val="C55A11"/>
                <w:sz w:val="19"/>
                <w:szCs w:val="19"/>
              </w:rPr>
              <w:t xml:space="preserve">Impacto potencial:  </w:t>
            </w:r>
            <w:r>
              <w:rPr>
                <w:sz w:val="19"/>
                <w:szCs w:val="19"/>
              </w:rPr>
              <w:t>Compromiso total del sistema SCADA: el atacante puede leer y modificar setpoints de proceso (temperatura, presión, velocidad), provocar paradas de línea no planificadas, daño a equipos o condiciones de riesgo para el personal. La cadena de ataque IT→Historian→SCADA→PLC es análoga al vector utilizado en el ataque a la planta de agua de Oldsmar (2021).</w:t>
            </w:r>
          </w:p>
        </w:tc>
      </w:tr>
    </w:tbl>
    <w:p w14:paraId="608AF49F"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5D5E9932"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4DD772DE" w14:textId="77777777" w:rsidR="0033729F" w:rsidRDefault="00000000">
            <w:r>
              <w:rPr>
                <w:b/>
                <w:bCs/>
                <w:color w:val="C55A11"/>
                <w:sz w:val="22"/>
                <w:szCs w:val="22"/>
              </w:rPr>
              <w:t xml:space="preserve">2. </w:t>
            </w:r>
            <w:r>
              <w:rPr>
                <w:b/>
                <w:bCs/>
                <w:color w:val="1F3864"/>
                <w:sz w:val="22"/>
                <w:szCs w:val="22"/>
              </w:rPr>
              <w:t>Compromiso de cuentas administrativas del dominio con acceso a sistemas OT</w:t>
            </w:r>
          </w:p>
        </w:tc>
      </w:tr>
      <w:tr w:rsidR="0033729F" w14:paraId="3E286B42"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1127F83F" w14:textId="77777777" w:rsidR="0033729F" w:rsidRDefault="00000000">
            <w:pPr>
              <w:spacing w:before="40" w:after="40"/>
            </w:pPr>
            <w:r>
              <w:rPr>
                <w:b/>
                <w:bCs/>
                <w:color w:val="2E75B6"/>
                <w:sz w:val="19"/>
                <w:szCs w:val="19"/>
              </w:rPr>
              <w:t xml:space="preserve">Descripción:  </w:t>
            </w:r>
            <w:r>
              <w:rPr>
                <w:sz w:val="19"/>
                <w:szCs w:val="19"/>
              </w:rPr>
              <w:t>Las cuentas de administrador de dominio tienen acceso de facto al servidor Historian y, en algunos casos, credenciales reutilizadas en consolas SCADA y HMIs. La ausencia de MFA para estas cuentas y el uso de contraseñas débiles o sin rotación expone un vector crítico de escalada de privilegios IT→OT.</w:t>
            </w:r>
          </w:p>
          <w:p w14:paraId="456B3DA3" w14:textId="77777777" w:rsidR="0033729F" w:rsidRDefault="00000000">
            <w:pPr>
              <w:spacing w:before="60" w:after="40"/>
            </w:pPr>
            <w:r>
              <w:rPr>
                <w:b/>
                <w:bCs/>
                <w:color w:val="C55A11"/>
                <w:sz w:val="19"/>
                <w:szCs w:val="19"/>
              </w:rPr>
              <w:t xml:space="preserve">Impacto potencial:  </w:t>
            </w:r>
            <w:r>
              <w:rPr>
                <w:sz w:val="19"/>
                <w:szCs w:val="19"/>
              </w:rPr>
              <w:t>Un atacante que obtenga acceso de administrador de dominio puede: modificar GPOs para deshabilitar protecciones en estaciones de ingeniería, acceder al SCADA con credenciales válidas, e implantar malware en el Historian que altere los datos de telemetría enviados al ERP, corrompiendo la visibilidad operacional de la gerencia.</w:t>
            </w:r>
          </w:p>
        </w:tc>
      </w:tr>
    </w:tbl>
    <w:p w14:paraId="2FA7A309"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54F84EE5"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4D2664DD" w14:textId="77777777" w:rsidR="0033729F" w:rsidRDefault="00000000">
            <w:r>
              <w:rPr>
                <w:b/>
                <w:bCs/>
                <w:color w:val="C55A11"/>
                <w:sz w:val="22"/>
                <w:szCs w:val="22"/>
              </w:rPr>
              <w:t xml:space="preserve">3. </w:t>
            </w:r>
            <w:r>
              <w:rPr>
                <w:b/>
                <w:bCs/>
                <w:color w:val="1F3864"/>
                <w:sz w:val="22"/>
                <w:szCs w:val="22"/>
              </w:rPr>
              <w:t>Protocolos industriales sin autenticación ni cifrado (Modbus TCP / DNP3)</w:t>
            </w:r>
          </w:p>
        </w:tc>
      </w:tr>
      <w:tr w:rsidR="0033729F" w14:paraId="32E74FBB"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54F79483" w14:textId="77777777" w:rsidR="0033729F" w:rsidRDefault="00000000">
            <w:pPr>
              <w:spacing w:before="40" w:after="40"/>
            </w:pPr>
            <w:r>
              <w:rPr>
                <w:b/>
                <w:bCs/>
                <w:color w:val="2E75B6"/>
                <w:sz w:val="19"/>
                <w:szCs w:val="19"/>
              </w:rPr>
              <w:t xml:space="preserve">Descripción:  </w:t>
            </w:r>
            <w:r>
              <w:rPr>
                <w:sz w:val="19"/>
                <w:szCs w:val="19"/>
              </w:rPr>
              <w:t>Los PLCs se comunican con el SCADA utilizando Modbus TCP y DNP3, protocolos diseñados para entornos aislados que no implementan autenticación, autorización ni cifrado de tráfico. Cualquier host que alcance el segmento OT puede enviar comandos de escritura directamente a los PLCs.</w:t>
            </w:r>
          </w:p>
          <w:p w14:paraId="39093FF4" w14:textId="77777777" w:rsidR="0033729F" w:rsidRDefault="00000000">
            <w:pPr>
              <w:spacing w:before="60" w:after="40"/>
            </w:pPr>
            <w:r>
              <w:rPr>
                <w:b/>
                <w:bCs/>
                <w:color w:val="C55A11"/>
                <w:sz w:val="19"/>
                <w:szCs w:val="19"/>
              </w:rPr>
              <w:t xml:space="preserve">Impacto potencial:  </w:t>
            </w:r>
            <w:r>
              <w:rPr>
                <w:sz w:val="19"/>
                <w:szCs w:val="19"/>
              </w:rPr>
              <w:t>Un atacante con acceso al segmento OT —sea por movimiento lateral desde IT o por compromiso de la VPN de un proveedor— puede enviar comandos Modbus Function Code 06 (Write Single Register) o Function Code 16 (Write Multiple Registers) para alterar parámetros críticos de proceso sin autenticación. En instalaciones de infraestructura crítica, este vector fue el utilizado en los ataques a la red eléctrica ucraniana (BlackEnergy/Industroyer, 2015-2016).</w:t>
            </w:r>
          </w:p>
        </w:tc>
      </w:tr>
    </w:tbl>
    <w:p w14:paraId="6EEA7579"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0C8C3D2A"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33A99A2B" w14:textId="77777777" w:rsidR="0033729F" w:rsidRDefault="00000000">
            <w:r>
              <w:rPr>
                <w:b/>
                <w:bCs/>
                <w:color w:val="C55A11"/>
                <w:sz w:val="22"/>
                <w:szCs w:val="22"/>
              </w:rPr>
              <w:t xml:space="preserve">4. </w:t>
            </w:r>
            <w:r>
              <w:rPr>
                <w:b/>
                <w:bCs/>
                <w:color w:val="1F3864"/>
                <w:sz w:val="22"/>
                <w:szCs w:val="22"/>
              </w:rPr>
              <w:t>HMI con sistemas operativos EOL (End of Life) sin parches de seguridad</w:t>
            </w:r>
          </w:p>
        </w:tc>
      </w:tr>
      <w:tr w:rsidR="0033729F" w14:paraId="47FF5E2B"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7B132A0E" w14:textId="77777777" w:rsidR="0033729F" w:rsidRDefault="00000000">
            <w:pPr>
              <w:spacing w:before="40" w:after="40"/>
            </w:pPr>
            <w:r>
              <w:rPr>
                <w:b/>
                <w:bCs/>
                <w:color w:val="2E75B6"/>
                <w:sz w:val="19"/>
                <w:szCs w:val="19"/>
              </w:rPr>
              <w:t xml:space="preserve">Descripción:  </w:t>
            </w:r>
            <w:r>
              <w:rPr>
                <w:sz w:val="19"/>
                <w:szCs w:val="19"/>
              </w:rPr>
              <w:t>Varias HMIs en planta ejecutan Windows XP Embedded y Windows 7, sistemas operativos sin soporte activo desde 2014 y 2020 respectivamente. Los fabricantes de software SCADA frecuentemente no certifican sus aplicaciones en versiones más recientes de Windows, lo que impide actualizar el SO sin reemplazar la aplicación de control.</w:t>
            </w:r>
          </w:p>
          <w:p w14:paraId="294144F6" w14:textId="77777777" w:rsidR="0033729F" w:rsidRDefault="00000000">
            <w:pPr>
              <w:spacing w:before="60" w:after="40"/>
            </w:pPr>
            <w:r>
              <w:rPr>
                <w:b/>
                <w:bCs/>
                <w:color w:val="C55A11"/>
                <w:sz w:val="19"/>
                <w:szCs w:val="19"/>
              </w:rPr>
              <w:t xml:space="preserve">Impacto potencial:  </w:t>
            </w:r>
            <w:r>
              <w:rPr>
                <w:sz w:val="19"/>
                <w:szCs w:val="19"/>
              </w:rPr>
              <w:t>Los CVEs de alta criticidad para estos sistemas operativos son públicos y ampliamente explotados. Un atacante que alcance la red OT puede explotar vulnerabilidades conocidas (EternalBlue/MS17-010 afecta a Windows XP/7) para comprometer las HMIs, ejecutar código arbitrario con privilegios de SYSTEM y obtener control directo sobre la interfaz de operación de planta, pudiendo modificar parámetros de proceso o desactivar alarmas de seguridad.</w:t>
            </w:r>
          </w:p>
        </w:tc>
      </w:tr>
    </w:tbl>
    <w:p w14:paraId="2ACC786E"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64BC385A"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0134E184" w14:textId="77777777" w:rsidR="0033729F" w:rsidRDefault="00000000">
            <w:r>
              <w:rPr>
                <w:b/>
                <w:bCs/>
                <w:color w:val="C55A11"/>
                <w:sz w:val="22"/>
                <w:szCs w:val="22"/>
              </w:rPr>
              <w:t xml:space="preserve">5. </w:t>
            </w:r>
            <w:r>
              <w:rPr>
                <w:b/>
                <w:bCs/>
                <w:color w:val="1F3864"/>
                <w:sz w:val="22"/>
                <w:szCs w:val="22"/>
              </w:rPr>
              <w:t>Acceso remoto de proveedores sin controles de seguridad adecuados</w:t>
            </w:r>
          </w:p>
        </w:tc>
      </w:tr>
      <w:tr w:rsidR="0033729F" w14:paraId="0305C1C3"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23CAC5C4" w14:textId="77777777" w:rsidR="0033729F" w:rsidRDefault="00000000">
            <w:pPr>
              <w:spacing w:before="40" w:after="40"/>
            </w:pPr>
            <w:r>
              <w:rPr>
                <w:b/>
                <w:bCs/>
                <w:color w:val="2E75B6"/>
                <w:sz w:val="19"/>
                <w:szCs w:val="19"/>
              </w:rPr>
              <w:t xml:space="preserve">Descripción:  </w:t>
            </w:r>
            <w:r>
              <w:rPr>
                <w:sz w:val="19"/>
                <w:szCs w:val="19"/>
              </w:rPr>
              <w:t>Dos proveedores externos acceden periódicamente vía VPN utilizando cuentas compartidas (sin asignación individual), sin MFA, sin grabación de sesión y sin restricción horaria. Las credenciales de estas cuentas son conocidas por múltiples técnicos de cada proveedor y raramente son rotadas. El acceso alcanza directamente los PLCs para actualización de firmware.</w:t>
            </w:r>
          </w:p>
          <w:p w14:paraId="3511B2D1" w14:textId="77777777" w:rsidR="0033729F" w:rsidRDefault="00000000">
            <w:pPr>
              <w:spacing w:before="60" w:after="40"/>
            </w:pPr>
            <w:r>
              <w:rPr>
                <w:b/>
                <w:bCs/>
                <w:color w:val="C55A11"/>
                <w:sz w:val="19"/>
                <w:szCs w:val="19"/>
              </w:rPr>
              <w:t xml:space="preserve">Impacto potencial:  </w:t>
            </w:r>
            <w:r>
              <w:rPr>
                <w:sz w:val="19"/>
                <w:szCs w:val="19"/>
              </w:rPr>
              <w:t>Una cuenta de proveedor comprometida —por phishing, filtración o ex-empleado desconforme— da acceso directo al nivel más bajo de la cadena de control (PLCs). La ausencia de grabación de sesión impide la atribución forense post-incidente. Este vector fue el utilizado en el ataque a la planta de tratamiento de agua de Oldsmar (Florida, 2021), donde un acceso remoto legítimo fue utilizado para modificar los niveles de hidróxido de sodio a valores letales.</w:t>
            </w:r>
          </w:p>
        </w:tc>
      </w:tr>
    </w:tbl>
    <w:p w14:paraId="0EE71469"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643FF94A"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5206A6F5" w14:textId="77777777" w:rsidR="0033729F" w:rsidRDefault="00000000">
            <w:r>
              <w:rPr>
                <w:b/>
                <w:bCs/>
                <w:color w:val="C55A11"/>
                <w:sz w:val="22"/>
                <w:szCs w:val="22"/>
              </w:rPr>
              <w:t xml:space="preserve">6. </w:t>
            </w:r>
            <w:r>
              <w:rPr>
                <w:b/>
                <w:bCs/>
                <w:color w:val="1F3864"/>
                <w:sz w:val="22"/>
                <w:szCs w:val="22"/>
              </w:rPr>
              <w:t>Ausencia de segmentación IT/OT (Modelo Purdue no implementado)</w:t>
            </w:r>
          </w:p>
        </w:tc>
      </w:tr>
      <w:tr w:rsidR="0033729F" w14:paraId="09C7ED66"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054B887E" w14:textId="77777777" w:rsidR="0033729F" w:rsidRDefault="00000000">
            <w:pPr>
              <w:spacing w:before="40" w:after="40"/>
            </w:pPr>
            <w:r>
              <w:rPr>
                <w:b/>
                <w:bCs/>
                <w:color w:val="2E75B6"/>
                <w:sz w:val="19"/>
                <w:szCs w:val="19"/>
              </w:rPr>
              <w:t xml:space="preserve">Descripción:  </w:t>
            </w:r>
            <w:r>
              <w:rPr>
                <w:sz w:val="19"/>
                <w:szCs w:val="19"/>
              </w:rPr>
              <w:t>La red OT (PLCs, HMIs, SCADA) y la red IT (estaciones de trabajo, servidores corporativos) están en el mismo plano de red o separadas únicamente por el firewall perimetral orientado a Internet. No existe una DMZ industrial, firewalls IT/OT dedicados ni políticas de lista blanca (allowlisting) para el tráfico entre zonas.</w:t>
            </w:r>
          </w:p>
          <w:p w14:paraId="3DBFFFDF" w14:textId="77777777" w:rsidR="0033729F" w:rsidRDefault="00000000">
            <w:pPr>
              <w:spacing w:before="60" w:after="40"/>
            </w:pPr>
            <w:r>
              <w:rPr>
                <w:b/>
                <w:bCs/>
                <w:color w:val="C55A11"/>
                <w:sz w:val="19"/>
                <w:szCs w:val="19"/>
              </w:rPr>
              <w:t xml:space="preserve">Impacto potencial:  </w:t>
            </w:r>
            <w:r>
              <w:rPr>
                <w:sz w:val="19"/>
                <w:szCs w:val="19"/>
              </w:rPr>
              <w:t>Un incidente en cualquier estación de trabajo IT —por ejemplo, una infección con ransomware propagada por correo electrónico— puede alcanzar directamente los equipos OT sin restricciones de red. El ransomware NotPetya (2017) demostró este vector: empresas industriales como Maersk y Mondelēz sufrieron la destrucción de sus entornos OT precisamente por la ausencia de segmentación, con pérdidas combinadas superiores a USD 1.300 millones.</w:t>
            </w:r>
          </w:p>
        </w:tc>
      </w:tr>
    </w:tbl>
    <w:p w14:paraId="55EB1E4C"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78F441DC" w14:textId="77777777">
        <w:tblPrEx>
          <w:tblCellMar>
            <w:top w:w="0" w:type="dxa"/>
            <w:bottom w:w="0" w:type="dxa"/>
          </w:tblCellMar>
        </w:tblPrEx>
        <w:tc>
          <w:tcPr>
            <w:tcW w:w="10080" w:type="dxa"/>
            <w:tcBorders>
              <w:top w:val="single" w:sz="6" w:space="0" w:color="2E75B6"/>
              <w:left w:val="single" w:sz="12" w:space="0" w:color="C55A11"/>
              <w:bottom w:val="none" w:sz="0" w:space="0" w:color="FFFFFF"/>
              <w:right w:val="none" w:sz="0" w:space="0" w:color="FFFFFF"/>
            </w:tcBorders>
            <w:shd w:val="clear" w:color="auto" w:fill="D6E4F0"/>
            <w:tcMar>
              <w:top w:w="80" w:type="dxa"/>
              <w:left w:w="200" w:type="dxa"/>
              <w:bottom w:w="60" w:type="dxa"/>
              <w:right w:w="200" w:type="dxa"/>
            </w:tcMar>
          </w:tcPr>
          <w:p w14:paraId="37F624F3" w14:textId="77777777" w:rsidR="0033729F" w:rsidRDefault="00000000">
            <w:r>
              <w:rPr>
                <w:b/>
                <w:bCs/>
                <w:color w:val="C55A11"/>
                <w:sz w:val="22"/>
                <w:szCs w:val="22"/>
              </w:rPr>
              <w:t xml:space="preserve">7. </w:t>
            </w:r>
            <w:r>
              <w:rPr>
                <w:b/>
                <w:bCs/>
                <w:color w:val="1F3864"/>
                <w:sz w:val="22"/>
                <w:szCs w:val="22"/>
              </w:rPr>
              <w:t>Manipulación de datos del Historian y pérdida de integridad operacional</w:t>
            </w:r>
          </w:p>
        </w:tc>
      </w:tr>
      <w:tr w:rsidR="0033729F" w14:paraId="4CFE37D6" w14:textId="77777777">
        <w:tblPrEx>
          <w:tblCellMar>
            <w:top w:w="0" w:type="dxa"/>
            <w:bottom w:w="0" w:type="dxa"/>
          </w:tblCellMar>
        </w:tblPrEx>
        <w:tc>
          <w:tcPr>
            <w:tcW w:w="10080" w:type="dxa"/>
            <w:tcBorders>
              <w:top w:val="none" w:sz="0" w:space="0" w:color="FFFFFF"/>
              <w:left w:val="single" w:sz="12" w:space="0" w:color="C55A11"/>
              <w:bottom w:val="single" w:sz="6" w:space="0" w:color="2E75B6"/>
              <w:right w:val="none" w:sz="0" w:space="0" w:color="FFFFFF"/>
            </w:tcBorders>
            <w:shd w:val="clear" w:color="auto" w:fill="F2F2F2"/>
            <w:tcMar>
              <w:top w:w="60" w:type="dxa"/>
              <w:left w:w="200" w:type="dxa"/>
              <w:bottom w:w="80" w:type="dxa"/>
              <w:right w:w="200" w:type="dxa"/>
            </w:tcMar>
          </w:tcPr>
          <w:p w14:paraId="4D8F8EFB" w14:textId="77777777" w:rsidR="0033729F" w:rsidRDefault="00000000">
            <w:pPr>
              <w:spacing w:before="40" w:after="40"/>
            </w:pPr>
            <w:r>
              <w:rPr>
                <w:b/>
                <w:bCs/>
                <w:color w:val="2E75B6"/>
                <w:sz w:val="19"/>
                <w:szCs w:val="19"/>
              </w:rPr>
              <w:t xml:space="preserve">Descripción:  </w:t>
            </w:r>
            <w:r>
              <w:rPr>
                <w:sz w:val="19"/>
                <w:szCs w:val="19"/>
              </w:rPr>
              <w:t>El servidor Historian recolecta datos de telemetría del proceso (temperaturas, presiones, caudales) y los expone al ERP para reportes de producción, cumplimiento normativo y facturación. Si el Historian es comprometido, un atacante puede alterar los datos históricos o los valores en tiempo real enviados al ERP sin modificar los procesos físicos reales.</w:t>
            </w:r>
          </w:p>
          <w:p w14:paraId="176D08FB" w14:textId="77777777" w:rsidR="0033729F" w:rsidRDefault="00000000">
            <w:pPr>
              <w:spacing w:before="60" w:after="40"/>
            </w:pPr>
            <w:r>
              <w:rPr>
                <w:b/>
                <w:bCs/>
                <w:color w:val="C55A11"/>
                <w:sz w:val="19"/>
                <w:szCs w:val="19"/>
              </w:rPr>
              <w:t xml:space="preserve">Impacto potencial:  </w:t>
            </w:r>
            <w:r>
              <w:rPr>
                <w:sz w:val="19"/>
                <w:szCs w:val="19"/>
              </w:rPr>
              <w:t>La manipulación silenciosa de datos del Historian genera una brecha entre la realidad operativa y la visibilidad de la gerencia: decisiones de producción, mantenimiento y cumplimiento normativo se toman sobre información falsa. En entornos regulados (industria alimentaria, farmacéutica, energética), la falsificación de registros de proceso puede derivar en sanciones regulatorias, retiro de productos o pérdida de certificaciones de calidad.</w:t>
            </w:r>
          </w:p>
        </w:tc>
      </w:tr>
    </w:tbl>
    <w:p w14:paraId="4FB0DE7D" w14:textId="77777777" w:rsidR="0033729F" w:rsidRDefault="0033729F">
      <w:pPr>
        <w:spacing w:before="2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6E6BECA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4F5441C4" w14:textId="77777777" w:rsidR="0033729F" w:rsidRDefault="00000000">
            <w:r>
              <w:rPr>
                <w:b/>
                <w:bCs/>
                <w:color w:val="FFFFFF"/>
                <w:sz w:val="26"/>
                <w:szCs w:val="26"/>
              </w:rPr>
              <w:t>TAREAS PARA LOS MAESTRANDOS</w:t>
            </w:r>
          </w:p>
        </w:tc>
      </w:tr>
    </w:tbl>
    <w:p w14:paraId="3D634E9D" w14:textId="77777777" w:rsidR="0033729F" w:rsidRDefault="0033729F">
      <w:pPr>
        <w:spacing w:before="120" w:after="80"/>
      </w:pPr>
    </w:p>
    <w:p w14:paraId="25CBA57E" w14:textId="77777777" w:rsidR="0033729F" w:rsidRDefault="00000000">
      <w:pPr>
        <w:spacing w:before="100" w:after="80" w:line="276" w:lineRule="auto"/>
        <w:jc w:val="both"/>
      </w:pPr>
      <w:r>
        <w:t>Los Maestrandos deben realizar un análisis de riesgos completo para la infraestructura IT/OT de "IndusCorp S.A.", considerando tanto las dimensiones de Seguridad de la Información (Confidencialidad, Integridad, Disponibilidad) como las dimensiones propias del entorno industrial: Safety (seguridad física del personal), Reliability (fiabilidad del proceso) y Compliance (cumplimiento normativo sectorial).</w:t>
      </w:r>
    </w:p>
    <w:p w14:paraId="10989F0E" w14:textId="77777777" w:rsidR="0033729F" w:rsidRDefault="0033729F">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09270184" w14:textId="77777777">
        <w:tblPrEx>
          <w:tblCellMar>
            <w:top w:w="0" w:type="dxa"/>
            <w:bottom w:w="0" w:type="dxa"/>
          </w:tblCellMar>
        </w:tblPrEx>
        <w:tc>
          <w:tcPr>
            <w:tcW w:w="10080" w:type="dxa"/>
            <w:tcBorders>
              <w:top w:val="none" w:sz="0" w:space="0" w:color="FFFFFF"/>
              <w:left w:val="single" w:sz="12" w:space="0" w:color="375623"/>
              <w:bottom w:val="none" w:sz="0" w:space="0" w:color="FFFFFF"/>
              <w:right w:val="none" w:sz="0" w:space="0" w:color="FFFFFF"/>
            </w:tcBorders>
            <w:shd w:val="clear" w:color="auto" w:fill="E2EFDA"/>
            <w:tcMar>
              <w:top w:w="80" w:type="dxa"/>
              <w:left w:w="200" w:type="dxa"/>
              <w:bottom w:w="80" w:type="dxa"/>
              <w:right w:w="200" w:type="dxa"/>
            </w:tcMar>
          </w:tcPr>
          <w:p w14:paraId="4A1A8C1D" w14:textId="77777777" w:rsidR="0033729F" w:rsidRDefault="00000000">
            <w:pPr>
              <w:spacing w:before="60" w:after="60"/>
            </w:pPr>
            <w:r>
              <w:rPr>
                <w:b/>
                <w:bCs/>
                <w:color w:val="C55A11"/>
                <w:sz w:val="21"/>
                <w:szCs w:val="21"/>
              </w:rPr>
              <w:t xml:space="preserve">1.  </w:t>
            </w:r>
            <w:r>
              <w:rPr>
                <w:b/>
                <w:bCs/>
                <w:color w:val="1F3864"/>
                <w:sz w:val="21"/>
                <w:szCs w:val="21"/>
              </w:rPr>
              <w:t>Identificación de riesgos</w:t>
            </w:r>
          </w:p>
          <w:p w14:paraId="777E1EEE" w14:textId="77777777" w:rsidR="0033729F" w:rsidRDefault="00000000">
            <w:pPr>
              <w:pStyle w:val="ListParagraph"/>
              <w:numPr>
                <w:ilvl w:val="0"/>
                <w:numId w:val="1"/>
              </w:numPr>
              <w:spacing w:before="40" w:after="40" w:line="256" w:lineRule="auto"/>
              <w:jc w:val="both"/>
            </w:pPr>
            <w:r>
              <w:rPr>
                <w:sz w:val="19"/>
                <w:szCs w:val="19"/>
              </w:rPr>
              <w:t>Identificar los activos de información críticos diferenciando activos IT (datos, cuentas, servicios) de activos OT (PLCs, HMIs, SCADA, redes industriales).</w:t>
            </w:r>
          </w:p>
          <w:p w14:paraId="3C758DF7" w14:textId="77777777" w:rsidR="0033729F" w:rsidRDefault="00000000">
            <w:pPr>
              <w:pStyle w:val="ListParagraph"/>
              <w:numPr>
                <w:ilvl w:val="0"/>
                <w:numId w:val="1"/>
              </w:numPr>
              <w:spacing w:before="40" w:after="40" w:line="256" w:lineRule="auto"/>
              <w:jc w:val="both"/>
            </w:pPr>
            <w:r>
              <w:rPr>
                <w:sz w:val="19"/>
                <w:szCs w:val="19"/>
              </w:rPr>
              <w:t>Para cada activo identificado, determinar las amenazas relevantes del escenario y las vulnerabilidades que las posibilitan.</w:t>
            </w:r>
          </w:p>
          <w:p w14:paraId="04D4202A" w14:textId="77777777" w:rsidR="0033729F" w:rsidRDefault="00000000">
            <w:pPr>
              <w:pStyle w:val="ListParagraph"/>
              <w:numPr>
                <w:ilvl w:val="0"/>
                <w:numId w:val="1"/>
              </w:numPr>
              <w:spacing w:before="40" w:after="40" w:line="256" w:lineRule="auto"/>
              <w:jc w:val="both"/>
            </w:pPr>
            <w:r>
              <w:rPr>
                <w:sz w:val="19"/>
                <w:szCs w:val="19"/>
              </w:rPr>
              <w:lastRenderedPageBreak/>
              <w:t>Clasificar cada riesgo según la cadena de impacto IT→OT: ¿el riesgo permanece en el dominio IT o puede escalar al dominio OT/físico?</w:t>
            </w:r>
          </w:p>
          <w:p w14:paraId="58E2A028" w14:textId="77777777" w:rsidR="0033729F" w:rsidRDefault="00000000">
            <w:pPr>
              <w:pStyle w:val="ListParagraph"/>
              <w:numPr>
                <w:ilvl w:val="0"/>
                <w:numId w:val="1"/>
              </w:numPr>
              <w:spacing w:before="40" w:after="40" w:line="256" w:lineRule="auto"/>
              <w:jc w:val="both"/>
            </w:pPr>
            <w:r>
              <w:rPr>
                <w:sz w:val="19"/>
                <w:szCs w:val="19"/>
              </w:rPr>
              <w:t>Incorporar en el análisis las amenazas específicas de entornos industriales: ingeniería social dirigida a operadores, manipulación física de HMIs, y ataques de cadena de suministro a través de proveedores de mantenimiento.</w:t>
            </w:r>
          </w:p>
        </w:tc>
      </w:tr>
    </w:tbl>
    <w:p w14:paraId="3871D668"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0B314341" w14:textId="77777777">
        <w:tblPrEx>
          <w:tblCellMar>
            <w:top w:w="0" w:type="dxa"/>
            <w:bottom w:w="0" w:type="dxa"/>
          </w:tblCellMar>
        </w:tblPrEx>
        <w:tc>
          <w:tcPr>
            <w:tcW w:w="10080" w:type="dxa"/>
            <w:tcBorders>
              <w:top w:val="none" w:sz="0" w:space="0" w:color="FFFFFF"/>
              <w:left w:val="single" w:sz="12" w:space="0" w:color="375623"/>
              <w:bottom w:val="none" w:sz="0" w:space="0" w:color="FFFFFF"/>
              <w:right w:val="none" w:sz="0" w:space="0" w:color="FFFFFF"/>
            </w:tcBorders>
            <w:shd w:val="clear" w:color="auto" w:fill="E2EFDA"/>
            <w:tcMar>
              <w:top w:w="80" w:type="dxa"/>
              <w:left w:w="200" w:type="dxa"/>
              <w:bottom w:w="80" w:type="dxa"/>
              <w:right w:w="200" w:type="dxa"/>
            </w:tcMar>
          </w:tcPr>
          <w:p w14:paraId="023B2921" w14:textId="77777777" w:rsidR="0033729F" w:rsidRDefault="00000000">
            <w:pPr>
              <w:spacing w:before="60" w:after="60"/>
            </w:pPr>
            <w:r>
              <w:rPr>
                <w:b/>
                <w:bCs/>
                <w:color w:val="C55A11"/>
                <w:sz w:val="21"/>
                <w:szCs w:val="21"/>
              </w:rPr>
              <w:t xml:space="preserve">2.  </w:t>
            </w:r>
            <w:r>
              <w:rPr>
                <w:b/>
                <w:bCs/>
                <w:color w:val="1F3864"/>
                <w:sz w:val="21"/>
                <w:szCs w:val="21"/>
              </w:rPr>
              <w:t>Evaluación de riesgos</w:t>
            </w:r>
          </w:p>
          <w:p w14:paraId="32A58632" w14:textId="77777777" w:rsidR="0033729F" w:rsidRDefault="00000000">
            <w:pPr>
              <w:pStyle w:val="ListParagraph"/>
              <w:numPr>
                <w:ilvl w:val="0"/>
                <w:numId w:val="1"/>
              </w:numPr>
              <w:spacing w:before="40" w:after="40" w:line="256" w:lineRule="auto"/>
              <w:jc w:val="both"/>
            </w:pPr>
            <w:r>
              <w:rPr>
                <w:sz w:val="19"/>
                <w:szCs w:val="19"/>
              </w:rPr>
              <w:t>Probabilidad: estimar la probabilidad de materialización de cada amenaza considerando el nivel de exposición actual (ausencia de MFA, protocolos sin autenticación, SO obsoletos).</w:t>
            </w:r>
          </w:p>
          <w:p w14:paraId="1319F047" w14:textId="77777777" w:rsidR="0033729F" w:rsidRDefault="00000000">
            <w:pPr>
              <w:pStyle w:val="ListParagraph"/>
              <w:numPr>
                <w:ilvl w:val="0"/>
                <w:numId w:val="1"/>
              </w:numPr>
              <w:spacing w:before="40" w:after="40" w:line="256" w:lineRule="auto"/>
              <w:jc w:val="both"/>
            </w:pPr>
            <w:r>
              <w:rPr>
                <w:sz w:val="19"/>
                <w:szCs w:val="19"/>
              </w:rPr>
              <w:t>Impacto: evaluar el impacto en las seis dimensiones: Confidencialidad, Integridad, Disponibilidad, Safety, Reliability y Compliance. Nótese que en entornos OT la Disponibilidad y Safety suelen tener mayor peso que la Confidencialidad.</w:t>
            </w:r>
          </w:p>
          <w:p w14:paraId="6523A28A" w14:textId="77777777" w:rsidR="0033729F" w:rsidRDefault="00000000">
            <w:pPr>
              <w:pStyle w:val="ListParagraph"/>
              <w:numPr>
                <w:ilvl w:val="0"/>
                <w:numId w:val="1"/>
              </w:numPr>
              <w:spacing w:before="40" w:after="40" w:line="256" w:lineRule="auto"/>
              <w:jc w:val="both"/>
            </w:pPr>
            <w:r>
              <w:rPr>
                <w:sz w:val="19"/>
                <w:szCs w:val="19"/>
              </w:rPr>
              <w:t>Nivel de riesgo: calcular el nivel combinando probabilidad e impacto (Bajo / Medio / Alto / Crítico). Justificar por qué algunos riesgos OT de probabilidad media pueden ser catalogados como Críticos por su impacto potencial sobre Safety.</w:t>
            </w:r>
          </w:p>
          <w:p w14:paraId="231F84AA" w14:textId="77777777" w:rsidR="0033729F" w:rsidRDefault="00000000">
            <w:pPr>
              <w:pStyle w:val="ListParagraph"/>
              <w:numPr>
                <w:ilvl w:val="0"/>
                <w:numId w:val="1"/>
              </w:numPr>
              <w:spacing w:before="40" w:after="40" w:line="256" w:lineRule="auto"/>
              <w:jc w:val="both"/>
            </w:pPr>
            <w:r>
              <w:rPr>
                <w:sz w:val="19"/>
                <w:szCs w:val="19"/>
              </w:rPr>
              <w:t>Comparar el perfil de riesgo IT vs. OT: ¿En qué dimensiones difieren fundamentalmente? ¿Por qué los tiempos de respuesta y las tolerancias de interrupción son distintos en OT?</w:t>
            </w:r>
          </w:p>
        </w:tc>
      </w:tr>
    </w:tbl>
    <w:p w14:paraId="7BEDD1C0"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6956891B" w14:textId="77777777">
        <w:tblPrEx>
          <w:tblCellMar>
            <w:top w:w="0" w:type="dxa"/>
            <w:bottom w:w="0" w:type="dxa"/>
          </w:tblCellMar>
        </w:tblPrEx>
        <w:tc>
          <w:tcPr>
            <w:tcW w:w="10080" w:type="dxa"/>
            <w:tcBorders>
              <w:top w:val="none" w:sz="0" w:space="0" w:color="FFFFFF"/>
              <w:left w:val="single" w:sz="12" w:space="0" w:color="375623"/>
              <w:bottom w:val="none" w:sz="0" w:space="0" w:color="FFFFFF"/>
              <w:right w:val="none" w:sz="0" w:space="0" w:color="FFFFFF"/>
            </w:tcBorders>
            <w:shd w:val="clear" w:color="auto" w:fill="E2EFDA"/>
            <w:tcMar>
              <w:top w:w="80" w:type="dxa"/>
              <w:left w:w="200" w:type="dxa"/>
              <w:bottom w:w="80" w:type="dxa"/>
              <w:right w:w="200" w:type="dxa"/>
            </w:tcMar>
          </w:tcPr>
          <w:p w14:paraId="6D94BB58" w14:textId="77777777" w:rsidR="0033729F" w:rsidRDefault="00000000">
            <w:pPr>
              <w:spacing w:before="60" w:after="60"/>
            </w:pPr>
            <w:r>
              <w:rPr>
                <w:b/>
                <w:bCs/>
                <w:color w:val="C55A11"/>
                <w:sz w:val="21"/>
                <w:szCs w:val="21"/>
              </w:rPr>
              <w:t xml:space="preserve">3.  </w:t>
            </w:r>
            <w:r>
              <w:rPr>
                <w:b/>
                <w:bCs/>
                <w:color w:val="1F3864"/>
                <w:sz w:val="21"/>
                <w:szCs w:val="21"/>
              </w:rPr>
              <w:t>Propuesta de controles y mitigación</w:t>
            </w:r>
          </w:p>
          <w:p w14:paraId="7DE3FDE6" w14:textId="77777777" w:rsidR="0033729F" w:rsidRDefault="00000000">
            <w:pPr>
              <w:pStyle w:val="ListParagraph"/>
              <w:numPr>
                <w:ilvl w:val="0"/>
                <w:numId w:val="1"/>
              </w:numPr>
              <w:spacing w:before="40" w:after="40" w:line="256" w:lineRule="auto"/>
              <w:jc w:val="both"/>
            </w:pPr>
            <w:r>
              <w:rPr>
                <w:sz w:val="19"/>
                <w:szCs w:val="19"/>
              </w:rPr>
              <w:t>Implementación del Modelo Purdue / ISA-99: proponer la arquitectura de segmentación IT/OT con DMZ industrial, firewall IT/OT dedicado y zonas de seguridad por nivel (0-5).</w:t>
            </w:r>
          </w:p>
          <w:p w14:paraId="2E906627" w14:textId="77777777" w:rsidR="0033729F" w:rsidRDefault="00000000">
            <w:pPr>
              <w:pStyle w:val="ListParagraph"/>
              <w:numPr>
                <w:ilvl w:val="0"/>
                <w:numId w:val="1"/>
              </w:numPr>
              <w:spacing w:before="40" w:after="40" w:line="256" w:lineRule="auto"/>
              <w:jc w:val="both"/>
            </w:pPr>
            <w:r>
              <w:rPr>
                <w:sz w:val="19"/>
                <w:szCs w:val="19"/>
              </w:rPr>
              <w:t>MFA y gestión de identidades: diseñar una política de acceso privilegiado (PAM) que incluya MFA para cuentas administrativas de IT con acceso a OT, y para el acceso remoto de proveedores.</w:t>
            </w:r>
          </w:p>
          <w:p w14:paraId="74ABBAE9" w14:textId="77777777" w:rsidR="0033729F" w:rsidRDefault="00000000">
            <w:pPr>
              <w:pStyle w:val="ListParagraph"/>
              <w:numPr>
                <w:ilvl w:val="0"/>
                <w:numId w:val="1"/>
              </w:numPr>
              <w:spacing w:before="40" w:after="40" w:line="256" w:lineRule="auto"/>
              <w:jc w:val="both"/>
            </w:pPr>
            <w:r>
              <w:rPr>
                <w:sz w:val="19"/>
                <w:szCs w:val="19"/>
              </w:rPr>
              <w:t>Gestión de activos EOL: proponer una estrategia de compensating controls para las HMIs con SO obsoleto (aislamiento de red, application whitelisting, monitoreo pasivo) mientras se planifica la migración.</w:t>
            </w:r>
          </w:p>
          <w:p w14:paraId="7B2E6730" w14:textId="77777777" w:rsidR="0033729F" w:rsidRDefault="00000000">
            <w:pPr>
              <w:pStyle w:val="ListParagraph"/>
              <w:numPr>
                <w:ilvl w:val="0"/>
                <w:numId w:val="1"/>
              </w:numPr>
              <w:spacing w:before="40" w:after="40" w:line="256" w:lineRule="auto"/>
              <w:jc w:val="both"/>
            </w:pPr>
            <w:r>
              <w:rPr>
                <w:sz w:val="19"/>
                <w:szCs w:val="19"/>
              </w:rPr>
              <w:t>Seguridad de protocolos industriales: evaluar la viabilidad de migrar a OPC-UA con autenticación y cifrado TLS, o implementar sistemas de detección de intrusos industriales (IDS-OT como Claroty, Dragos o Zeek con scripts ICS) para detectar comandos anómalos.</w:t>
            </w:r>
          </w:p>
          <w:p w14:paraId="3E39A7E1" w14:textId="77777777" w:rsidR="0033729F" w:rsidRDefault="00000000">
            <w:pPr>
              <w:pStyle w:val="ListParagraph"/>
              <w:numPr>
                <w:ilvl w:val="0"/>
                <w:numId w:val="1"/>
              </w:numPr>
              <w:spacing w:before="40" w:after="40" w:line="256" w:lineRule="auto"/>
              <w:jc w:val="both"/>
            </w:pPr>
            <w:r>
              <w:rPr>
                <w:sz w:val="19"/>
                <w:szCs w:val="19"/>
              </w:rPr>
              <w:t>Control de acceso remoto de proveedores: diseñar un proceso de acceso Just-in-Time (JIT) con cuentas individuales, MFA, grabación de sesión (PAM), ventanas horarias restringidas y aprobación formal previa.</w:t>
            </w:r>
          </w:p>
          <w:p w14:paraId="44EA3DED" w14:textId="77777777" w:rsidR="0033729F" w:rsidRDefault="00000000">
            <w:pPr>
              <w:pStyle w:val="ListParagraph"/>
              <w:numPr>
                <w:ilvl w:val="0"/>
                <w:numId w:val="1"/>
              </w:numPr>
              <w:spacing w:before="40" w:after="40" w:line="256" w:lineRule="auto"/>
              <w:jc w:val="both"/>
            </w:pPr>
            <w:r>
              <w:rPr>
                <w:sz w:val="19"/>
                <w:szCs w:val="19"/>
              </w:rPr>
              <w:t>Integridad del Historian: proponer controles de integridad para los datos de telemetría (checksums, logging de modificaciones, separación de privilegios de lectura vs. escritura).</w:t>
            </w:r>
          </w:p>
        </w:tc>
      </w:tr>
    </w:tbl>
    <w:p w14:paraId="37D6D31C" w14:textId="77777777" w:rsidR="0033729F" w:rsidRDefault="0033729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1A73E5DE" w14:textId="77777777">
        <w:tblPrEx>
          <w:tblCellMar>
            <w:top w:w="0" w:type="dxa"/>
            <w:bottom w:w="0" w:type="dxa"/>
          </w:tblCellMar>
        </w:tblPrEx>
        <w:tc>
          <w:tcPr>
            <w:tcW w:w="10080" w:type="dxa"/>
            <w:tcBorders>
              <w:top w:val="none" w:sz="0" w:space="0" w:color="FFFFFF"/>
              <w:left w:val="single" w:sz="12" w:space="0" w:color="375623"/>
              <w:bottom w:val="none" w:sz="0" w:space="0" w:color="FFFFFF"/>
              <w:right w:val="none" w:sz="0" w:space="0" w:color="FFFFFF"/>
            </w:tcBorders>
            <w:shd w:val="clear" w:color="auto" w:fill="E2EFDA"/>
            <w:tcMar>
              <w:top w:w="80" w:type="dxa"/>
              <w:left w:w="200" w:type="dxa"/>
              <w:bottom w:w="80" w:type="dxa"/>
              <w:right w:w="200" w:type="dxa"/>
            </w:tcMar>
          </w:tcPr>
          <w:p w14:paraId="476DAE24" w14:textId="77777777" w:rsidR="0033729F" w:rsidRDefault="00000000">
            <w:pPr>
              <w:spacing w:before="60" w:after="60"/>
            </w:pPr>
            <w:r>
              <w:rPr>
                <w:b/>
                <w:bCs/>
                <w:color w:val="C55A11"/>
                <w:sz w:val="21"/>
                <w:szCs w:val="21"/>
              </w:rPr>
              <w:t xml:space="preserve">4.  </w:t>
            </w:r>
            <w:r>
              <w:rPr>
                <w:b/>
                <w:bCs/>
                <w:color w:val="1F3864"/>
                <w:sz w:val="21"/>
                <w:szCs w:val="21"/>
              </w:rPr>
              <w:t>Plan de acción priorizado</w:t>
            </w:r>
          </w:p>
          <w:p w14:paraId="55BE742B" w14:textId="77777777" w:rsidR="0033729F" w:rsidRDefault="00000000">
            <w:pPr>
              <w:pStyle w:val="ListParagraph"/>
              <w:numPr>
                <w:ilvl w:val="0"/>
                <w:numId w:val="1"/>
              </w:numPr>
              <w:spacing w:before="40" w:after="40" w:line="256" w:lineRule="auto"/>
              <w:jc w:val="both"/>
            </w:pPr>
            <w:r>
              <w:rPr>
                <w:sz w:val="19"/>
                <w:szCs w:val="19"/>
              </w:rPr>
              <w:t>Para cada control propuesto, identificar: responsable técnico y responsable funcional (Ingeniería, IT, OT, Gerencia), plazo estimado de implementación y recursos necesarios.</w:t>
            </w:r>
          </w:p>
          <w:p w14:paraId="067B6E57" w14:textId="77777777" w:rsidR="0033729F" w:rsidRDefault="00000000">
            <w:pPr>
              <w:pStyle w:val="ListParagraph"/>
              <w:numPr>
                <w:ilvl w:val="0"/>
                <w:numId w:val="1"/>
              </w:numPr>
              <w:spacing w:before="40" w:after="40" w:line="256" w:lineRule="auto"/>
              <w:jc w:val="both"/>
            </w:pPr>
            <w:r>
              <w:rPr>
                <w:sz w:val="19"/>
                <w:szCs w:val="19"/>
              </w:rPr>
              <w:t>Priorizar las acciones considerando: ¿qué medidas reducen más riesgo con menor interrupción operativa? En entornos OT la implementación de controles suele requerir ventanas de mantenimiento programadas.</w:t>
            </w:r>
          </w:p>
          <w:p w14:paraId="4844B57B" w14:textId="77777777" w:rsidR="0033729F" w:rsidRDefault="00000000">
            <w:pPr>
              <w:pStyle w:val="ListParagraph"/>
              <w:numPr>
                <w:ilvl w:val="0"/>
                <w:numId w:val="1"/>
              </w:numPr>
              <w:spacing w:before="40" w:after="40" w:line="256" w:lineRule="auto"/>
              <w:jc w:val="both"/>
            </w:pPr>
            <w:r>
              <w:rPr>
                <w:sz w:val="19"/>
                <w:szCs w:val="19"/>
              </w:rPr>
              <w:t>Proponer métricas de seguimiento específicas para el entorno OT: porcentaje de activos OT inventariados, cobertura del IDS-OT, tiempo de detección de comandos anómalos (MTTD-OT), cobertura de grabación de sesiones de proveedores.</w:t>
            </w:r>
          </w:p>
          <w:p w14:paraId="0EF2FA2A" w14:textId="77777777" w:rsidR="0033729F" w:rsidRDefault="00000000">
            <w:pPr>
              <w:pStyle w:val="ListParagraph"/>
              <w:numPr>
                <w:ilvl w:val="0"/>
                <w:numId w:val="1"/>
              </w:numPr>
              <w:spacing w:before="40" w:after="40" w:line="256" w:lineRule="auto"/>
              <w:jc w:val="both"/>
            </w:pPr>
            <w:r>
              <w:rPr>
                <w:sz w:val="19"/>
                <w:szCs w:val="19"/>
              </w:rPr>
              <w:t>Definir un plan de respuesta a incidentes diferenciado: el playbook de respuesta para un incidente OT no puede asumir la misma tolerancia de interrupción que un incidente IT. Describir las condiciones bajo las cuales se debe activar el modo de operación manual de emergencia.</w:t>
            </w:r>
          </w:p>
        </w:tc>
      </w:tr>
    </w:tbl>
    <w:p w14:paraId="6B46297F" w14:textId="77777777" w:rsidR="0033729F" w:rsidRDefault="0033729F">
      <w:pPr>
        <w:spacing w:before="2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5287888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7DB2E1A6" w14:textId="77777777" w:rsidR="0033729F" w:rsidRDefault="00000000">
            <w:r>
              <w:rPr>
                <w:b/>
                <w:bCs/>
                <w:color w:val="FFFFFF"/>
                <w:sz w:val="26"/>
                <w:szCs w:val="26"/>
              </w:rPr>
              <w:t>MARCO NORMATIVO Y REFERENCIAS APLICABLES</w:t>
            </w:r>
          </w:p>
        </w:tc>
      </w:tr>
    </w:tbl>
    <w:p w14:paraId="348D7A30" w14:textId="77777777" w:rsidR="0033729F" w:rsidRDefault="0033729F">
      <w:pPr>
        <w:spacing w:before="120" w:after="80"/>
      </w:pPr>
    </w:p>
    <w:p w14:paraId="3295406E" w14:textId="77777777" w:rsidR="0033729F" w:rsidRDefault="00000000">
      <w:pPr>
        <w:spacing w:before="100" w:after="80" w:line="276" w:lineRule="auto"/>
        <w:jc w:val="both"/>
      </w:pPr>
      <w:r>
        <w:t>Los Maestrandos deberán relacionar su análisis con los siguientes marcos normativos y estándares:</w:t>
      </w:r>
    </w:p>
    <w:p w14:paraId="22D59042" w14:textId="77777777" w:rsidR="0033729F" w:rsidRDefault="0033729F">
      <w:pPr>
        <w:spacing w:before="60" w:after="60"/>
      </w:pPr>
    </w:p>
    <w:p w14:paraId="760BF4B6" w14:textId="77777777" w:rsidR="0033729F" w:rsidRDefault="00000000">
      <w:pPr>
        <w:pStyle w:val="ListParagraph"/>
        <w:numPr>
          <w:ilvl w:val="0"/>
          <w:numId w:val="1"/>
        </w:numPr>
        <w:spacing w:before="60" w:after="60" w:line="260" w:lineRule="auto"/>
        <w:jc w:val="both"/>
      </w:pPr>
      <w:r>
        <w:t>ISA/IEC 62443 (Serie): Estándar de referencia internacional para la ciberseguridad de Sistemas de Control y Automatización Industrial (IACS). Define zonas de seguridad, conductos y niveles de seguridad (SL 1-4).</w:t>
      </w:r>
    </w:p>
    <w:p w14:paraId="43B7E7EC" w14:textId="77777777" w:rsidR="0033729F" w:rsidRDefault="00000000">
      <w:pPr>
        <w:pStyle w:val="ListParagraph"/>
        <w:numPr>
          <w:ilvl w:val="0"/>
          <w:numId w:val="1"/>
        </w:numPr>
        <w:spacing w:before="60" w:after="60" w:line="260" w:lineRule="auto"/>
        <w:jc w:val="both"/>
      </w:pPr>
      <w:r>
        <w:t>NIST SP 800-82 Rev. 3 (2023): Guide to Operational Technology (OT) Security — guía específica del NIST para la protección de entornos OT, ICS, SCADA y sistemas de control industrial.</w:t>
      </w:r>
    </w:p>
    <w:p w14:paraId="014921AE" w14:textId="77777777" w:rsidR="0033729F" w:rsidRDefault="00000000">
      <w:pPr>
        <w:pStyle w:val="ListParagraph"/>
        <w:numPr>
          <w:ilvl w:val="0"/>
          <w:numId w:val="1"/>
        </w:numPr>
        <w:spacing w:before="60" w:after="60" w:line="260" w:lineRule="auto"/>
        <w:jc w:val="both"/>
      </w:pPr>
      <w:r>
        <w:t>NIST SP 800-61 Rev. 3: Computer Security Incident Handling Guide — aplicable a la respuesta ante incidentes tanto IT como OT, con adaptaciones para tolerancias de disponibilidad distintas.</w:t>
      </w:r>
    </w:p>
    <w:p w14:paraId="6D9DB4A0" w14:textId="77777777" w:rsidR="0033729F" w:rsidRDefault="00000000">
      <w:pPr>
        <w:pStyle w:val="ListParagraph"/>
        <w:numPr>
          <w:ilvl w:val="0"/>
          <w:numId w:val="1"/>
        </w:numPr>
        <w:spacing w:before="60" w:after="60" w:line="260" w:lineRule="auto"/>
        <w:jc w:val="both"/>
      </w:pPr>
      <w:r>
        <w:t>ISO/IEC 27001:2022 Cláusula 6.1: Tratamiento de riesgos y oportunidades — marco general de gestión de riesgos aplicable al entorno convergente IT/OT.</w:t>
      </w:r>
    </w:p>
    <w:p w14:paraId="5627429B" w14:textId="77777777" w:rsidR="0033729F" w:rsidRDefault="00000000">
      <w:pPr>
        <w:pStyle w:val="ListParagraph"/>
        <w:numPr>
          <w:ilvl w:val="0"/>
          <w:numId w:val="1"/>
        </w:numPr>
        <w:spacing w:before="60" w:after="60" w:line="260" w:lineRule="auto"/>
        <w:jc w:val="both"/>
      </w:pPr>
      <w:r>
        <w:t>MITRE ATT&amp;CK for ICS (v15): Framework de tácticas y técnicas de ataque específicas para entornos industriales. Complementa ATT&amp;CK Enterprise para los niveles OT.</w:t>
      </w:r>
    </w:p>
    <w:p w14:paraId="3B330981" w14:textId="77777777" w:rsidR="0033729F" w:rsidRDefault="00000000">
      <w:pPr>
        <w:pStyle w:val="ListParagraph"/>
        <w:numPr>
          <w:ilvl w:val="0"/>
          <w:numId w:val="1"/>
        </w:numPr>
        <w:spacing w:before="60" w:after="60" w:line="260" w:lineRule="auto"/>
        <w:jc w:val="both"/>
      </w:pPr>
      <w:r>
        <w:t>Disposición 1/2026 del Centro Nacional de Ciberseguridad (CNC — Argentina): Marco regulatorio nacional aplicable a organizaciones del Sector Público Nacional y proveedores de infraestructura crítica.</w:t>
      </w:r>
    </w:p>
    <w:p w14:paraId="3000617F" w14:textId="77777777" w:rsidR="0033729F" w:rsidRDefault="00000000">
      <w:pPr>
        <w:pStyle w:val="ListParagraph"/>
        <w:numPr>
          <w:ilvl w:val="0"/>
          <w:numId w:val="1"/>
        </w:numPr>
        <w:spacing w:before="60" w:after="60" w:line="260" w:lineRule="auto"/>
        <w:jc w:val="both"/>
      </w:pPr>
      <w:r>
        <w:t>Guía de Notificación y Gestión de Incidentes CERT.ar (IF-2023-69993929): Procedimiento oficial para la notificación de incidentes de ciberseguridad en Argentina (obligación de notificación en menos de 48 horas).</w:t>
      </w:r>
    </w:p>
    <w:p w14:paraId="19A9117E" w14:textId="77777777" w:rsidR="0033729F" w:rsidRDefault="0033729F">
      <w:pPr>
        <w:spacing w:before="2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4C7FFCD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0610C5C6" w14:textId="77777777" w:rsidR="0033729F" w:rsidRDefault="00000000">
            <w:r>
              <w:rPr>
                <w:b/>
                <w:bCs/>
                <w:color w:val="FFFFFF"/>
                <w:sz w:val="26"/>
                <w:szCs w:val="26"/>
              </w:rPr>
              <w:t>CONCLUSIÓN DEL EJERCICIO</w:t>
            </w:r>
          </w:p>
        </w:tc>
      </w:tr>
    </w:tbl>
    <w:p w14:paraId="6513C1FC" w14:textId="77777777" w:rsidR="0033729F" w:rsidRDefault="0033729F">
      <w:pPr>
        <w:spacing w:before="120" w:after="80"/>
      </w:pPr>
    </w:p>
    <w:p w14:paraId="4205C061" w14:textId="77777777" w:rsidR="0033729F" w:rsidRDefault="00000000">
      <w:pPr>
        <w:spacing w:before="100" w:after="80" w:line="276" w:lineRule="auto"/>
        <w:jc w:val="both"/>
      </w:pPr>
      <w:r>
        <w:t>Este ejercicio introduce a los Maestrandos en los desafíos particulares de la convergencia IT/OT: un dominio donde las consecuencias de los incidentes de ciberseguridad trascienden la pérdida de datos para alcanzar la dimensión física — daño a equipos, interrupción de procesos críticos y riesgo para la integridad física del personal.</w:t>
      </w:r>
    </w:p>
    <w:p w14:paraId="71B22F4A" w14:textId="77777777" w:rsidR="0033729F" w:rsidRDefault="0033729F">
      <w:pPr>
        <w:spacing w:before="80" w:after="60"/>
      </w:pPr>
    </w:p>
    <w:p w14:paraId="5BCD12DB" w14:textId="77777777" w:rsidR="0033729F" w:rsidRDefault="00000000">
      <w:pPr>
        <w:spacing w:before="100" w:after="80" w:line="276" w:lineRule="auto"/>
        <w:jc w:val="both"/>
      </w:pPr>
      <w:r>
        <w:t>A diferencia de los entornos IT, los sistemas OT fueron diseñados bajo el paradigma de la disponibilidad y la fiabilidad en tiempo real, sin considerar la exposición a redes corporativas o Internet. La integración IT/OT, impulsada por la Industria 4.0, ha ampliado masivamente la superficie de ataque sin que los controles de seguridad hayan evolucionado al mismo ritmo.</w:t>
      </w:r>
    </w:p>
    <w:p w14:paraId="655947D4" w14:textId="77777777" w:rsidR="0033729F" w:rsidRDefault="0033729F">
      <w:pPr>
        <w:spacing w:before="80" w:after="60"/>
      </w:pPr>
    </w:p>
    <w:p w14:paraId="2D257BEA" w14:textId="77777777" w:rsidR="0033729F" w:rsidRDefault="00000000">
      <w:pPr>
        <w:spacing w:before="100" w:after="80" w:line="276" w:lineRule="auto"/>
        <w:jc w:val="both"/>
      </w:pPr>
      <w:r>
        <w:t>Al finalizar el ejercicio, los Maestrandos habrán desarrollado la capacidad de: analizar riesgos en entornos convergentes IT/OT, comprender las restricciones operativas que diferencian la seguridad industrial de la seguridad corporativa, y proponer arquitecturas de defensa alineadas con estándares internacionales (ISA/IEC 62443, NIST SP 800-82) y la normativa nacional vigente (CNC, CERT.ar).</w:t>
      </w:r>
    </w:p>
    <w:p w14:paraId="120F8911" w14:textId="77777777" w:rsidR="0033729F" w:rsidRDefault="0033729F">
      <w:pPr>
        <w:spacing w:before="20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729F" w14:paraId="10F3E5BF" w14:textId="77777777">
        <w:tblPrEx>
          <w:tblCellMar>
            <w:top w:w="0" w:type="dxa"/>
            <w:bottom w:w="0" w:type="dxa"/>
          </w:tblCellMar>
        </w:tblPrEx>
        <w:tc>
          <w:tcPr>
            <w:tcW w:w="10080" w:type="dxa"/>
            <w:tcBorders>
              <w:top w:val="single" w:sz="6" w:space="0" w:color="2E75B6"/>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790A0878" w14:textId="77777777" w:rsidR="0033729F" w:rsidRDefault="00000000">
            <w:pPr>
              <w:jc w:val="center"/>
            </w:pPr>
            <w:r>
              <w:rPr>
                <w:color w:val="1F3864"/>
                <w:sz w:val="17"/>
                <w:szCs w:val="17"/>
              </w:rPr>
              <w:t>Facultad de Ingeniería del Ejército (FIE)  ·  Maestría en Ciberseguridad  ·  Práctica de Gestión de Riesgos IT/OT</w:t>
            </w:r>
          </w:p>
        </w:tc>
      </w:tr>
    </w:tbl>
    <w:p w14:paraId="77C1977E" w14:textId="77777777" w:rsidR="00C015F4" w:rsidRDefault="00C015F4"/>
    <w:sectPr w:rsidR="00C015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5533"/>
    <w:multiLevelType w:val="hybridMultilevel"/>
    <w:tmpl w:val="A59E1552"/>
    <w:lvl w:ilvl="0" w:tplc="73CE3EDC">
      <w:start w:val="1"/>
      <w:numFmt w:val="decimal"/>
      <w:lvlText w:val="%1."/>
      <w:lvlJc w:val="left"/>
      <w:pPr>
        <w:ind w:left="360" w:hanging="360"/>
      </w:pPr>
    </w:lvl>
    <w:lvl w:ilvl="1" w:tplc="E5D26A9E">
      <w:numFmt w:val="decimal"/>
      <w:lvlText w:val=""/>
      <w:lvlJc w:val="left"/>
    </w:lvl>
    <w:lvl w:ilvl="2" w:tplc="B1302D30">
      <w:numFmt w:val="decimal"/>
      <w:lvlText w:val=""/>
      <w:lvlJc w:val="left"/>
    </w:lvl>
    <w:lvl w:ilvl="3" w:tplc="D05A9624">
      <w:numFmt w:val="decimal"/>
      <w:lvlText w:val=""/>
      <w:lvlJc w:val="left"/>
    </w:lvl>
    <w:lvl w:ilvl="4" w:tplc="585AC960">
      <w:numFmt w:val="decimal"/>
      <w:lvlText w:val=""/>
      <w:lvlJc w:val="left"/>
    </w:lvl>
    <w:lvl w:ilvl="5" w:tplc="26481174">
      <w:numFmt w:val="decimal"/>
      <w:lvlText w:val=""/>
      <w:lvlJc w:val="left"/>
    </w:lvl>
    <w:lvl w:ilvl="6" w:tplc="F7F07344">
      <w:numFmt w:val="decimal"/>
      <w:lvlText w:val=""/>
      <w:lvlJc w:val="left"/>
    </w:lvl>
    <w:lvl w:ilvl="7" w:tplc="8DEAD41E">
      <w:numFmt w:val="decimal"/>
      <w:lvlText w:val=""/>
      <w:lvlJc w:val="left"/>
    </w:lvl>
    <w:lvl w:ilvl="8" w:tplc="07EAEBCE">
      <w:numFmt w:val="decimal"/>
      <w:lvlText w:val=""/>
      <w:lvlJc w:val="left"/>
    </w:lvl>
  </w:abstractNum>
  <w:abstractNum w:abstractNumId="1" w15:restartNumberingAfterBreak="0">
    <w:nsid w:val="3F0C6289"/>
    <w:multiLevelType w:val="hybridMultilevel"/>
    <w:tmpl w:val="C9C8721E"/>
    <w:lvl w:ilvl="0" w:tplc="84A651DE">
      <w:start w:val="1"/>
      <w:numFmt w:val="bullet"/>
      <w:lvlText w:val="●"/>
      <w:lvlJc w:val="left"/>
      <w:pPr>
        <w:ind w:left="720" w:hanging="360"/>
      </w:pPr>
    </w:lvl>
    <w:lvl w:ilvl="1" w:tplc="443409AE">
      <w:start w:val="1"/>
      <w:numFmt w:val="bullet"/>
      <w:lvlText w:val="○"/>
      <w:lvlJc w:val="left"/>
      <w:pPr>
        <w:ind w:left="1440" w:hanging="360"/>
      </w:pPr>
    </w:lvl>
    <w:lvl w:ilvl="2" w:tplc="9A22B7F2">
      <w:start w:val="1"/>
      <w:numFmt w:val="bullet"/>
      <w:lvlText w:val="■"/>
      <w:lvlJc w:val="left"/>
      <w:pPr>
        <w:ind w:left="2160" w:hanging="360"/>
      </w:pPr>
    </w:lvl>
    <w:lvl w:ilvl="3" w:tplc="4ADADCE2">
      <w:start w:val="1"/>
      <w:numFmt w:val="bullet"/>
      <w:lvlText w:val="●"/>
      <w:lvlJc w:val="left"/>
      <w:pPr>
        <w:ind w:left="2880" w:hanging="360"/>
      </w:pPr>
    </w:lvl>
    <w:lvl w:ilvl="4" w:tplc="4560F0B6">
      <w:start w:val="1"/>
      <w:numFmt w:val="bullet"/>
      <w:lvlText w:val="○"/>
      <w:lvlJc w:val="left"/>
      <w:pPr>
        <w:ind w:left="3600" w:hanging="360"/>
      </w:pPr>
    </w:lvl>
    <w:lvl w:ilvl="5" w:tplc="070E0CA8">
      <w:start w:val="1"/>
      <w:numFmt w:val="bullet"/>
      <w:lvlText w:val="■"/>
      <w:lvlJc w:val="left"/>
      <w:pPr>
        <w:ind w:left="4320" w:hanging="360"/>
      </w:pPr>
    </w:lvl>
    <w:lvl w:ilvl="6" w:tplc="CEDA1D4A">
      <w:start w:val="1"/>
      <w:numFmt w:val="bullet"/>
      <w:lvlText w:val="●"/>
      <w:lvlJc w:val="left"/>
      <w:pPr>
        <w:ind w:left="5040" w:hanging="360"/>
      </w:pPr>
    </w:lvl>
    <w:lvl w:ilvl="7" w:tplc="E8767FB0">
      <w:start w:val="1"/>
      <w:numFmt w:val="bullet"/>
      <w:lvlText w:val="●"/>
      <w:lvlJc w:val="left"/>
      <w:pPr>
        <w:ind w:left="5760" w:hanging="360"/>
      </w:pPr>
    </w:lvl>
    <w:lvl w:ilvl="8" w:tplc="111EF880">
      <w:start w:val="1"/>
      <w:numFmt w:val="bullet"/>
      <w:lvlText w:val="●"/>
      <w:lvlJc w:val="left"/>
      <w:pPr>
        <w:ind w:left="6480" w:hanging="360"/>
      </w:pPr>
    </w:lvl>
  </w:abstractNum>
  <w:num w:numId="1" w16cid:durableId="10175802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29F"/>
    <w:rsid w:val="0033729F"/>
    <w:rsid w:val="00402DCE"/>
    <w:rsid w:val="00916058"/>
    <w:rsid w:val="00C015F4"/>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2C1B4BCD"/>
  <w15:docId w15:val="{D2380256-E2AC-954E-9E33-9D48018E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2301</Words>
  <Characters>13576</Characters>
  <Application>Microsoft Office Word</Application>
  <DocSecurity>0</DocSecurity>
  <Lines>218</Lines>
  <Paragraphs>93</Paragraphs>
  <ScaleCrop>false</ScaleCrop>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José Benitez</cp:lastModifiedBy>
  <cp:revision>2</cp:revision>
  <dcterms:created xsi:type="dcterms:W3CDTF">2026-06-18T13:37:00Z</dcterms:created>
  <dcterms:modified xsi:type="dcterms:W3CDTF">2026-06-18T13:42:00Z</dcterms:modified>
</cp:coreProperties>
</file>