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F47735"/>
          <w:sz w:val="44"/>
        </w:rPr>
        <w:t>Oben Xmart — Módulo Comercial</w:t>
      </w:r>
    </w:p>
    <w:p>
      <w:r>
        <w:rPr>
          <w:color w:val="1F3B57"/>
          <w:sz w:val="28"/>
        </w:rPr>
        <w:t>Guía paso a paso del demo con el simulador</w:t>
      </w:r>
    </w:p>
    <w:p>
      <w:r>
        <w:rPr>
          <w:b w:val="0"/>
          <w:i/>
        </w:rPr>
        <w:t>Para presentar el flujo completo, de la orden de compra del cliente a la orden de venta activa, sin escribir nada en Oben.</w:t>
      </w:r>
    </w:p>
    <w:p>
      <w:pPr>
        <w:pStyle w:val="Heading2"/>
      </w:pPr>
      <w:r>
        <w:rPr>
          <w:rFonts w:ascii="Calibri" w:hAnsi="Calibri"/>
          <w:color w:val="1F3B57"/>
        </w:rPr>
        <w:t>1. Antes de empezar: qué es real y qué es simulado</w:t>
      </w:r>
    </w:p>
    <w:p>
      <w:r>
        <w:rPr>
          <w:b w:val="0"/>
          <w:i w:val="0"/>
        </w:rPr>
        <w:t>Decirlo al inicio del demo evita confusiones. Este es el estado a la fecha de la guía (22 de octubre de 2026).</w:t>
      </w:r>
    </w:p>
    <w:tbl>
      <w:tblPr>
        <w:tblStyle w:val="TableGrid"/>
        <w:tblW w:type="auto" w:w="0"/>
        <w:tblLook w:firstColumn="1" w:firstRow="1" w:lastColumn="0" w:lastRow="0" w:noHBand="0" w:noVBand="1" w:val="04A0"/>
      </w:tblPr>
      <w:tblGrid>
        <w:gridCol w:w="3249"/>
        <w:gridCol w:w="3249"/>
        <w:gridCol w:w="3249"/>
      </w:tblGrid>
      <w:tr>
        <w:tc>
          <w:tcPr>
            <w:tcW w:type="dxa" w:w="3515"/>
            <w:shd w:val="clear" w:color="auto" w:fill="1F3B57"/>
          </w:tcPr>
          <w:p>
            <w:r/>
            <w:r>
              <w:rPr>
                <w:b/>
                <w:color w:val="FFFFFF"/>
                <w:sz w:val="19"/>
              </w:rPr>
              <w:t>Parte del módulo</w:t>
            </w:r>
          </w:p>
        </w:tc>
        <w:tc>
          <w:tcPr>
            <w:tcW w:type="dxa" w:w="1247"/>
            <w:shd w:val="clear" w:color="auto" w:fill="1F3B57"/>
          </w:tcPr>
          <w:p>
            <w:r/>
            <w:r>
              <w:rPr>
                <w:b/>
                <w:color w:val="FFFFFF"/>
                <w:sz w:val="19"/>
              </w:rPr>
              <w:t>En el demo</w:t>
            </w:r>
          </w:p>
        </w:tc>
        <w:tc>
          <w:tcPr>
            <w:tcW w:type="dxa" w:w="4762"/>
            <w:shd w:val="clear" w:color="auto" w:fill="1F3B57"/>
          </w:tcPr>
          <w:p>
            <w:r/>
            <w:r>
              <w:rPr>
                <w:b/>
                <w:color w:val="FFFFFF"/>
                <w:sz w:val="19"/>
              </w:rPr>
              <w:t>Detalle</w:t>
            </w:r>
          </w:p>
        </w:tc>
      </w:tr>
      <w:tr>
        <w:tc>
          <w:tcPr>
            <w:tcW w:type="dxa" w:w="3515"/>
            <w:shd w:val="clear" w:color="auto" w:fill="E3F4E8"/>
          </w:tcPr>
          <w:p>
            <w:r/>
            <w:r>
              <w:rPr>
                <w:sz w:val="19"/>
              </w:rPr>
              <w:t>Consultas de Oben: clientes, referencias, partidas, ciudades, validación de empaque y parametrización cliente-destino</w:t>
            </w:r>
          </w:p>
        </w:tc>
        <w:tc>
          <w:tcPr>
            <w:tcW w:type="dxa" w:w="1247"/>
            <w:shd w:val="clear" w:color="auto" w:fill="E3F4E8"/>
          </w:tcPr>
          <w:p>
            <w:r/>
            <w:r>
              <w:rPr>
                <w:sz w:val="19"/>
              </w:rPr>
              <w:t>REAL</w:t>
            </w:r>
          </w:p>
        </w:tc>
        <w:tc>
          <w:tcPr>
            <w:tcW w:type="dxa" w:w="4762"/>
            <w:shd w:val="clear" w:color="auto" w:fill="E3F4E8"/>
          </w:tcPr>
          <w:p>
            <w:r/>
            <w:r>
              <w:rPr>
                <w:sz w:val="19"/>
              </w:rPr>
              <w:t>Datos reales del servidor de pruebas de Oben. La parametrización quedó conectada el 22-oct con el ejemplo de José.</w:t>
            </w:r>
          </w:p>
        </w:tc>
      </w:tr>
      <w:tr>
        <w:tc>
          <w:tcPr>
            <w:tcW w:type="dxa" w:w="3515"/>
            <w:shd w:val="clear" w:color="auto" w:fill="EFE6F8"/>
          </w:tcPr>
          <w:p>
            <w:r/>
            <w:r>
              <w:rPr>
                <w:sz w:val="19"/>
              </w:rPr>
              <w:t>Cliente piloto, equivalencias y órdenes de compra de ejemplo</w:t>
            </w:r>
          </w:p>
        </w:tc>
        <w:tc>
          <w:tcPr>
            <w:tcW w:type="dxa" w:w="1247"/>
            <w:shd w:val="clear" w:color="auto" w:fill="EFE6F8"/>
          </w:tcPr>
          <w:p>
            <w:r/>
            <w:r>
              <w:rPr>
                <w:sz w:val="19"/>
              </w:rPr>
              <w:t>SIMULADO</w:t>
            </w:r>
          </w:p>
        </w:tc>
        <w:tc>
          <w:tcPr>
            <w:tcW w:type="dxa" w:w="4762"/>
            <w:shd w:val="clear" w:color="auto" w:fill="EFE6F8"/>
          </w:tcPr>
          <w:p>
            <w:r/>
            <w:r>
              <w:rPr>
                <w:sz w:val="19"/>
              </w:rPr>
              <w:t>Dominio .example y referencias "SIM-": nunca se confunden con datos reales ni envían correo a nadie.</w:t>
            </w:r>
          </w:p>
        </w:tc>
      </w:tr>
      <w:tr>
        <w:tc>
          <w:tcPr>
            <w:tcW w:type="dxa" w:w="3515"/>
            <w:shd w:val="clear" w:color="auto" w:fill="EFE6F8"/>
          </w:tcPr>
          <w:p>
            <w:r/>
            <w:r>
              <w:rPr>
                <w:sz w:val="19"/>
              </w:rPr>
              <w:t>Crear la Proforma, aprobar, activar la orden de venta</w:t>
            </w:r>
          </w:p>
        </w:tc>
        <w:tc>
          <w:tcPr>
            <w:tcW w:type="dxa" w:w="1247"/>
            <w:shd w:val="clear" w:color="auto" w:fill="EFE6F8"/>
          </w:tcPr>
          <w:p>
            <w:r/>
            <w:r>
              <w:rPr>
                <w:sz w:val="19"/>
              </w:rPr>
              <w:t>SIMULADO</w:t>
            </w:r>
          </w:p>
        </w:tc>
        <w:tc>
          <w:tcPr>
            <w:tcW w:type="dxa" w:w="4762"/>
            <w:shd w:val="clear" w:color="auto" w:fill="EFE6F8"/>
          </w:tcPr>
          <w:p>
            <w:r/>
            <w:r>
              <w:rPr>
                <w:sz w:val="19"/>
              </w:rPr>
              <w:t>OBEN MAS está simulado. Las 4 APIs de escritura de Oben existen, pero el encabezado de la Proforma responde error 400 y está en revisión con José.</w:t>
            </w:r>
          </w:p>
        </w:tc>
      </w:tr>
      <w:tr>
        <w:tc>
          <w:tcPr>
            <w:tcW w:type="dxa" w:w="3515"/>
            <w:shd w:val="clear" w:color="auto" w:fill="EFE6F8"/>
          </w:tcPr>
          <w:p>
            <w:r/>
            <w:r>
              <w:rPr>
                <w:sz w:val="19"/>
              </w:rPr>
              <w:t>Cubicación de Planeación y liberación de Cartera</w:t>
            </w:r>
          </w:p>
        </w:tc>
        <w:tc>
          <w:tcPr>
            <w:tcW w:type="dxa" w:w="1247"/>
            <w:shd w:val="clear" w:color="auto" w:fill="EFE6F8"/>
          </w:tcPr>
          <w:p>
            <w:r/>
            <w:r>
              <w:rPr>
                <w:sz w:val="19"/>
              </w:rPr>
              <w:t>SIMULADO</w:t>
            </w:r>
          </w:p>
        </w:tc>
        <w:tc>
          <w:tcPr>
            <w:tcW w:type="dxa" w:w="4762"/>
            <w:shd w:val="clear" w:color="auto" w:fill="EFE6F8"/>
          </w:tcPr>
          <w:p>
            <w:r/>
            <w:r>
              <w:rPr>
                <w:sz w:val="19"/>
              </w:rPr>
              <w:t>En la vida real lo hacen personas en OBEN MAS; en el demo se activan con botones del simulador. La API de cartera todavía no existe.</w:t>
            </w:r>
          </w:p>
        </w:tc>
      </w:tr>
    </w:tbl>
    <w:p/>
    <w:p>
      <w:r>
        <w:rPr>
          <w:b w:val="0"/>
          <w:i w:val="0"/>
          <w:sz w:val="20"/>
        </w:rPr>
        <w:t>Todo lo simulado se ve marcado con una etiqueta morada "SIMULADO" en la pantalla. El sistema tiene un candado: si OBEN MAS estuviera conectado de verdad, los datos simulados no se escriben y el simulador se rechaza.</w:t>
      </w:r>
    </w:p>
    <w:p>
      <w:pPr>
        <w:pStyle w:val="Heading2"/>
      </w:pPr>
      <w:r>
        <w:rPr>
          <w:rFonts w:ascii="Calibri" w:hAnsi="Calibri"/>
          <w:color w:val="1F3B57"/>
        </w:rPr>
        <w:t>2. Preparación (5 minutos antes)</w:t>
      </w:r>
    </w:p>
    <w:p>
      <w:pPr>
        <w:pStyle w:val="ListBullet"/>
      </w:pPr>
      <w:r>
        <w:t>Tener la VPN de Oben conectada y el guardián encendido (la app abre en http://127.0.0.1:18100). José y el equipo de Oben entran por su propia dirección.</w:t>
      </w:r>
    </w:p>
    <w:p>
      <w:pPr>
        <w:pStyle w:val="ListBullet"/>
      </w:pPr>
      <w:r>
        <w:t>Entrar con un usuario con perfil de administrador (por ejemplo, el de Jorge).</w:t>
      </w:r>
    </w:p>
    <w:p>
      <w:pPr>
        <w:pStyle w:val="ListBullet"/>
      </w:pPr>
      <w:r>
        <w:t>Abrir el menú Comercial (primera opción del grupo comercial en la barra izquierda). Ahí están las pestañas: Tablero · Casos · Nueva orden de compra · Parametrización de Oben · Configuración.</w:t>
      </w:r>
    </w:p>
    <w:p>
      <w:pPr>
        <w:pStyle w:val="ListBullet"/>
      </w:pPr>
      <w:r>
        <w:t>Verificar en Configuración que el modo sea "supervisado" (es el valor por defecto, el "freno de mano": cada escritura en OBEN MAS espera la confirmación de una persona, y eso es lo que se muestra en el demo).</w:t>
      </w:r>
    </w:p>
    <w:p>
      <w:pPr>
        <w:pStyle w:val="Heading2"/>
      </w:pPr>
      <w:r>
        <w:rPr>
          <w:rFonts w:ascii="Calibri" w:hAnsi="Calibri"/>
          <w:color w:val="1F3B57"/>
        </w:rPr>
        <w:t>3. El recorrido (unos 15 minutos)</w:t>
      </w:r>
    </w:p>
    <w:p>
      <w:r>
        <w:rPr>
          <w:b w:val="0"/>
          <w:i w:val="0"/>
        </w:rPr>
        <w:t>Orden sugerido: preparación → la orden de compra llega → el sistema la entiende → la Proforma se crea → Planeación cubica → el cliente aprueba → Cartera libera → la orden queda activa.</w:t>
      </w:r>
    </w:p>
    <w:p>
      <w:r>
        <w:rPr>
          <w:b/>
          <w:color w:val="1F3B57"/>
          <w:sz w:val="24"/>
        </w:rPr>
        <w:t>Paso 1 — Cargar el cliente y las equivalencias de ejemplo</w:t>
      </w:r>
    </w:p>
    <w:p>
      <w:r>
        <w:rPr>
          <w:b/>
        </w:rPr>
        <w:t xml:space="preserve">Qué haces: </w:t>
      </w:r>
      <w:r>
        <w:t>Pestaña Tablero, al final de la página, panel morado "Simulador". Clic en "Cargar cliente y equivalencias demo".</w:t>
      </w:r>
    </w:p>
    <w:p>
      <w:r>
        <w:rPr>
          <w:b/>
        </w:rPr>
        <w:t xml:space="preserve">Qué se ve: </w:t>
      </w:r>
      <w:r>
        <w:t>Mensaje verde: "Datos demo listos". Queda un cliente "CLIENTE SIMULADO — PILOTO" con 10 equivalencias (por ejemplo, "BOPP 15" → SIM-SC15TN). Si se repite el clic no duplica nada.</w:t>
      </w:r>
    </w:p>
    <w:p>
      <w:r>
        <w:rPr>
          <w:b/>
          <w:color w:val="1F3B57"/>
          <w:sz w:val="24"/>
        </w:rPr>
        <w:t>Paso 2 — Recibir una orden de compra</w:t>
      </w:r>
    </w:p>
    <w:p>
      <w:r>
        <w:rPr>
          <w:b/>
        </w:rPr>
        <w:t xml:space="preserve">Qué haces: </w:t>
      </w:r>
      <w:r>
        <w:t>Mismo panel, clic en "Recibir una OC de ejemplo". Es lo mismo que pasa cuando el cliente la manda por correo.</w:t>
      </w:r>
    </w:p>
    <w:p>
      <w:r>
        <w:rPr>
          <w:b/>
        </w:rPr>
        <w:t xml:space="preserve">Qué se ve: </w:t>
      </w:r>
      <w:r>
        <w:t>Mensaje: "Orden de compra de ejemplo recibida". La OC trae 3 renglones: BOPP 15 (1.000 kg, 425 mm, USD 2,85), Poliéster 15 g (2.204,6 libras, ancho 17 pulgadas) y BOPP MATE 20 (500 kg, ancho 60 cm).</w:t>
      </w:r>
    </w:p>
    <w:p>
      <w:r>
        <w:rPr>
          <w:b/>
          <w:color w:val="1F3B57"/>
          <w:sz w:val="24"/>
        </w:rPr>
        <w:t>Paso 3 — Abrir el caso y ver cómo el sistema leyó la orden</w:t>
      </w:r>
    </w:p>
    <w:p>
      <w:r>
        <w:rPr>
          <w:b/>
        </w:rPr>
        <w:t xml:space="preserve">Qué haces: </w:t>
      </w:r>
      <w:r>
        <w:t>Pestaña Casos → clic en el caso nuevo (estado "OC recibida").</w:t>
      </w:r>
    </w:p>
    <w:p>
      <w:r>
        <w:rPr>
          <w:b/>
        </w:rPr>
        <w:t xml:space="preserve">Qué se ve: </w:t>
      </w:r>
      <w:r>
        <w:t>El sistema ya extrajo el cliente, la fecha requerida, la dirección de entrega y las 3 líneas, y convirtió las unidades: libras a kilos y pulgadas y centímetros a milímetros (las conversiones se listan). Cada línea muestra la referencia de Oben que le tocó según la tabla de equivalencias. Lo que falte o dude aparece en "faltantes" y "atención". Aquí se puede mostrar cómo corregir una línea, con la opción de guardar la equivalencia para la próxima vez.</w:t>
      </w:r>
    </w:p>
    <w:p>
      <w:r>
        <w:rPr>
          <w:b/>
          <w:color w:val="1F3B57"/>
          <w:sz w:val="24"/>
        </w:rPr>
        <w:t>Paso 4 — Confirmar: el "freno de mano"</w:t>
      </w:r>
    </w:p>
    <w:p>
      <w:r>
        <w:rPr>
          <w:b/>
        </w:rPr>
        <w:t xml:space="preserve">Qué haces: </w:t>
      </w:r>
      <w:r>
        <w:t>Abajo, la acción pendiente dice "crear proforma". Clic en "Confirmar".</w:t>
      </w:r>
    </w:p>
    <w:p>
      <w:r>
        <w:rPr>
          <w:b/>
        </w:rPr>
        <w:t xml:space="preserve">Qué se ve: </w:t>
      </w:r>
      <w:r>
        <w:t>El caso pasa a "Sin cubicar" y aparece el número de la Proforma (formato SIM-95001). En la bitácora queda quién confirmó y cuándo. Mensaje clave para el demo: en modo supervisado, nada se escribe en OBEN MAS sin que una persona lo apruebe.</w:t>
      </w:r>
    </w:p>
    <w:p>
      <w:r>
        <w:rPr>
          <w:b/>
          <w:color w:val="1F3B57"/>
          <w:sz w:val="24"/>
        </w:rPr>
        <w:t>Paso 5 — Planeación cubica</w:t>
      </w:r>
    </w:p>
    <w:p>
      <w:r>
        <w:rPr>
          <w:b/>
        </w:rPr>
        <w:t xml:space="preserve">Qué haces: </w:t>
      </w:r>
      <w:r>
        <w:t>Volver al Tablero. En el simulador escribir la Proforma (ej. SIM-95001), clic en "Planeación cubica" y luego en "Procesar ahora".</w:t>
      </w:r>
    </w:p>
    <w:p>
      <w:r>
        <w:rPr>
          <w:b/>
        </w:rPr>
        <w:t xml:space="preserve">Qué se ve: </w:t>
      </w:r>
      <w:r>
        <w:t>El caso pasa a "Cubicada". En la vida real esto lo hace Planeación en OBEN MAS y el sistema se entera solo cada minuto; "Procesar ahora" evita esperar durante el demo.</w:t>
      </w:r>
    </w:p>
    <w:p>
      <w:r>
        <w:rPr>
          <w:b/>
          <w:color w:val="1F3B57"/>
          <w:sz w:val="24"/>
        </w:rPr>
        <w:t>Paso 6 — Enviar la Proforma al cliente</w:t>
      </w:r>
    </w:p>
    <w:p>
      <w:r>
        <w:rPr>
          <w:b/>
        </w:rPr>
        <w:t xml:space="preserve">Qué haces: </w:t>
      </w:r>
      <w:r>
        <w:t>En el caso, clic en "Enviar Proforma al cliente".</w:t>
      </w:r>
    </w:p>
    <w:p>
      <w:r>
        <w:rPr>
          <w:b/>
        </w:rPr>
        <w:t xml:space="preserve">Qué se ve: </w:t>
      </w:r>
      <w:r>
        <w:t>El estado pasa a "Enviada al cliente". Se genera el correo con la Proforma en PDF para el contacto del cliente (en el demo es una dirección .example: no sale a nadie). Si el cliente no responde, el sistema le envía recordatorios para firmar según lo configurado.</w:t>
      </w:r>
    </w:p>
    <w:p>
      <w:r>
        <w:rPr>
          <w:b/>
          <w:color w:val="1F3B57"/>
          <w:sz w:val="24"/>
        </w:rPr>
        <w:t>Paso 7 — El cliente aprueba</w:t>
      </w:r>
    </w:p>
    <w:p>
      <w:r>
        <w:rPr>
          <w:b/>
        </w:rPr>
        <w:t xml:space="preserve">Qué haces: </w:t>
      </w:r>
      <w:r>
        <w:t>En el caso, bloque "Registrar respuesta del cliente": elegir "Aprueba", escribir una nota (por ejemplo, "Aprobó por WhatsApp") y clic en "Registrar". Después, "Confirmar" en la acción pendiente "aprobar".</w:t>
      </w:r>
    </w:p>
    <w:p>
      <w:r>
        <w:rPr>
          <w:b/>
        </w:rPr>
        <w:t xml:space="preserve">Qué se ve: </w:t>
      </w:r>
      <w:r>
        <w:t>La orden de venta queda "OV retenida (cartera)": esperando que Cartera libere el crédito. El sistema avisa a Cartera y empieza a hacer seguimiento al comercial mientras no libere.</w:t>
      </w:r>
    </w:p>
    <w:p>
      <w:r>
        <w:rPr>
          <w:b/>
          <w:color w:val="1F3B57"/>
          <w:sz w:val="24"/>
        </w:rPr>
        <w:t>Paso 8 — Cartera libera</w:t>
      </w:r>
    </w:p>
    <w:p>
      <w:r>
        <w:rPr>
          <w:b/>
        </w:rPr>
        <w:t xml:space="preserve">Qué haces: </w:t>
      </w:r>
      <w:r>
        <w:t>Tablero → simulador: con la misma Proforma, clic en "Cartera libera" y luego en "Procesar ahora". En el caso, confirmar la acción pendiente "activar".</w:t>
      </w:r>
    </w:p>
    <w:p>
      <w:r>
        <w:rPr>
          <w:b/>
        </w:rPr>
        <w:t xml:space="preserve">Qué se ve: </w:t>
      </w:r>
      <w:r>
        <w:t>Estado "OV activa": comienza producción. Se avisa al comercial por correo. El caso queda con todas las fechas del recorrido.</w:t>
      </w:r>
    </w:p>
    <w:p>
      <w:r>
        <w:rPr>
          <w:b/>
          <w:color w:val="1F3B57"/>
          <w:sz w:val="24"/>
        </w:rPr>
        <w:t>Paso 9 — Ver el tablero</w:t>
      </w:r>
    </w:p>
    <w:p>
      <w:r>
        <w:rPr>
          <w:b/>
        </w:rPr>
        <w:t xml:space="preserve">Qué haces: </w:t>
      </w:r>
      <w:r>
        <w:t>Volver a la pestaña Tablero.</w:t>
      </w:r>
    </w:p>
    <w:p>
      <w:r>
        <w:rPr>
          <w:b/>
        </w:rPr>
        <w:t xml:space="preserve">Qué se ve: </w:t>
      </w:r>
      <w:r>
        <w:t>El embudo por etapa (OC recibida → sin cubicar → cubicada → enviada → retenida → activa), los casos que requieren atención y los tiempos promedio entre etapas (OC → Proforma, Proforma → cubicada, envío → aprobación, retenida → liberada, OC → OV activa).</w:t>
      </w:r>
    </w:p>
    <w:p>
      <w:pPr>
        <w:pStyle w:val="Heading2"/>
      </w:pPr>
      <w:r>
        <w:rPr>
          <w:rFonts w:ascii="Calibri" w:hAnsi="Calibri"/>
          <w:color w:val="1F3B57"/>
        </w:rPr>
        <w:t>4. Escenarios extra (si hay tiempo o preguntas)</w:t>
      </w:r>
    </w:p>
    <w:tbl>
      <w:tblPr>
        <w:tblStyle w:val="TableGrid"/>
        <w:tblW w:type="auto" w:w="0"/>
        <w:tblLook w:firstColumn="1" w:firstRow="1" w:lastColumn="0" w:lastRow="0" w:noHBand="0" w:noVBand="1" w:val="04A0"/>
      </w:tblPr>
      <w:tblGrid>
        <w:gridCol w:w="3249"/>
        <w:gridCol w:w="3249"/>
        <w:gridCol w:w="3249"/>
      </w:tblGrid>
      <w:tr>
        <w:tc>
          <w:tcPr>
            <w:tcW w:type="dxa" w:w="2268"/>
            <w:shd w:val="clear" w:color="auto" w:fill="1F3B57"/>
          </w:tcPr>
          <w:p>
            <w:r/>
            <w:r>
              <w:rPr>
                <w:b/>
                <w:color w:val="FFFFFF"/>
                <w:sz w:val="19"/>
              </w:rPr>
              <w:t>Escenario</w:t>
            </w:r>
          </w:p>
        </w:tc>
        <w:tc>
          <w:tcPr>
            <w:tcW w:type="dxa" w:w="3628"/>
            <w:shd w:val="clear" w:color="auto" w:fill="1F3B57"/>
          </w:tcPr>
          <w:p>
            <w:r/>
            <w:r>
              <w:rPr>
                <w:b/>
                <w:color w:val="FFFFFF"/>
                <w:sz w:val="19"/>
              </w:rPr>
              <w:t>Cómo mostrarlo</w:t>
            </w:r>
          </w:p>
        </w:tc>
        <w:tc>
          <w:tcPr>
            <w:tcW w:type="dxa" w:w="3628"/>
            <w:shd w:val="clear" w:color="auto" w:fill="1F3B57"/>
          </w:tcPr>
          <w:p>
            <w:r/>
            <w:r>
              <w:rPr>
                <w:b/>
                <w:color w:val="FFFFFF"/>
                <w:sz w:val="19"/>
              </w:rPr>
              <w:t>Qué pasa</w:t>
            </w:r>
          </w:p>
        </w:tc>
      </w:tr>
      <w:tr>
        <w:tc>
          <w:tcPr>
            <w:tcW w:type="dxa" w:w="2268"/>
          </w:tcPr>
          <w:p>
            <w:r/>
            <w:r>
              <w:rPr>
                <w:sz w:val="19"/>
              </w:rPr>
              <w:t>El cliente rechaza</w:t>
            </w:r>
          </w:p>
        </w:tc>
        <w:tc>
          <w:tcPr>
            <w:tcW w:type="dxa" w:w="3628"/>
          </w:tcPr>
          <w:p>
            <w:r/>
            <w:r>
              <w:rPr>
                <w:sz w:val="19"/>
              </w:rPr>
              <w:t>En el paso 7 elegir "Rechaza" y confirmar</w:t>
            </w:r>
          </w:p>
        </w:tc>
        <w:tc>
          <w:tcPr>
            <w:tcW w:type="dxa" w:w="3628"/>
          </w:tcPr>
          <w:p>
            <w:r/>
            <w:r>
              <w:rPr>
                <w:sz w:val="19"/>
              </w:rPr>
              <w:t>La Proforma se anula, el caso queda "Rechazada" y se avisa al comercial.</w:t>
            </w:r>
          </w:p>
        </w:tc>
      </w:tr>
      <w:tr>
        <w:tc>
          <w:tcPr>
            <w:tcW w:type="dxa" w:w="2268"/>
          </w:tcPr>
          <w:p>
            <w:r/>
            <w:r>
              <w:rPr>
                <w:sz w:val="19"/>
              </w:rPr>
              <w:t>El cliente pide cambios</w:t>
            </w:r>
          </w:p>
        </w:tc>
        <w:tc>
          <w:tcPr>
            <w:tcW w:type="dxa" w:w="3628"/>
          </w:tcPr>
          <w:p>
            <w:r/>
            <w:r>
              <w:rPr>
                <w:sz w:val="19"/>
              </w:rPr>
              <w:t>En el paso 7 elegir "Pide modificar" y escribir las nuevas líneas, una por renglón: "BOPP 15; 2000; 425"</w:t>
            </w:r>
          </w:p>
        </w:tc>
        <w:tc>
          <w:tcPr>
            <w:tcW w:type="dxa" w:w="3628"/>
          </w:tcPr>
          <w:p>
            <w:r/>
            <w:r>
              <w:rPr>
                <w:sz w:val="19"/>
              </w:rPr>
              <w:t>La Proforma se modifica y vuelve a "Sin cubicar" para que Planeación cubique otra vez.</w:t>
            </w:r>
          </w:p>
        </w:tc>
      </w:tr>
      <w:tr>
        <w:tc>
          <w:tcPr>
            <w:tcW w:type="dxa" w:w="2268"/>
          </w:tcPr>
          <w:p>
            <w:r/>
            <w:r>
              <w:rPr>
                <w:sz w:val="19"/>
              </w:rPr>
              <w:t>Cambia la fecha de entrega</w:t>
            </w:r>
          </w:p>
        </w:tc>
        <w:tc>
          <w:tcPr>
            <w:tcW w:type="dxa" w:w="3628"/>
          </w:tcPr>
          <w:p>
            <w:r/>
            <w:r>
              <w:rPr>
                <w:sz w:val="19"/>
              </w:rPr>
              <w:t>Simulador: elegir fecha y clic en "Cambiar entrega"</w:t>
            </w:r>
          </w:p>
        </w:tc>
        <w:tc>
          <w:tcPr>
            <w:tcW w:type="dxa" w:w="3628"/>
          </w:tcPr>
          <w:p>
            <w:r/>
            <w:r>
              <w:rPr>
                <w:sz w:val="19"/>
              </w:rPr>
              <w:t>El caso registra el historial de fechas de entrega.</w:t>
            </w:r>
          </w:p>
        </w:tc>
      </w:tr>
      <w:tr>
        <w:tc>
          <w:tcPr>
            <w:tcW w:type="dxa" w:w="2268"/>
          </w:tcPr>
          <w:p>
            <w:r/>
            <w:r>
              <w:rPr>
                <w:sz w:val="19"/>
              </w:rPr>
              <w:t>Producir No Despachar</w:t>
            </w:r>
          </w:p>
        </w:tc>
        <w:tc>
          <w:tcPr>
            <w:tcW w:type="dxa" w:w="3628"/>
          </w:tcPr>
          <w:p>
            <w:r/>
            <w:r>
              <w:rPr>
                <w:sz w:val="19"/>
              </w:rPr>
              <w:t>Simulador: clic en "Producir No Despachar"</w:t>
            </w:r>
          </w:p>
        </w:tc>
        <w:tc>
          <w:tcPr>
            <w:tcW w:type="dxa" w:w="3628"/>
          </w:tcPr>
          <w:p>
            <w:r/>
            <w:r>
              <w:rPr>
                <w:sz w:val="19"/>
              </w:rPr>
              <w:t>El simulador marca la orden como "Producir No Despachar", un control que en la vida real se maneja en OBEN MAS. Mostrarlo solo si preguntan.</w:t>
            </w:r>
          </w:p>
        </w:tc>
      </w:tr>
      <w:tr>
        <w:tc>
          <w:tcPr>
            <w:tcW w:type="dxa" w:w="2268"/>
          </w:tcPr>
          <w:p>
            <w:r/>
            <w:r>
              <w:rPr>
                <w:sz w:val="19"/>
              </w:rPr>
              <w:t>Dar de baja un caso</w:t>
            </w:r>
          </w:p>
        </w:tc>
        <w:tc>
          <w:tcPr>
            <w:tcW w:type="dxa" w:w="3628"/>
          </w:tcPr>
          <w:p>
            <w:r/>
            <w:r>
              <w:rPr>
                <w:sz w:val="19"/>
              </w:rPr>
              <w:t>Botón rojo "Dar de baja", con el motivo</w:t>
            </w:r>
          </w:p>
        </w:tc>
        <w:tc>
          <w:tcPr>
            <w:tcW w:type="dxa" w:w="3628"/>
          </w:tcPr>
          <w:p>
            <w:r/>
            <w:r>
              <w:rPr>
                <w:sz w:val="19"/>
              </w:rPr>
              <w:t>Queda anulado con el motivo en la bitácora.</w:t>
            </w:r>
          </w:p>
        </w:tc>
      </w:tr>
    </w:tbl>
    <w:p/>
    <w:p>
      <w:pPr>
        <w:pStyle w:val="Heading2"/>
      </w:pPr>
      <w:r>
        <w:rPr>
          <w:rFonts w:ascii="Calibri" w:hAnsi="Calibri"/>
          <w:color w:val="1F3B57"/>
        </w:rPr>
        <w:t>5. Parte con datos reales: Parametrización de Oben</w:t>
      </w:r>
    </w:p>
    <w:p>
      <w:r>
        <w:rPr>
          <w:b w:val="0"/>
          <w:i w:val="0"/>
        </w:rPr>
        <w:t>Esta pestaña muestra lo que Comercial ya dejó definido en Oben para cada cliente y destino. Son datos reales, no del simulador. Se usa para llenar la Proforma sin volver a digitar condiciones.</w:t>
      </w:r>
    </w:p>
    <w:p>
      <w:r>
        <w:rPr>
          <w:b/>
          <w:color w:val="1F3B57"/>
          <w:sz w:val="24"/>
        </w:rPr>
        <w:t>Paso 10 — Consultar la parametrización</w:t>
      </w:r>
    </w:p>
    <w:p>
      <w:r>
        <w:rPr>
          <w:b/>
        </w:rPr>
        <w:t xml:space="preserve">Qué haces: </w:t>
      </w:r>
      <w:r>
        <w:t>Pestaña "Parametrización de Oben". Buscar "OBEN US" (mínimo 3 letras) → elegir el cliente → en el destino "ALADDIN PACKAGING LLC." clic en "Ver".</w:t>
      </w:r>
    </w:p>
    <w:p>
      <w:r>
        <w:rPr>
          <w:b/>
        </w:rPr>
        <w:t xml:space="preserve">Qué se ve: </w:t>
      </w:r>
      <w:r>
        <w:t>Aparecen la condición comercial (90 DAYS FROM DATE OF BL), moneda (dólares), Incoterm (DDP), desde Cartagena, hasta el destino en Newburgh NY, puerto de New York, peso bruto máximo (24.493,97 kg), etiquetas, notas operativas (máximo 1 empalme por bobina, etc.) y los correos del cliente y del comercial. Mostrar que son los mismos datos que José entregó como ejemplo.</w:t>
      </w:r>
    </w:p>
    <w:p>
      <w:pPr>
        <w:pStyle w:val="Heading2"/>
      </w:pPr>
      <w:r>
        <w:rPr>
          <w:rFonts w:ascii="Calibri" w:hAnsi="Calibri"/>
          <w:color w:val="1F3B57"/>
        </w:rPr>
        <w:t>6. Preguntas que pueden hacer</w:t>
      </w:r>
    </w:p>
    <w:tbl>
      <w:tblPr>
        <w:tblStyle w:val="TableGrid"/>
        <w:tblW w:type="auto" w:w="0"/>
        <w:tblLook w:firstColumn="1" w:firstRow="1" w:lastColumn="0" w:lastRow="0" w:noHBand="0" w:noVBand="1" w:val="04A0"/>
      </w:tblPr>
      <w:tblGrid>
        <w:gridCol w:w="4873"/>
        <w:gridCol w:w="4873"/>
      </w:tblGrid>
      <w:tr>
        <w:tc>
          <w:tcPr>
            <w:tcW w:type="dxa" w:w="3402"/>
            <w:shd w:val="clear" w:color="auto" w:fill="1F3B57"/>
          </w:tcPr>
          <w:p>
            <w:r/>
            <w:r>
              <w:rPr>
                <w:b/>
                <w:color w:val="FFFFFF"/>
                <w:sz w:val="19"/>
              </w:rPr>
              <w:t>Pregunta</w:t>
            </w:r>
          </w:p>
        </w:tc>
        <w:tc>
          <w:tcPr>
            <w:tcW w:type="dxa" w:w="6123"/>
            <w:shd w:val="clear" w:color="auto" w:fill="1F3B57"/>
          </w:tcPr>
          <w:p>
            <w:r/>
            <w:r>
              <w:rPr>
                <w:b/>
                <w:color w:val="FFFFFF"/>
                <w:sz w:val="19"/>
              </w:rPr>
              <w:t>Respuesta</w:t>
            </w:r>
          </w:p>
        </w:tc>
      </w:tr>
      <w:tr>
        <w:tc>
          <w:tcPr>
            <w:tcW w:type="dxa" w:w="3402"/>
          </w:tcPr>
          <w:p>
            <w:r/>
            <w:r>
              <w:rPr>
                <w:sz w:val="19"/>
              </w:rPr>
              <w:t>¿Esto ya crea la Proforma en Oben de verdad?</w:t>
            </w:r>
          </w:p>
        </w:tc>
        <w:tc>
          <w:tcPr>
            <w:tcW w:type="dxa" w:w="6123"/>
          </w:tcPr>
          <w:p>
            <w:r/>
            <w:r>
              <w:rPr>
                <w:sz w:val="19"/>
              </w:rPr>
              <w:t>Todavía no. Las 4 APIs de escritura existen en el servidor de pruebas de Oben; el encabezado responde 400 y está pendiente un ejemplo completo de José. Apenas funcione, se conecta y el flujo del demo pasa de simulado a real sin cambiar la pantalla.</w:t>
            </w:r>
          </w:p>
        </w:tc>
      </w:tr>
      <w:tr>
        <w:tc>
          <w:tcPr>
            <w:tcW w:type="dxa" w:w="3402"/>
          </w:tcPr>
          <w:p>
            <w:r/>
            <w:r>
              <w:rPr>
                <w:sz w:val="19"/>
              </w:rPr>
              <w:t>¿Y la cartera?</w:t>
            </w:r>
          </w:p>
        </w:tc>
        <w:tc>
          <w:tcPr>
            <w:tcW w:type="dxa" w:w="6123"/>
          </w:tcPr>
          <w:p>
            <w:r/>
            <w:r>
              <w:rPr>
                <w:sz w:val="19"/>
              </w:rPr>
              <w:t>La API de Cartera está en construcción en Oben. Mientras tanto, la liberación se simula con un botón; en la vida real el sistema la consulta cada minuto.</w:t>
            </w:r>
          </w:p>
        </w:tc>
      </w:tr>
      <w:tr>
        <w:tc>
          <w:tcPr>
            <w:tcW w:type="dxa" w:w="3402"/>
          </w:tcPr>
          <w:p>
            <w:r/>
            <w:r>
              <w:rPr>
                <w:sz w:val="19"/>
              </w:rPr>
              <w:t>¿Puede mandar un correo a un cliente real por error?</w:t>
            </w:r>
          </w:p>
        </w:tc>
        <w:tc>
          <w:tcPr>
            <w:tcW w:type="dxa" w:w="6123"/>
          </w:tcPr>
          <w:p>
            <w:r/>
            <w:r>
              <w:rPr>
                <w:sz w:val="19"/>
              </w:rPr>
              <w:t>No. El cliente del demo es .example y, además, el modo supervisado exige una persona que confirme cada escritura.</w:t>
            </w:r>
          </w:p>
        </w:tc>
      </w:tr>
      <w:tr>
        <w:tc>
          <w:tcPr>
            <w:tcW w:type="dxa" w:w="3402"/>
          </w:tcPr>
          <w:p>
            <w:r/>
            <w:r>
              <w:rPr>
                <w:sz w:val="19"/>
              </w:rPr>
              <w:t>¿Qué pasa si falta un dato de la orden de compra?</w:t>
            </w:r>
          </w:p>
        </w:tc>
        <w:tc>
          <w:tcPr>
            <w:tcW w:type="dxa" w:w="6123"/>
          </w:tcPr>
          <w:p>
            <w:r/>
            <w:r>
              <w:rPr>
                <w:sz w:val="19"/>
              </w:rPr>
              <w:t>El caso queda con "faltantes": no se puede confirmar hasta completarlo. Nada se inventa.</w:t>
            </w:r>
          </w:p>
        </w:tc>
      </w:tr>
      <w:tr>
        <w:tc>
          <w:tcPr>
            <w:tcW w:type="dxa" w:w="3402"/>
          </w:tcPr>
          <w:p>
            <w:r/>
            <w:r>
              <w:rPr>
                <w:sz w:val="19"/>
              </w:rPr>
              <w:t>¿Cuándo pasa a producción?</w:t>
            </w:r>
          </w:p>
        </w:tc>
        <w:tc>
          <w:tcPr>
            <w:tcW w:type="dxa" w:w="6123"/>
          </w:tcPr>
          <w:p>
            <w:r/>
            <w:r>
              <w:rPr>
                <w:sz w:val="19"/>
              </w:rPr>
              <w:t>Según Oben, al finalizar todas las pruebas con éxito (respuesta de José del 22-oct).</w:t>
            </w:r>
          </w:p>
        </w:tc>
      </w:tr>
    </w:tbl>
    <w:p/>
    <w:p>
      <w:pPr>
        <w:pStyle w:val="Heading2"/>
      </w:pPr>
      <w:r>
        <w:rPr>
          <w:rFonts w:ascii="Calibri" w:hAnsi="Calibri"/>
          <w:color w:val="1F3B57"/>
        </w:rPr>
        <w:t>7. Después del demo</w:t>
      </w:r>
    </w:p>
    <w:p>
      <w:pPr>
        <w:pStyle w:val="ListBullet"/>
      </w:pPr>
      <w:r>
        <w:t>Los casos del demo quedan marcados como simulados. Se pueden dar de baja desde el caso con el botón rojo "Dar de baja".</w:t>
      </w:r>
    </w:p>
    <w:p>
      <w:pPr>
        <w:pStyle w:val="ListBullet"/>
      </w:pPr>
      <w:r>
        <w:t>Lo que falta para pasar a real: el ejemplo de encabezado de José, probar la cadena completa (encabezado, detalle, orden de venta, activar) en pruebas, conectar el flujo a esas APIs y esperar la API de Cartera.</w:t>
      </w:r>
    </w:p>
    <w:p/>
    <w:p>
      <w:pPr>
        <w:jc w:val="right"/>
      </w:pPr>
      <w:r>
        <w:rPr>
          <w:color w:val="777777"/>
          <w:sz w:val="16"/>
        </w:rPr>
        <w:t>made by Paradixe · paradixe.xyz</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