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F47735"/>
          <w:spacing w:val="40"/>
          <w:sz w:val="20"/>
          <w:szCs w:val="20"/>
        </w:rPr>
        <w:t xml:space="preserve">OBEN XMART</w:t>
      </w:r>
    </w:p>
    <w:p>
      <w:pPr>
        <w:spacing w:after="60"/>
      </w:pPr>
      <w:r>
        <w:rPr>
          <w:rFonts w:ascii="Arial" w:cs="Arial" w:eastAsia="Arial" w:hAnsi="Arial"/>
          <w:b/>
          <w:bCs/>
          <w:color w:val="56565A"/>
          <w:sz w:val="44"/>
          <w:szCs w:val="44"/>
        </w:rPr>
        <w:t xml:space="preserve">Reporte semanal de movimientos</w:t>
      </w:r>
    </w:p>
    <w:p>
      <w:pPr>
        <w:pBdr>
          <w:bottom w:val="single" w:color="F47735" w:sz="12" w:space="6"/>
        </w:pBdr>
        <w:spacing w:after="200"/>
      </w:pPr>
      <w:r>
        <w:rPr>
          <w:rFonts w:ascii="Arial" w:cs="Arial" w:eastAsia="Arial" w:hAnsi="Arial"/>
          <w:color w:val="56565A"/>
          <w:sz w:val="24"/>
          <w:szCs w:val="24"/>
        </w:rPr>
        <w:t xml:space="preserve">Semana del lunes 26 al jueves 29 de octubre de 2026</w:t>
      </w:r>
    </w:p>
    <w:p>
      <w:pPr>
        <w:spacing w:after="120" w:line="276"/>
      </w:pPr>
      <w:r>
        <w:rPr>
          <w:rFonts w:ascii="Arial" w:cs="Arial" w:eastAsia="Arial" w:hAnsi="Arial"/>
          <w:i/>
          <w:iCs/>
          <w:color w:val="777777"/>
          <w:sz w:val="19"/>
          <w:szCs w:val="19"/>
        </w:rPr>
        <w:t xml:space="preserve">Datos tomados del sistema en producción (servidor de Oben) el jueves 29 de octubre a las 3:17 p. m., hora de Bogotá. La semana aún no termina: el viernes 30 queda por contar.</w:t>
      </w:r>
    </w:p>
    <w:p>
      <w:pPr>
        <w:pStyle w:val="Heading1"/>
        <w:spacing w:after="140" w:before="320"/>
      </w:pPr>
      <w:r>
        <w:rPr>
          <w:rFonts w:ascii="Arial" w:cs="Arial" w:eastAsia="Arial" w:hAnsi="Arial"/>
        </w:rPr>
        <w:t xml:space="preserve">1. Resumen de la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9D9D9" w:sz="4"/>
              <w:left w:val="single" w:color="D9D9D9" w:sz="4"/>
              <w:bottom w:val="single" w:color="D9D9D9" w:sz="4"/>
              <w:right w:val="single" w:color="D9D9D9" w:sz="4"/>
            </w:tcBorders>
            <w:shd w:fill="F1F1F1" w:color="auto" w:val="clear"/>
            <w:tcMar>
              <w:top w:type="dxa" w:w="140"/>
              <w:left w:type="dxa" w:w="80"/>
              <w:bottom w:type="dxa" w:w="20"/>
              <w:right w:type="dxa" w:w="80"/>
            </w:tcMar>
          </w:tcPr>
          <w:p>
            <w:pPr>
              <w:spacing w:after="0"/>
              <w:jc w:val="center"/>
            </w:pPr>
            <w:r>
              <w:rPr>
                <w:rFonts w:ascii="Arial" w:cs="Arial" w:eastAsia="Arial" w:hAnsi="Arial"/>
                <w:b/>
                <w:bCs/>
                <w:color w:val="F47735"/>
                <w:sz w:val="44"/>
                <w:szCs w:val="44"/>
              </w:rPr>
              <w:t xml:space="preserve">54</w:t>
            </w:r>
          </w:p>
        </w:tc>
        <w:tc>
          <w:tcPr>
            <w:tcW w:type="dxa" w:w="1872"/>
            <w:tcBorders>
              <w:top w:val="single" w:color="D9D9D9" w:sz="4"/>
              <w:left w:val="single" w:color="D9D9D9" w:sz="4"/>
              <w:bottom w:val="single" w:color="D9D9D9" w:sz="4"/>
              <w:right w:val="single" w:color="D9D9D9" w:sz="4"/>
            </w:tcBorders>
            <w:shd w:fill="F1F1F1" w:color="auto" w:val="clear"/>
            <w:tcMar>
              <w:top w:type="dxa" w:w="140"/>
              <w:left w:type="dxa" w:w="80"/>
              <w:bottom w:type="dxa" w:w="20"/>
              <w:right w:type="dxa" w:w="80"/>
            </w:tcMar>
          </w:tcPr>
          <w:p>
            <w:pPr>
              <w:spacing w:after="0"/>
              <w:jc w:val="center"/>
            </w:pPr>
            <w:r>
              <w:rPr>
                <w:rFonts w:ascii="Arial" w:cs="Arial" w:eastAsia="Arial" w:hAnsi="Arial"/>
                <w:b/>
                <w:bCs/>
                <w:color w:val="F47735"/>
                <w:sz w:val="44"/>
                <w:szCs w:val="44"/>
              </w:rPr>
              <w:t xml:space="preserve">4</w:t>
            </w:r>
          </w:p>
        </w:tc>
        <w:tc>
          <w:tcPr>
            <w:tcW w:type="dxa" w:w="1872"/>
            <w:tcBorders>
              <w:top w:val="single" w:color="D9D9D9" w:sz="4"/>
              <w:left w:val="single" w:color="D9D9D9" w:sz="4"/>
              <w:bottom w:val="single" w:color="D9D9D9" w:sz="4"/>
              <w:right w:val="single" w:color="D9D9D9" w:sz="4"/>
            </w:tcBorders>
            <w:shd w:fill="F1F1F1" w:color="auto" w:val="clear"/>
            <w:tcMar>
              <w:top w:type="dxa" w:w="140"/>
              <w:left w:type="dxa" w:w="80"/>
              <w:bottom w:type="dxa" w:w="20"/>
              <w:right w:type="dxa" w:w="80"/>
            </w:tcMar>
          </w:tcPr>
          <w:p>
            <w:pPr>
              <w:spacing w:after="0"/>
              <w:jc w:val="center"/>
            </w:pPr>
            <w:r>
              <w:rPr>
                <w:rFonts w:ascii="Arial" w:cs="Arial" w:eastAsia="Arial" w:hAnsi="Arial"/>
                <w:b/>
                <w:bCs/>
                <w:color w:val="F47735"/>
                <w:sz w:val="44"/>
                <w:szCs w:val="44"/>
              </w:rPr>
              <w:t xml:space="preserve">104</w:t>
            </w:r>
          </w:p>
        </w:tc>
        <w:tc>
          <w:tcPr>
            <w:tcW w:type="dxa" w:w="1872"/>
            <w:tcBorders>
              <w:top w:val="single" w:color="D9D9D9" w:sz="4"/>
              <w:left w:val="single" w:color="D9D9D9" w:sz="4"/>
              <w:bottom w:val="single" w:color="D9D9D9" w:sz="4"/>
              <w:right w:val="single" w:color="D9D9D9" w:sz="4"/>
            </w:tcBorders>
            <w:shd w:fill="F1F1F1" w:color="auto" w:val="clear"/>
            <w:tcMar>
              <w:top w:type="dxa" w:w="140"/>
              <w:left w:type="dxa" w:w="80"/>
              <w:bottom w:type="dxa" w:w="20"/>
              <w:right w:type="dxa" w:w="80"/>
            </w:tcMar>
          </w:tcPr>
          <w:p>
            <w:pPr>
              <w:spacing w:after="0"/>
              <w:jc w:val="center"/>
            </w:pPr>
            <w:r>
              <w:rPr>
                <w:rFonts w:ascii="Arial" w:cs="Arial" w:eastAsia="Arial" w:hAnsi="Arial"/>
                <w:b/>
                <w:bCs/>
                <w:color w:val="F47735"/>
                <w:sz w:val="44"/>
                <w:szCs w:val="44"/>
              </w:rPr>
              <w:t xml:space="preserve">27</w:t>
            </w:r>
          </w:p>
        </w:tc>
        <w:tc>
          <w:tcPr>
            <w:tcW w:type="dxa" w:w="1872"/>
            <w:tcBorders>
              <w:top w:val="single" w:color="D9D9D9" w:sz="4"/>
              <w:left w:val="single" w:color="D9D9D9" w:sz="4"/>
              <w:bottom w:val="single" w:color="D9D9D9" w:sz="4"/>
              <w:right w:val="single" w:color="D9D9D9" w:sz="4"/>
            </w:tcBorders>
            <w:shd w:fill="F1F1F1" w:color="auto" w:val="clear"/>
            <w:tcMar>
              <w:top w:type="dxa" w:w="140"/>
              <w:left w:type="dxa" w:w="80"/>
              <w:bottom w:type="dxa" w:w="20"/>
              <w:right w:type="dxa" w:w="80"/>
            </w:tcMar>
          </w:tcPr>
          <w:p>
            <w:pPr>
              <w:spacing w:after="0"/>
              <w:jc w:val="center"/>
            </w:pPr>
            <w:r>
              <w:rPr>
                <w:rFonts w:ascii="Arial" w:cs="Arial" w:eastAsia="Arial" w:hAnsi="Arial"/>
                <w:b/>
                <w:bCs/>
                <w:color w:val="F47735"/>
                <w:sz w:val="44"/>
                <w:szCs w:val="44"/>
              </w:rPr>
              <w:t xml:space="preserve">0</w:t>
            </w:r>
          </w:p>
        </w:tc>
      </w:tr>
      <w:tr>
        <w:tc>
          <w:tcPr>
            <w:tcW w:type="dxa" w:w="1872"/>
            <w:tcBorders>
              <w:top w:val="single" w:color="D9D9D9" w:sz="4"/>
              <w:left w:val="single" w:color="D9D9D9" w:sz="4"/>
              <w:bottom w:val="single" w:color="D9D9D9" w:sz="4"/>
              <w:right w:val="single" w:color="D9D9D9" w:sz="4"/>
            </w:tcBorders>
            <w:shd w:fill="F1F1F1" w:color="auto" w:val="clear"/>
            <w:tcMar>
              <w:top w:type="dxa" w:w="0"/>
              <w:left w:type="dxa" w:w="80"/>
              <w:bottom w:type="dxa" w:w="120"/>
              <w:right w:type="dxa" w:w="80"/>
            </w:tcMar>
          </w:tcPr>
          <w:p>
            <w:pPr>
              <w:spacing w:after="0"/>
              <w:jc w:val="center"/>
            </w:pPr>
            <w:r>
              <w:rPr>
                <w:rFonts w:ascii="Arial" w:cs="Arial" w:eastAsia="Arial" w:hAnsi="Arial"/>
                <w:color w:val="56565A"/>
                <w:sz w:val="17"/>
                <w:szCs w:val="17"/>
              </w:rPr>
              <w:t xml:space="preserve">Listas de empaque enviadas</w:t>
            </w:r>
          </w:p>
        </w:tc>
        <w:tc>
          <w:tcPr>
            <w:tcW w:type="dxa" w:w="1872"/>
            <w:tcBorders>
              <w:top w:val="single" w:color="D9D9D9" w:sz="4"/>
              <w:left w:val="single" w:color="D9D9D9" w:sz="4"/>
              <w:bottom w:val="single" w:color="D9D9D9" w:sz="4"/>
              <w:right w:val="single" w:color="D9D9D9" w:sz="4"/>
            </w:tcBorders>
            <w:shd w:fill="F1F1F1" w:color="auto" w:val="clear"/>
            <w:tcMar>
              <w:top w:type="dxa" w:w="0"/>
              <w:left w:type="dxa" w:w="80"/>
              <w:bottom w:type="dxa" w:w="120"/>
              <w:right w:type="dxa" w:w="80"/>
            </w:tcMar>
          </w:tcPr>
          <w:p>
            <w:pPr>
              <w:spacing w:after="0"/>
              <w:jc w:val="center"/>
            </w:pPr>
            <w:r>
              <w:rPr>
                <w:rFonts w:ascii="Arial" w:cs="Arial" w:eastAsia="Arial" w:hAnsi="Arial"/>
                <w:color w:val="56565A"/>
                <w:sz w:val="17"/>
                <w:szCs w:val="17"/>
              </w:rPr>
              <w:t xml:space="preserve">Facturas creadas en OBEN MAS</w:t>
            </w:r>
          </w:p>
        </w:tc>
        <w:tc>
          <w:tcPr>
            <w:tcW w:type="dxa" w:w="1872"/>
            <w:tcBorders>
              <w:top w:val="single" w:color="D9D9D9" w:sz="4"/>
              <w:left w:val="single" w:color="D9D9D9" w:sz="4"/>
              <w:bottom w:val="single" w:color="D9D9D9" w:sz="4"/>
              <w:right w:val="single" w:color="D9D9D9" w:sz="4"/>
            </w:tcBorders>
            <w:shd w:fill="F1F1F1" w:color="auto" w:val="clear"/>
            <w:tcMar>
              <w:top w:type="dxa" w:w="0"/>
              <w:left w:type="dxa" w:w="80"/>
              <w:bottom w:type="dxa" w:w="120"/>
              <w:right w:type="dxa" w:w="80"/>
            </w:tcMar>
          </w:tcPr>
          <w:p>
            <w:pPr>
              <w:spacing w:after="0"/>
              <w:jc w:val="center"/>
            </w:pPr>
            <w:r>
              <w:rPr>
                <w:rFonts w:ascii="Arial" w:cs="Arial" w:eastAsia="Arial" w:hAnsi="Arial"/>
                <w:color w:val="56565A"/>
                <w:sz w:val="17"/>
                <w:szCs w:val="17"/>
              </w:rPr>
              <w:t xml:space="preserve">Correos recibidos y procesados</w:t>
            </w:r>
          </w:p>
        </w:tc>
        <w:tc>
          <w:tcPr>
            <w:tcW w:type="dxa" w:w="1872"/>
            <w:tcBorders>
              <w:top w:val="single" w:color="D9D9D9" w:sz="4"/>
              <w:left w:val="single" w:color="D9D9D9" w:sz="4"/>
              <w:bottom w:val="single" w:color="D9D9D9" w:sz="4"/>
              <w:right w:val="single" w:color="D9D9D9" w:sz="4"/>
            </w:tcBorders>
            <w:shd w:fill="F1F1F1" w:color="auto" w:val="clear"/>
            <w:tcMar>
              <w:top w:type="dxa" w:w="0"/>
              <w:left w:type="dxa" w:w="80"/>
              <w:bottom w:type="dxa" w:w="120"/>
              <w:right w:type="dxa" w:w="80"/>
            </w:tcMar>
          </w:tcPr>
          <w:p>
            <w:pPr>
              <w:spacing w:after="0"/>
              <w:jc w:val="center"/>
            </w:pPr>
            <w:r>
              <w:rPr>
                <w:rFonts w:ascii="Arial" w:cs="Arial" w:eastAsia="Arial" w:hAnsi="Arial"/>
                <w:color w:val="56565A"/>
                <w:sz w:val="17"/>
                <w:szCs w:val="17"/>
              </w:rPr>
              <w:t xml:space="preserve">Avisos a COMEX</w:t>
            </w:r>
          </w:p>
        </w:tc>
        <w:tc>
          <w:tcPr>
            <w:tcW w:type="dxa" w:w="1872"/>
            <w:tcBorders>
              <w:top w:val="single" w:color="D9D9D9" w:sz="4"/>
              <w:left w:val="single" w:color="D9D9D9" w:sz="4"/>
              <w:bottom w:val="single" w:color="D9D9D9" w:sz="4"/>
              <w:right w:val="single" w:color="D9D9D9" w:sz="4"/>
            </w:tcBorders>
            <w:shd w:fill="F1F1F1" w:color="auto" w:val="clear"/>
            <w:tcMar>
              <w:top w:type="dxa" w:w="0"/>
              <w:left w:type="dxa" w:w="80"/>
              <w:bottom w:type="dxa" w:w="120"/>
              <w:right w:type="dxa" w:w="80"/>
            </w:tcMar>
          </w:tcPr>
          <w:p>
            <w:pPr>
              <w:spacing w:after="0"/>
              <w:jc w:val="center"/>
            </w:pPr>
            <w:r>
              <w:rPr>
                <w:rFonts w:ascii="Arial" w:cs="Arial" w:eastAsia="Arial" w:hAnsi="Arial"/>
                <w:color w:val="56565A"/>
                <w:sz w:val="17"/>
                <w:szCs w:val="17"/>
              </w:rPr>
              <w:t xml:space="preserve">Liquidaciones aprobadas</w:t>
            </w:r>
          </w:p>
        </w:tc>
      </w:tr>
    </w:tbl>
    <w:p>
      <w:pPr>
        <w:spacing w:after="60"/>
      </w:pPr>
    </w:p>
    <w:p>
      <w:pPr>
        <w:pStyle w:val="ListParagraph"/>
        <w:numPr>
          <w:ilvl w:val="0"/>
          <w:numId w:val="2"/>
        </w:numPr>
        <w:spacing w:after="80" w:line="276"/>
      </w:pPr>
      <w:r>
        <w:rPr>
          <w:rFonts w:ascii="Arial" w:cs="Arial" w:eastAsia="Arial" w:hAnsi="Arial"/>
          <w:b/>
          <w:bCs/>
          <w:color w:val="333333"/>
          <w:sz w:val="21"/>
          <w:szCs w:val="21"/>
        </w:rPr>
        <w:t xml:space="preserve">La operación corrió sola toda la semana. </w:t>
      </w:r>
      <w:r>
        <w:rPr>
          <w:rFonts w:ascii="Arial" w:cs="Arial" w:eastAsia="Arial" w:hAnsi="Arial"/>
          <w:color w:val="333333"/>
          <w:sz w:val="21"/>
          <w:szCs w:val="21"/>
        </w:rPr>
        <w:t xml:space="preserve">El sistema recibió y clasificó 104 correos y envió 54 listas de empaque completas al equipo de Oben, con un solo correo fallido (una factura parcial que no se pudo confirmar como nacional).</w:t>
      </w:r>
    </w:p>
    <w:p>
      <w:pPr>
        <w:pStyle w:val="ListParagraph"/>
        <w:numPr>
          <w:ilvl w:val="0"/>
          <w:numId w:val="2"/>
        </w:numPr>
        <w:spacing w:after="80" w:line="276"/>
      </w:pPr>
      <w:r>
        <w:rPr>
          <w:rFonts w:ascii="Arial" w:cs="Arial" w:eastAsia="Arial" w:hAnsi="Arial"/>
          <w:b/>
          <w:bCs/>
          <w:color w:val="333333"/>
          <w:sz w:val="21"/>
          <w:szCs w:val="21"/>
        </w:rPr>
        <w:t xml:space="preserve">Cambió el proceso de exportación el martes 27. </w:t>
      </w:r>
      <w:r>
        <w:rPr>
          <w:rFonts w:ascii="Arial" w:cs="Arial" w:eastAsia="Arial" w:hAnsi="Arial"/>
          <w:color w:val="333333"/>
          <w:sz w:val="21"/>
          <w:szCs w:val="21"/>
        </w:rPr>
        <w:t xml:space="preserve">Por indicación de José, la lista de empaque de exportación sale apenas la orden llega como "Aprobada en corte", sin esperar a COMEX. El aviso de liquidación a COMEX va aparte, un correo por orden. Las que estaban retenidas salieron y hoy no queda ninguna retenida.</w:t>
      </w:r>
    </w:p>
    <w:p>
      <w:pPr>
        <w:pStyle w:val="ListParagraph"/>
        <w:numPr>
          <w:ilvl w:val="0"/>
          <w:numId w:val="2"/>
        </w:numPr>
        <w:spacing w:after="80" w:line="276"/>
      </w:pPr>
      <w:r>
        <w:rPr>
          <w:rFonts w:ascii="Arial" w:cs="Arial" w:eastAsia="Arial" w:hAnsi="Arial"/>
          <w:b/>
          <w:bCs/>
          <w:color w:val="333333"/>
          <w:sz w:val="21"/>
          <w:szCs w:val="21"/>
        </w:rPr>
        <w:t xml:space="preserve">Se facturaron 4 pedidos nacionales. </w:t>
      </w:r>
      <w:r>
        <w:rPr>
          <w:rFonts w:ascii="Arial" w:cs="Arial" w:eastAsia="Arial" w:hAnsi="Arial"/>
          <w:color w:val="333333"/>
          <w:sz w:val="21"/>
          <w:szCs w:val="21"/>
        </w:rPr>
        <w:t xml:space="preserve">Otras 12 solicitudes no salieron: 7 esperan que la proforma sea aprobada dentro de OBEN MAS, 3 están pendientes por regla y 2 no recibieron respuesta de Oben y hay que verificarlas allá.</w:t>
      </w:r>
    </w:p>
    <w:p>
      <w:pPr>
        <w:pStyle w:val="ListParagraph"/>
        <w:numPr>
          <w:ilvl w:val="0"/>
          <w:numId w:val="2"/>
        </w:numPr>
        <w:spacing w:after="80" w:line="276"/>
      </w:pPr>
      <w:r>
        <w:rPr>
          <w:rFonts w:ascii="Arial" w:cs="Arial" w:eastAsia="Arial" w:hAnsi="Arial"/>
          <w:b/>
          <w:bCs/>
          <w:color w:val="333333"/>
          <w:sz w:val="21"/>
          <w:szCs w:val="21"/>
        </w:rPr>
        <w:t xml:space="preserve">COMEX no aprobó ninguna liquidación esta semana </w:t>
      </w:r>
      <w:r>
        <w:rPr>
          <w:rFonts w:ascii="Arial" w:cs="Arial" w:eastAsia="Arial" w:hAnsi="Arial"/>
          <w:color w:val="333333"/>
          <w:sz w:val="21"/>
          <w:szCs w:val="21"/>
        </w:rPr>
        <w:t xml:space="preserve">(la última fue la PF 11599, el viernes 23). Es el punto más importante para cerrar la semana.</w:t>
      </w:r>
    </w:p>
    <w:p>
      <w:pPr>
        <w:pStyle w:val="ListParagraph"/>
        <w:numPr>
          <w:ilvl w:val="0"/>
          <w:numId w:val="2"/>
        </w:numPr>
        <w:spacing w:after="80" w:line="276"/>
      </w:pPr>
      <w:r>
        <w:rPr>
          <w:rFonts w:ascii="Arial" w:cs="Arial" w:eastAsia="Arial" w:hAnsi="Arial"/>
          <w:b/>
          <w:bCs/>
          <w:color w:val="333333"/>
          <w:sz w:val="21"/>
          <w:szCs w:val="21"/>
        </w:rPr>
        <w:t xml:space="preserve">El flujo Comercial sigue sin uso real. </w:t>
      </w:r>
      <w:r>
        <w:rPr>
          <w:rFonts w:ascii="Arial" w:cs="Arial" w:eastAsia="Arial" w:hAnsi="Arial"/>
          <w:color w:val="333333"/>
          <w:sz w:val="21"/>
          <w:szCs w:val="21"/>
        </w:rPr>
        <w:t xml:space="preserve">Los 54 correos de cubicación que llegaron corresponden a 43 proformas creadas directamente en OBEN MAS; ninguna nació en Oben Xmart. Las únicas dos proformas del sistema son de prueba.</w:t>
      </w:r>
    </w:p>
    <w:p>
      <w:pPr>
        <w:pStyle w:val="Heading1"/>
        <w:spacing w:after="140" w:before="320"/>
      </w:pPr>
      <w:r>
        <w:rPr>
          <w:rFonts w:ascii="Arial" w:cs="Arial" w:eastAsia="Arial" w:hAnsi="Arial"/>
        </w:rPr>
        <w:t xml:space="preserve">2. Movimiento por 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60"/>
        <w:gridCol w:w="1500"/>
        <w:gridCol w:w="1500"/>
        <w:gridCol w:w="1500"/>
      </w:tblGrid>
      <w:tr>
        <w:trPr>
          <w:cantSplit/>
          <w:tblHeader/>
        </w:trPr>
        <w:tc>
          <w:tcPr>
            <w:tcW w:type="dxa" w:w="1800"/>
            <w:tcBorders>
              <w:top w:val="single" w:color="D9D9D9" w:sz="4"/>
              <w:left w:val="single" w:color="D9D9D9" w:sz="4"/>
              <w:bottom w:val="single" w:color="D9D9D9" w:sz="4"/>
              <w:right w:val="single" w:color="D9D9D9" w:sz="4"/>
            </w:tcBorders>
            <w:shd w:fill="F47735" w:color="auto" w:val="clear"/>
            <w:tcMar>
              <w:top w:type="dxa" w:w="70"/>
              <w:left w:type="dxa" w:w="110"/>
              <w:bottom w:type="dxa" w:w="70"/>
              <w:right w:type="dxa" w:w="110"/>
            </w:tcMar>
            <w:vAlign w:val="center"/>
          </w:tcPr>
          <w:p>
            <w:pPr>
              <w:spacing w:after="0"/>
              <w:jc w:val="left"/>
            </w:pPr>
            <w:r>
              <w:rPr>
                <w:rFonts w:ascii="Arial" w:cs="Arial" w:eastAsia="Arial" w:hAnsi="Arial"/>
                <w:b/>
                <w:bCs/>
                <w:color w:val="FFFFFF"/>
                <w:sz w:val="19"/>
                <w:szCs w:val="19"/>
              </w:rPr>
              <w:t xml:space="preserve">Día</w:t>
            </w:r>
          </w:p>
        </w:tc>
        <w:tc>
          <w:tcPr>
            <w:tcW w:type="dxa" w:w="1500"/>
            <w:tcBorders>
              <w:top w:val="single" w:color="D9D9D9" w:sz="4"/>
              <w:left w:val="single" w:color="D9D9D9" w:sz="4"/>
              <w:bottom w:val="single" w:color="D9D9D9" w:sz="4"/>
              <w:right w:val="single" w:color="D9D9D9" w:sz="4"/>
            </w:tcBorders>
            <w:shd w:fill="F47735" w:color="auto" w:val="clear"/>
            <w:tcMar>
              <w:top w:type="dxa" w:w="70"/>
              <w:left w:type="dxa" w:w="110"/>
              <w:bottom w:type="dxa" w:w="70"/>
              <w:right w:type="dxa" w:w="110"/>
            </w:tcMar>
            <w:vAlign w:val="center"/>
          </w:tcPr>
          <w:p>
            <w:pPr>
              <w:spacing w:after="0"/>
              <w:jc w:val="center"/>
            </w:pPr>
            <w:r>
              <w:rPr>
                <w:rFonts w:ascii="Arial" w:cs="Arial" w:eastAsia="Arial" w:hAnsi="Arial"/>
                <w:b/>
                <w:bCs/>
                <w:color w:val="FFFFFF"/>
                <w:sz w:val="19"/>
                <w:szCs w:val="19"/>
              </w:rPr>
              <w:t xml:space="preserve">Correos recibidos</w:t>
            </w:r>
          </w:p>
        </w:tc>
        <w:tc>
          <w:tcPr>
            <w:tcW w:type="dxa" w:w="1560"/>
            <w:tcBorders>
              <w:top w:val="single" w:color="D9D9D9" w:sz="4"/>
              <w:left w:val="single" w:color="D9D9D9" w:sz="4"/>
              <w:bottom w:val="single" w:color="D9D9D9" w:sz="4"/>
              <w:right w:val="single" w:color="D9D9D9" w:sz="4"/>
            </w:tcBorders>
            <w:shd w:fill="F47735" w:color="auto" w:val="clear"/>
            <w:tcMar>
              <w:top w:type="dxa" w:w="70"/>
              <w:left w:type="dxa" w:w="110"/>
              <w:bottom w:type="dxa" w:w="70"/>
              <w:right w:type="dxa" w:w="110"/>
            </w:tcMar>
            <w:vAlign w:val="center"/>
          </w:tcPr>
          <w:p>
            <w:pPr>
              <w:spacing w:after="0"/>
              <w:jc w:val="center"/>
            </w:pPr>
            <w:r>
              <w:rPr>
                <w:rFonts w:ascii="Arial" w:cs="Arial" w:eastAsia="Arial" w:hAnsi="Arial"/>
                <w:b/>
                <w:bCs/>
                <w:color w:val="FFFFFF"/>
                <w:sz w:val="19"/>
                <w:szCs w:val="19"/>
              </w:rPr>
              <w:t xml:space="preserve">Listas de empaque enviadas</w:t>
            </w:r>
          </w:p>
        </w:tc>
        <w:tc>
          <w:tcPr>
            <w:tcW w:type="dxa" w:w="1500"/>
            <w:tcBorders>
              <w:top w:val="single" w:color="D9D9D9" w:sz="4"/>
              <w:left w:val="single" w:color="D9D9D9" w:sz="4"/>
              <w:bottom w:val="single" w:color="D9D9D9" w:sz="4"/>
              <w:right w:val="single" w:color="D9D9D9" w:sz="4"/>
            </w:tcBorders>
            <w:shd w:fill="F47735" w:color="auto" w:val="clear"/>
            <w:tcMar>
              <w:top w:type="dxa" w:w="70"/>
              <w:left w:type="dxa" w:w="110"/>
              <w:bottom w:type="dxa" w:w="70"/>
              <w:right w:type="dxa" w:w="110"/>
            </w:tcMar>
            <w:vAlign w:val="center"/>
          </w:tcPr>
          <w:p>
            <w:pPr>
              <w:spacing w:after="0"/>
              <w:jc w:val="center"/>
            </w:pPr>
            <w:r>
              <w:rPr>
                <w:rFonts w:ascii="Arial" w:cs="Arial" w:eastAsia="Arial" w:hAnsi="Arial"/>
                <w:b/>
                <w:bCs/>
                <w:color w:val="FFFFFF"/>
                <w:sz w:val="19"/>
                <w:szCs w:val="19"/>
              </w:rPr>
              <w:t xml:space="preserve">Avisos a COMEX</w:t>
            </w:r>
          </w:p>
        </w:tc>
        <w:tc>
          <w:tcPr>
            <w:tcW w:type="dxa" w:w="1500"/>
            <w:tcBorders>
              <w:top w:val="single" w:color="D9D9D9" w:sz="4"/>
              <w:left w:val="single" w:color="D9D9D9" w:sz="4"/>
              <w:bottom w:val="single" w:color="D9D9D9" w:sz="4"/>
              <w:right w:val="single" w:color="D9D9D9" w:sz="4"/>
            </w:tcBorders>
            <w:shd w:fill="F47735" w:color="auto" w:val="clear"/>
            <w:tcMar>
              <w:top w:type="dxa" w:w="70"/>
              <w:left w:type="dxa" w:w="110"/>
              <w:bottom w:type="dxa" w:w="70"/>
              <w:right w:type="dxa" w:w="110"/>
            </w:tcMar>
            <w:vAlign w:val="center"/>
          </w:tcPr>
          <w:p>
            <w:pPr>
              <w:spacing w:after="0"/>
              <w:jc w:val="center"/>
            </w:pPr>
            <w:r>
              <w:rPr>
                <w:rFonts w:ascii="Arial" w:cs="Arial" w:eastAsia="Arial" w:hAnsi="Arial"/>
                <w:b/>
                <w:bCs/>
                <w:color w:val="FFFFFF"/>
                <w:sz w:val="19"/>
                <w:szCs w:val="19"/>
              </w:rPr>
              <w:t xml:space="preserve">Facturas creadas</w:t>
            </w:r>
          </w:p>
        </w:tc>
        <w:tc>
          <w:tcPr>
            <w:tcW w:type="dxa" w:w="1500"/>
            <w:tcBorders>
              <w:top w:val="single" w:color="D9D9D9" w:sz="4"/>
              <w:left w:val="single" w:color="D9D9D9" w:sz="4"/>
              <w:bottom w:val="single" w:color="D9D9D9" w:sz="4"/>
              <w:right w:val="single" w:color="D9D9D9" w:sz="4"/>
            </w:tcBorders>
            <w:shd w:fill="F47735" w:color="auto" w:val="clear"/>
            <w:tcMar>
              <w:top w:type="dxa" w:w="70"/>
              <w:left w:type="dxa" w:w="110"/>
              <w:bottom w:type="dxa" w:w="70"/>
              <w:right w:type="dxa" w:w="110"/>
            </w:tcMar>
            <w:vAlign w:val="center"/>
          </w:tcPr>
          <w:p>
            <w:pPr>
              <w:spacing w:after="0"/>
              <w:jc w:val="center"/>
            </w:pPr>
            <w:r>
              <w:rPr>
                <w:rFonts w:ascii="Arial" w:cs="Arial" w:eastAsia="Arial" w:hAnsi="Arial"/>
                <w:b/>
                <w:bCs/>
                <w:color w:val="FFFFFF"/>
                <w:sz w:val="19"/>
                <w:szCs w:val="19"/>
              </w:rPr>
              <w:t xml:space="preserve">Órdenes en el cuadro</w:t>
            </w:r>
          </w:p>
        </w:tc>
      </w:tr>
      <w:tr>
        <w:trPr>
          <w:cantSplit/>
        </w:trPr>
        <w:tc>
          <w:tcPr>
            <w:tcW w:type="dxa" w:w="18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Lunes 26</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center"/>
            </w:pPr>
            <w:r>
              <w:rPr>
                <w:rFonts w:ascii="Arial" w:cs="Arial" w:eastAsia="Arial" w:hAnsi="Arial"/>
                <w:b w:val="false"/>
                <w:bCs w:val="false"/>
                <w:color w:val="333333"/>
                <w:sz w:val="19"/>
                <w:szCs w:val="19"/>
              </w:rPr>
              <w:t xml:space="preserve">31</w:t>
            </w:r>
          </w:p>
        </w:tc>
        <w:tc>
          <w:tcPr>
            <w:tcW w:type="dxa" w:w="156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center"/>
            </w:pPr>
            <w:r>
              <w:rPr>
                <w:rFonts w:ascii="Arial" w:cs="Arial" w:eastAsia="Arial" w:hAnsi="Arial"/>
                <w:b w:val="false"/>
                <w:bCs w:val="false"/>
                <w:color w:val="333333"/>
                <w:sz w:val="19"/>
                <w:szCs w:val="19"/>
              </w:rPr>
              <w:t xml:space="preserve">12</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center"/>
            </w:pPr>
            <w:r>
              <w:rPr>
                <w:rFonts w:ascii="Arial" w:cs="Arial" w:eastAsia="Arial" w:hAnsi="Arial"/>
                <w:b w:val="false"/>
                <w:bCs w:val="false"/>
                <w:color w:val="333333"/>
                <w:sz w:val="19"/>
                <w:szCs w:val="19"/>
              </w:rPr>
              <w:t xml:space="preserve">2</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center"/>
            </w:pPr>
            <w:r>
              <w:rPr>
                <w:rFonts w:ascii="Arial" w:cs="Arial" w:eastAsia="Arial" w:hAnsi="Arial"/>
                <w:b w:val="false"/>
                <w:bCs w:val="false"/>
                <w:color w:val="333333"/>
                <w:sz w:val="19"/>
                <w:szCs w:val="19"/>
              </w:rPr>
              <w:t xml:space="preserve">0</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center"/>
            </w:pPr>
            <w:r>
              <w:rPr>
                <w:rFonts w:ascii="Arial" w:cs="Arial" w:eastAsia="Arial" w:hAnsi="Arial"/>
                <w:b w:val="false"/>
                <w:bCs w:val="false"/>
                <w:color w:val="333333"/>
                <w:sz w:val="19"/>
                <w:szCs w:val="19"/>
              </w:rPr>
              <w:t xml:space="preserve">—</w:t>
            </w:r>
          </w:p>
        </w:tc>
      </w:tr>
      <w:tr>
        <w:trPr>
          <w:cantSplit/>
        </w:trPr>
        <w:tc>
          <w:tcPr>
            <w:tcW w:type="dxa" w:w="18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Martes 27</w:t>
            </w:r>
          </w:p>
        </w:tc>
        <w:tc>
          <w:tcPr>
            <w:tcW w:type="dxa" w:w="15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center"/>
            </w:pPr>
            <w:r>
              <w:rPr>
                <w:rFonts w:ascii="Arial" w:cs="Arial" w:eastAsia="Arial" w:hAnsi="Arial"/>
                <w:b w:val="false"/>
                <w:bCs w:val="false"/>
                <w:color w:val="333333"/>
                <w:sz w:val="19"/>
                <w:szCs w:val="19"/>
              </w:rPr>
              <w:t xml:space="preserve">42</w:t>
            </w:r>
          </w:p>
        </w:tc>
        <w:tc>
          <w:tcPr>
            <w:tcW w:type="dxa" w:w="156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center"/>
            </w:pPr>
            <w:r>
              <w:rPr>
                <w:rFonts w:ascii="Arial" w:cs="Arial" w:eastAsia="Arial" w:hAnsi="Arial"/>
                <w:b w:val="false"/>
                <w:bCs w:val="false"/>
                <w:color w:val="333333"/>
                <w:sz w:val="19"/>
                <w:szCs w:val="19"/>
              </w:rPr>
              <w:t xml:space="preserve">32</w:t>
            </w:r>
          </w:p>
        </w:tc>
        <w:tc>
          <w:tcPr>
            <w:tcW w:type="dxa" w:w="15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center"/>
            </w:pPr>
            <w:r>
              <w:rPr>
                <w:rFonts w:ascii="Arial" w:cs="Arial" w:eastAsia="Arial" w:hAnsi="Arial"/>
                <w:b w:val="false"/>
                <w:bCs w:val="false"/>
                <w:color w:val="333333"/>
                <w:sz w:val="19"/>
                <w:szCs w:val="19"/>
              </w:rPr>
              <w:t xml:space="preserve">22</w:t>
            </w:r>
          </w:p>
        </w:tc>
        <w:tc>
          <w:tcPr>
            <w:tcW w:type="dxa" w:w="15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center"/>
            </w:pPr>
            <w:r>
              <w:rPr>
                <w:rFonts w:ascii="Arial" w:cs="Arial" w:eastAsia="Arial" w:hAnsi="Arial"/>
                <w:b w:val="false"/>
                <w:bCs w:val="false"/>
                <w:color w:val="333333"/>
                <w:sz w:val="19"/>
                <w:szCs w:val="19"/>
              </w:rPr>
              <w:t xml:space="preserve">2</w:t>
            </w:r>
          </w:p>
        </w:tc>
        <w:tc>
          <w:tcPr>
            <w:tcW w:type="dxa" w:w="15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center"/>
            </w:pPr>
            <w:r>
              <w:rPr>
                <w:rFonts w:ascii="Arial" w:cs="Arial" w:eastAsia="Arial" w:hAnsi="Arial"/>
                <w:b w:val="false"/>
                <w:bCs w:val="false"/>
                <w:color w:val="333333"/>
                <w:sz w:val="19"/>
                <w:szCs w:val="19"/>
              </w:rPr>
              <w:t xml:space="preserve">16</w:t>
            </w:r>
          </w:p>
        </w:tc>
      </w:tr>
      <w:tr>
        <w:trPr>
          <w:cantSplit/>
        </w:trPr>
        <w:tc>
          <w:tcPr>
            <w:tcW w:type="dxa" w:w="18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Miércoles 28</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center"/>
            </w:pPr>
            <w:r>
              <w:rPr>
                <w:rFonts w:ascii="Arial" w:cs="Arial" w:eastAsia="Arial" w:hAnsi="Arial"/>
                <w:b w:val="false"/>
                <w:bCs w:val="false"/>
                <w:color w:val="333333"/>
                <w:sz w:val="19"/>
                <w:szCs w:val="19"/>
              </w:rPr>
              <w:t xml:space="preserve">13</w:t>
            </w:r>
          </w:p>
        </w:tc>
        <w:tc>
          <w:tcPr>
            <w:tcW w:type="dxa" w:w="156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center"/>
            </w:pPr>
            <w:r>
              <w:rPr>
                <w:rFonts w:ascii="Arial" w:cs="Arial" w:eastAsia="Arial" w:hAnsi="Arial"/>
                <w:b w:val="false"/>
                <w:bCs w:val="false"/>
                <w:color w:val="333333"/>
                <w:sz w:val="19"/>
                <w:szCs w:val="19"/>
              </w:rPr>
              <w:t xml:space="preserve">6</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center"/>
            </w:pPr>
            <w:r>
              <w:rPr>
                <w:rFonts w:ascii="Arial" w:cs="Arial" w:eastAsia="Arial" w:hAnsi="Arial"/>
                <w:b w:val="false"/>
                <w:bCs w:val="false"/>
                <w:color w:val="333333"/>
                <w:sz w:val="19"/>
                <w:szCs w:val="19"/>
              </w:rPr>
              <w:t xml:space="preserve">3</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center"/>
            </w:pPr>
            <w:r>
              <w:rPr>
                <w:rFonts w:ascii="Arial" w:cs="Arial" w:eastAsia="Arial" w:hAnsi="Arial"/>
                <w:b w:val="false"/>
                <w:bCs w:val="false"/>
                <w:color w:val="333333"/>
                <w:sz w:val="19"/>
                <w:szCs w:val="19"/>
              </w:rPr>
              <w:t xml:space="preserve">2</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center"/>
            </w:pPr>
            <w:r>
              <w:rPr>
                <w:rFonts w:ascii="Arial" w:cs="Arial" w:eastAsia="Arial" w:hAnsi="Arial"/>
                <w:b w:val="false"/>
                <w:bCs w:val="false"/>
                <w:color w:val="333333"/>
                <w:sz w:val="19"/>
                <w:szCs w:val="19"/>
              </w:rPr>
              <w:t xml:space="preserve">19</w:t>
            </w:r>
          </w:p>
        </w:tc>
      </w:tr>
      <w:tr>
        <w:trPr>
          <w:cantSplit/>
        </w:trPr>
        <w:tc>
          <w:tcPr>
            <w:tcW w:type="dxa" w:w="18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Jueves 29 (hasta 3 p. m.)</w:t>
            </w:r>
          </w:p>
        </w:tc>
        <w:tc>
          <w:tcPr>
            <w:tcW w:type="dxa" w:w="15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center"/>
            </w:pPr>
            <w:r>
              <w:rPr>
                <w:rFonts w:ascii="Arial" w:cs="Arial" w:eastAsia="Arial" w:hAnsi="Arial"/>
                <w:b w:val="false"/>
                <w:bCs w:val="false"/>
                <w:color w:val="333333"/>
                <w:sz w:val="19"/>
                <w:szCs w:val="19"/>
              </w:rPr>
              <w:t xml:space="preserve">18</w:t>
            </w:r>
          </w:p>
        </w:tc>
        <w:tc>
          <w:tcPr>
            <w:tcW w:type="dxa" w:w="156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center"/>
            </w:pPr>
            <w:r>
              <w:rPr>
                <w:rFonts w:ascii="Arial" w:cs="Arial" w:eastAsia="Arial" w:hAnsi="Arial"/>
                <w:b w:val="false"/>
                <w:bCs w:val="false"/>
                <w:color w:val="333333"/>
                <w:sz w:val="19"/>
                <w:szCs w:val="19"/>
              </w:rPr>
              <w:t xml:space="preserve">4</w:t>
            </w:r>
          </w:p>
        </w:tc>
        <w:tc>
          <w:tcPr>
            <w:tcW w:type="dxa" w:w="15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center"/>
            </w:pPr>
            <w:r>
              <w:rPr>
                <w:rFonts w:ascii="Arial" w:cs="Arial" w:eastAsia="Arial" w:hAnsi="Arial"/>
                <w:b w:val="false"/>
                <w:bCs w:val="false"/>
                <w:color w:val="333333"/>
                <w:sz w:val="19"/>
                <w:szCs w:val="19"/>
              </w:rPr>
              <w:t xml:space="preserve">0</w:t>
            </w:r>
          </w:p>
        </w:tc>
        <w:tc>
          <w:tcPr>
            <w:tcW w:type="dxa" w:w="15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center"/>
            </w:pPr>
            <w:r>
              <w:rPr>
                <w:rFonts w:ascii="Arial" w:cs="Arial" w:eastAsia="Arial" w:hAnsi="Arial"/>
                <w:b w:val="false"/>
                <w:bCs w:val="false"/>
                <w:color w:val="333333"/>
                <w:sz w:val="19"/>
                <w:szCs w:val="19"/>
              </w:rPr>
              <w:t xml:space="preserve">0</w:t>
            </w:r>
          </w:p>
        </w:tc>
        <w:tc>
          <w:tcPr>
            <w:tcW w:type="dxa" w:w="15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center"/>
            </w:pPr>
            <w:r>
              <w:rPr>
                <w:rFonts w:ascii="Arial" w:cs="Arial" w:eastAsia="Arial" w:hAnsi="Arial"/>
                <w:b w:val="false"/>
                <w:bCs w:val="false"/>
                <w:color w:val="333333"/>
                <w:sz w:val="19"/>
                <w:szCs w:val="19"/>
              </w:rPr>
              <w:t xml:space="preserve">5</w:t>
            </w:r>
          </w:p>
        </w:tc>
      </w:tr>
      <w:tr>
        <w:trPr>
          <w:cantSplit/>
        </w:trPr>
        <w:tc>
          <w:tcPr>
            <w:tcW w:type="dxa" w:w="18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bCs/>
                <w:color w:val="333333"/>
                <w:sz w:val="19"/>
                <w:szCs w:val="19"/>
              </w:rPr>
              <w:t xml:space="preserve">Total</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center"/>
            </w:pPr>
            <w:r>
              <w:rPr>
                <w:rFonts w:ascii="Arial" w:cs="Arial" w:eastAsia="Arial" w:hAnsi="Arial"/>
                <w:b/>
                <w:bCs/>
                <w:color w:val="333333"/>
                <w:sz w:val="19"/>
                <w:szCs w:val="19"/>
              </w:rPr>
              <w:t xml:space="preserve">104</w:t>
            </w:r>
          </w:p>
        </w:tc>
        <w:tc>
          <w:tcPr>
            <w:tcW w:type="dxa" w:w="156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center"/>
            </w:pPr>
            <w:r>
              <w:rPr>
                <w:rFonts w:ascii="Arial" w:cs="Arial" w:eastAsia="Arial" w:hAnsi="Arial"/>
                <w:b/>
                <w:bCs/>
                <w:color w:val="333333"/>
                <w:sz w:val="19"/>
                <w:szCs w:val="19"/>
              </w:rPr>
              <w:t xml:space="preserve">54</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center"/>
            </w:pPr>
            <w:r>
              <w:rPr>
                <w:rFonts w:ascii="Arial" w:cs="Arial" w:eastAsia="Arial" w:hAnsi="Arial"/>
                <w:b/>
                <w:bCs/>
                <w:color w:val="333333"/>
                <w:sz w:val="19"/>
                <w:szCs w:val="19"/>
              </w:rPr>
              <w:t xml:space="preserve">27</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center"/>
            </w:pPr>
            <w:r>
              <w:rPr>
                <w:rFonts w:ascii="Arial" w:cs="Arial" w:eastAsia="Arial" w:hAnsi="Arial"/>
                <w:b/>
                <w:bCs/>
                <w:color w:val="333333"/>
                <w:sz w:val="19"/>
                <w:szCs w:val="19"/>
              </w:rPr>
              <w:t xml:space="preserve">4</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center"/>
            </w:pPr>
            <w:r>
              <w:rPr>
                <w:rFonts w:ascii="Arial" w:cs="Arial" w:eastAsia="Arial" w:hAnsi="Arial"/>
                <w:b/>
                <w:bCs/>
                <w:color w:val="333333"/>
                <w:sz w:val="19"/>
                <w:szCs w:val="19"/>
              </w:rPr>
              <w:t xml:space="preserve">40</w:t>
            </w:r>
          </w:p>
        </w:tc>
      </w:tr>
    </w:tbl>
    <w:p>
      <w:pPr>
        <w:spacing w:after="120" w:before="80"/>
      </w:pPr>
      <w:r>
        <w:rPr>
          <w:rFonts w:ascii="Arial" w:cs="Arial" w:eastAsia="Arial" w:hAnsi="Arial"/>
          <w:i/>
          <w:iCs/>
          <w:color w:val="777777"/>
          <w:sz w:val="18"/>
          <w:szCs w:val="18"/>
        </w:rPr>
        <w:t xml:space="preserve">El cuadro de facturación del día se carga solo desde SharePoint desde el martes 27 (antes se subía a mano); por eso el lunes aparece vacío.</w:t>
      </w:r>
    </w:p>
    <w:p>
      <w:pPr>
        <w:pStyle w:val="Heading1"/>
        <w:spacing w:after="140" w:before="320"/>
      </w:pPr>
      <w:r>
        <w:rPr>
          <w:rFonts w:ascii="Arial" w:cs="Arial" w:eastAsia="Arial" w:hAnsi="Arial"/>
        </w:rPr>
        <w:t xml:space="preserve">3. Listas de empaque</w:t>
      </w:r>
    </w:p>
    <w:p>
      <w:pPr>
        <w:spacing w:after="120" w:line="276"/>
      </w:pPr>
      <w:r>
        <w:rPr>
          <w:rFonts w:ascii="Arial" w:cs="Arial" w:eastAsia="Arial" w:hAnsi="Arial"/>
          <w:color w:val="333333"/>
          <w:sz w:val="21"/>
          <w:szCs w:val="21"/>
        </w:rPr>
        <w:t xml:space="preserve">Se enviaron 54 paquetes completos (listas de empaque, consumos y hoja de costos) a la lista de distribución de Oben. Lo relevante:</w:t>
      </w:r>
    </w:p>
    <w:p>
      <w:pPr>
        <w:pStyle w:val="ListParagraph"/>
        <w:numPr>
          <w:ilvl w:val="0"/>
          <w:numId w:val="2"/>
        </w:numPr>
        <w:spacing w:after="80" w:line="276"/>
      </w:pPr>
      <w:r>
        <w:rPr>
          <w:rFonts w:ascii="Arial" w:cs="Arial" w:eastAsia="Arial" w:hAnsi="Arial"/>
          <w:b/>
          <w:bCs/>
          <w:color w:val="333333"/>
          <w:sz w:val="21"/>
          <w:szCs w:val="21"/>
        </w:rPr>
        <w:t xml:space="preserve">Exportación sin esperar a COMEX: </w:t>
      </w:r>
      <w:r>
        <w:rPr>
          <w:rFonts w:ascii="Arial" w:cs="Arial" w:eastAsia="Arial" w:hAnsi="Arial"/>
          <w:color w:val="333333"/>
          <w:sz w:val="21"/>
          <w:szCs w:val="21"/>
        </w:rPr>
        <w:t xml:space="preserve">desde el 27 de octubre sale cuando llega "Aprobada en corte". El lunes 26 todavía se retenían: ese día se registraron 9 exportaciones esperando a COMEX; con la nueva regla ya no queda ninguna.</w:t>
      </w:r>
    </w:p>
    <w:p>
      <w:pPr>
        <w:pStyle w:val="ListParagraph"/>
        <w:numPr>
          <w:ilvl w:val="0"/>
          <w:numId w:val="2"/>
        </w:numPr>
        <w:spacing w:after="80" w:line="276"/>
      </w:pPr>
      <w:r>
        <w:rPr>
          <w:rFonts w:ascii="Arial" w:cs="Arial" w:eastAsia="Arial" w:hAnsi="Arial"/>
          <w:b/>
          <w:bCs/>
          <w:color w:val="333333"/>
          <w:sz w:val="21"/>
          <w:szCs w:val="21"/>
        </w:rPr>
        <w:t xml:space="preserve">Dos órdenes quedaron incompletas y en cola: </w:t>
      </w:r>
      <w:r>
        <w:rPr>
          <w:rFonts w:ascii="Arial" w:cs="Arial" w:eastAsia="Arial" w:hAnsi="Arial"/>
          <w:color w:val="333333"/>
          <w:sz w:val="21"/>
          <w:szCs w:val="21"/>
        </w:rPr>
        <w:t xml:space="preserve">la 11379 (miércoles) y la 11212 (jueves). A ambas les faltan el consumo de materia prima y la hoja de costos que Oben todavía no ha cargado; el sistema las reintenta solo y las envía en cuanto estén completas.</w:t>
      </w:r>
    </w:p>
    <w:p>
      <w:pPr>
        <w:pStyle w:val="ListParagraph"/>
        <w:numPr>
          <w:ilvl w:val="0"/>
          <w:numId w:val="2"/>
        </w:numPr>
        <w:spacing w:after="80" w:line="276"/>
      </w:pPr>
      <w:r>
        <w:rPr>
          <w:rFonts w:ascii="Arial" w:cs="Arial" w:eastAsia="Arial" w:hAnsi="Arial"/>
          <w:b/>
          <w:bCs/>
          <w:color w:val="333333"/>
          <w:sz w:val="21"/>
          <w:szCs w:val="21"/>
        </w:rPr>
        <w:t xml:space="preserve">Cartera sigue simulada: </w:t>
      </w:r>
      <w:r>
        <w:rPr>
          <w:rFonts w:ascii="Arial" w:cs="Arial" w:eastAsia="Arial" w:hAnsi="Arial"/>
          <w:color w:val="333333"/>
          <w:sz w:val="21"/>
          <w:szCs w:val="21"/>
        </w:rPr>
        <w:t xml:space="preserve">todas las listas salen con el aviso "cartera no verificada" porque Oben aún no tiene lista la API de cartera.</w:t>
      </w:r>
    </w:p>
    <w:p>
      <w:pPr>
        <w:pStyle w:val="Heading1"/>
        <w:spacing w:after="140" w:before="320"/>
      </w:pPr>
      <w:r>
        <w:rPr>
          <w:rFonts w:ascii="Arial" w:cs="Arial" w:eastAsia="Arial" w:hAnsi="Arial"/>
        </w:rPr>
        <w:t xml:space="preserve">4. Facturación</w:t>
      </w:r>
    </w:p>
    <w:p>
      <w:pPr>
        <w:pStyle w:val="Heading2"/>
        <w:spacing w:after="100" w:before="200"/>
      </w:pPr>
      <w:r>
        <w:rPr>
          <w:rFonts w:ascii="Arial" w:cs="Arial" w:eastAsia="Arial" w:hAnsi="Arial"/>
        </w:rPr>
        <w:t xml:space="preserve">4.1 Facturas creadas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900"/>
        <w:gridCol w:w="1800"/>
        <w:gridCol w:w="3160"/>
      </w:tblGrid>
      <w:tr>
        <w:trPr>
          <w:cantSplit/>
          <w:tblHeader/>
        </w:trPr>
        <w:tc>
          <w:tcPr>
            <w:tcW w:type="dxa" w:w="1000"/>
            <w:tcBorders>
              <w:top w:val="single" w:color="D9D9D9" w:sz="4"/>
              <w:left w:val="single" w:color="D9D9D9" w:sz="4"/>
              <w:bottom w:val="single" w:color="D9D9D9" w:sz="4"/>
              <w:right w:val="single" w:color="D9D9D9" w:sz="4"/>
            </w:tcBorders>
            <w:shd w:fill="F47735" w:color="auto" w:val="clear"/>
            <w:tcMar>
              <w:top w:type="dxa" w:w="70"/>
              <w:left w:type="dxa" w:w="110"/>
              <w:bottom w:type="dxa" w:w="70"/>
              <w:right w:type="dxa" w:w="110"/>
            </w:tcMar>
            <w:vAlign w:val="center"/>
          </w:tcPr>
          <w:p>
            <w:pPr>
              <w:spacing w:after="0"/>
              <w:jc w:val="left"/>
            </w:pPr>
            <w:r>
              <w:rPr>
                <w:rFonts w:ascii="Arial" w:cs="Arial" w:eastAsia="Arial" w:hAnsi="Arial"/>
                <w:b/>
                <w:bCs/>
                <w:color w:val="FFFFFF"/>
                <w:sz w:val="19"/>
                <w:szCs w:val="19"/>
              </w:rPr>
              <w:t xml:space="preserve">PF</w:t>
            </w:r>
          </w:p>
        </w:tc>
        <w:tc>
          <w:tcPr>
            <w:tcW w:type="dxa" w:w="1500"/>
            <w:tcBorders>
              <w:top w:val="single" w:color="D9D9D9" w:sz="4"/>
              <w:left w:val="single" w:color="D9D9D9" w:sz="4"/>
              <w:bottom w:val="single" w:color="D9D9D9" w:sz="4"/>
              <w:right w:val="single" w:color="D9D9D9" w:sz="4"/>
            </w:tcBorders>
            <w:shd w:fill="F47735" w:color="auto" w:val="clear"/>
            <w:tcMar>
              <w:top w:type="dxa" w:w="70"/>
              <w:left w:type="dxa" w:w="110"/>
              <w:bottom w:type="dxa" w:w="70"/>
              <w:right w:type="dxa" w:w="110"/>
            </w:tcMar>
            <w:vAlign w:val="center"/>
          </w:tcPr>
          <w:p>
            <w:pPr>
              <w:spacing w:after="0"/>
              <w:jc w:val="left"/>
            </w:pPr>
            <w:r>
              <w:rPr>
                <w:rFonts w:ascii="Arial" w:cs="Arial" w:eastAsia="Arial" w:hAnsi="Arial"/>
                <w:b/>
                <w:bCs/>
                <w:color w:val="FFFFFF"/>
                <w:sz w:val="19"/>
                <w:szCs w:val="19"/>
              </w:rPr>
              <w:t xml:space="preserve">Distribución</w:t>
            </w:r>
          </w:p>
        </w:tc>
        <w:tc>
          <w:tcPr>
            <w:tcW w:type="dxa" w:w="1900"/>
            <w:tcBorders>
              <w:top w:val="single" w:color="D9D9D9" w:sz="4"/>
              <w:left w:val="single" w:color="D9D9D9" w:sz="4"/>
              <w:bottom w:val="single" w:color="D9D9D9" w:sz="4"/>
              <w:right w:val="single" w:color="D9D9D9" w:sz="4"/>
            </w:tcBorders>
            <w:shd w:fill="F47735" w:color="auto" w:val="clear"/>
            <w:tcMar>
              <w:top w:type="dxa" w:w="70"/>
              <w:left w:type="dxa" w:w="110"/>
              <w:bottom w:type="dxa" w:w="70"/>
              <w:right w:type="dxa" w:w="110"/>
            </w:tcMar>
            <w:vAlign w:val="center"/>
          </w:tcPr>
          <w:p>
            <w:pPr>
              <w:spacing w:after="0"/>
              <w:jc w:val="left"/>
            </w:pPr>
            <w:r>
              <w:rPr>
                <w:rFonts w:ascii="Arial" w:cs="Arial" w:eastAsia="Arial" w:hAnsi="Arial"/>
                <w:b/>
                <w:bCs/>
                <w:color w:val="FFFFFF"/>
                <w:sz w:val="19"/>
                <w:szCs w:val="19"/>
              </w:rPr>
              <w:t xml:space="preserve">Fecha</w:t>
            </w:r>
          </w:p>
        </w:tc>
        <w:tc>
          <w:tcPr>
            <w:tcW w:type="dxa" w:w="1800"/>
            <w:tcBorders>
              <w:top w:val="single" w:color="D9D9D9" w:sz="4"/>
              <w:left w:val="single" w:color="D9D9D9" w:sz="4"/>
              <w:bottom w:val="single" w:color="D9D9D9" w:sz="4"/>
              <w:right w:val="single" w:color="D9D9D9" w:sz="4"/>
            </w:tcBorders>
            <w:shd w:fill="F47735" w:color="auto" w:val="clear"/>
            <w:tcMar>
              <w:top w:type="dxa" w:w="70"/>
              <w:left w:type="dxa" w:w="110"/>
              <w:bottom w:type="dxa" w:w="70"/>
              <w:right w:type="dxa" w:w="110"/>
            </w:tcMar>
            <w:vAlign w:val="center"/>
          </w:tcPr>
          <w:p>
            <w:pPr>
              <w:spacing w:after="0"/>
              <w:jc w:val="left"/>
            </w:pPr>
            <w:r>
              <w:rPr>
                <w:rFonts w:ascii="Arial" w:cs="Arial" w:eastAsia="Arial" w:hAnsi="Arial"/>
                <w:b/>
                <w:bCs/>
                <w:color w:val="FFFFFF"/>
                <w:sz w:val="19"/>
                <w:szCs w:val="19"/>
              </w:rPr>
              <w:t xml:space="preserve">Cómo se pidió</w:t>
            </w:r>
          </w:p>
        </w:tc>
        <w:tc>
          <w:tcPr>
            <w:tcW w:type="dxa" w:w="3160"/>
            <w:tcBorders>
              <w:top w:val="single" w:color="D9D9D9" w:sz="4"/>
              <w:left w:val="single" w:color="D9D9D9" w:sz="4"/>
              <w:bottom w:val="single" w:color="D9D9D9" w:sz="4"/>
              <w:right w:val="single" w:color="D9D9D9" w:sz="4"/>
            </w:tcBorders>
            <w:shd w:fill="F47735" w:color="auto" w:val="clear"/>
            <w:tcMar>
              <w:top w:type="dxa" w:w="70"/>
              <w:left w:type="dxa" w:w="110"/>
              <w:bottom w:type="dxa" w:w="70"/>
              <w:right w:type="dxa" w:w="110"/>
            </w:tcMar>
            <w:vAlign w:val="center"/>
          </w:tcPr>
          <w:p>
            <w:pPr>
              <w:spacing w:after="0"/>
              <w:jc w:val="left"/>
            </w:pPr>
            <w:r>
              <w:rPr>
                <w:rFonts w:ascii="Arial" w:cs="Arial" w:eastAsia="Arial" w:hAnsi="Arial"/>
                <w:b/>
                <w:bCs/>
                <w:color w:val="FFFFFF"/>
                <w:sz w:val="19"/>
                <w:szCs w:val="19"/>
              </w:rPr>
              <w:t xml:space="preserve">Observación</w:t>
            </w:r>
          </w:p>
        </w:tc>
      </w:tr>
      <w:tr>
        <w:trPr>
          <w:cantSplit/>
        </w:trPr>
        <w:tc>
          <w:tcPr>
            <w:tcW w:type="dxa" w:w="10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11504</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w:t>
            </w:r>
          </w:p>
        </w:tc>
        <w:tc>
          <w:tcPr>
            <w:tcW w:type="dxa" w:w="19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Mar 27, 11:42 a. m.</w:t>
            </w:r>
          </w:p>
        </w:tc>
        <w:tc>
          <w:tcPr>
            <w:tcW w:type="dxa" w:w="18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Automática</w:t>
            </w:r>
          </w:p>
        </w:tc>
        <w:tc>
          <w:tcPr>
            <w:tcW w:type="dxa" w:w="316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Al cerrar la orden</w:t>
            </w:r>
          </w:p>
        </w:tc>
      </w:tr>
      <w:tr>
        <w:trPr>
          <w:cantSplit/>
        </w:trPr>
        <w:tc>
          <w:tcPr>
            <w:tcW w:type="dxa" w:w="10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11532</w:t>
            </w:r>
          </w:p>
        </w:tc>
        <w:tc>
          <w:tcPr>
            <w:tcW w:type="dxa" w:w="15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w:t>
            </w:r>
          </w:p>
        </w:tc>
        <w:tc>
          <w:tcPr>
            <w:tcW w:type="dxa" w:w="19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Mar 27, 11:42 a. m.</w:t>
            </w:r>
          </w:p>
        </w:tc>
        <w:tc>
          <w:tcPr>
            <w:tcW w:type="dxa" w:w="18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Automática</w:t>
            </w:r>
          </w:p>
        </w:tc>
        <w:tc>
          <w:tcPr>
            <w:tcW w:type="dxa" w:w="316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Al cerrar la orden</w:t>
            </w:r>
          </w:p>
        </w:tc>
      </w:tr>
      <w:tr>
        <w:trPr>
          <w:cantSplit/>
        </w:trPr>
        <w:tc>
          <w:tcPr>
            <w:tcW w:type="dxa" w:w="10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11444</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w:t>
            </w:r>
          </w:p>
        </w:tc>
        <w:tc>
          <w:tcPr>
            <w:tcW w:type="dxa" w:w="19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Mié 28, 10:45 a. m.</w:t>
            </w:r>
          </w:p>
        </w:tc>
        <w:tc>
          <w:tcPr>
            <w:tcW w:type="dxa" w:w="18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Reintento diario</w:t>
            </w:r>
          </w:p>
        </w:tc>
        <w:tc>
          <w:tcPr>
            <w:tcW w:type="dxa" w:w="316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El martes Oben la rechazó por "aprobación pendiente"; al día siguiente sí pasó</w:t>
            </w:r>
          </w:p>
        </w:tc>
      </w:tr>
      <w:tr>
        <w:trPr>
          <w:cantSplit/>
        </w:trPr>
        <w:tc>
          <w:tcPr>
            <w:tcW w:type="dxa" w:w="10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11584</w:t>
            </w:r>
          </w:p>
        </w:tc>
        <w:tc>
          <w:tcPr>
            <w:tcW w:type="dxa" w:w="15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11349</w:t>
            </w:r>
          </w:p>
        </w:tc>
        <w:tc>
          <w:tcPr>
            <w:tcW w:type="dxa" w:w="19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Mié 28, 4:29 p. m.</w:t>
            </w:r>
          </w:p>
        </w:tc>
        <w:tc>
          <w:tcPr>
            <w:tcW w:type="dxa" w:w="18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Correo "Facturar parcial"</w:t>
            </w:r>
          </w:p>
        </w:tc>
        <w:tc>
          <w:tcPr>
            <w:tcW w:type="dxa" w:w="316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Parcial pedida por correo</w:t>
            </w:r>
          </w:p>
        </w:tc>
      </w:tr>
    </w:tbl>
    <w:p>
      <w:pPr>
        <w:spacing w:after="60"/>
      </w:pPr>
    </w:p>
    <w:p>
      <w:pPr>
        <w:pStyle w:val="Heading2"/>
        <w:spacing w:after="100" w:before="200"/>
      </w:pPr>
      <w:r>
        <w:rPr>
          <w:rFonts w:ascii="Arial" w:cs="Arial" w:eastAsia="Arial" w:hAnsi="Arial"/>
        </w:rPr>
        <w:t xml:space="preserve">4.2 Solicitudes que no salieron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500"/>
        <w:gridCol w:w="5760"/>
      </w:tblGrid>
      <w:tr>
        <w:trPr>
          <w:cantSplit/>
          <w:tblHeader/>
        </w:trPr>
        <w:tc>
          <w:tcPr>
            <w:tcW w:type="dxa" w:w="1000"/>
            <w:tcBorders>
              <w:top w:val="single" w:color="D9D9D9" w:sz="4"/>
              <w:left w:val="single" w:color="D9D9D9" w:sz="4"/>
              <w:bottom w:val="single" w:color="D9D9D9" w:sz="4"/>
              <w:right w:val="single" w:color="D9D9D9" w:sz="4"/>
            </w:tcBorders>
            <w:shd w:fill="F47735" w:color="auto" w:val="clear"/>
            <w:tcMar>
              <w:top w:type="dxa" w:w="70"/>
              <w:left w:type="dxa" w:w="110"/>
              <w:bottom w:type="dxa" w:w="70"/>
              <w:right w:type="dxa" w:w="110"/>
            </w:tcMar>
            <w:vAlign w:val="center"/>
          </w:tcPr>
          <w:p>
            <w:pPr>
              <w:spacing w:after="0"/>
              <w:jc w:val="left"/>
            </w:pPr>
            <w:r>
              <w:rPr>
                <w:rFonts w:ascii="Arial" w:cs="Arial" w:eastAsia="Arial" w:hAnsi="Arial"/>
                <w:b/>
                <w:bCs/>
                <w:color w:val="FFFFFF"/>
                <w:sz w:val="19"/>
                <w:szCs w:val="19"/>
              </w:rPr>
              <w:t xml:space="preserve">PF</w:t>
            </w:r>
          </w:p>
        </w:tc>
        <w:tc>
          <w:tcPr>
            <w:tcW w:type="dxa" w:w="1100"/>
            <w:tcBorders>
              <w:top w:val="single" w:color="D9D9D9" w:sz="4"/>
              <w:left w:val="single" w:color="D9D9D9" w:sz="4"/>
              <w:bottom w:val="single" w:color="D9D9D9" w:sz="4"/>
              <w:right w:val="single" w:color="D9D9D9" w:sz="4"/>
            </w:tcBorders>
            <w:shd w:fill="F47735" w:color="auto" w:val="clear"/>
            <w:tcMar>
              <w:top w:type="dxa" w:w="70"/>
              <w:left w:type="dxa" w:w="110"/>
              <w:bottom w:type="dxa" w:w="70"/>
              <w:right w:type="dxa" w:w="110"/>
            </w:tcMar>
            <w:vAlign w:val="center"/>
          </w:tcPr>
          <w:p>
            <w:pPr>
              <w:spacing w:after="0"/>
              <w:jc w:val="left"/>
            </w:pPr>
            <w:r>
              <w:rPr>
                <w:rFonts w:ascii="Arial" w:cs="Arial" w:eastAsia="Arial" w:hAnsi="Arial"/>
                <w:b/>
                <w:bCs/>
                <w:color w:val="FFFFFF"/>
                <w:sz w:val="19"/>
                <w:szCs w:val="19"/>
              </w:rPr>
              <w:t xml:space="preserve">Dist.</w:t>
            </w:r>
          </w:p>
        </w:tc>
        <w:tc>
          <w:tcPr>
            <w:tcW w:type="dxa" w:w="1500"/>
            <w:tcBorders>
              <w:top w:val="single" w:color="D9D9D9" w:sz="4"/>
              <w:left w:val="single" w:color="D9D9D9" w:sz="4"/>
              <w:bottom w:val="single" w:color="D9D9D9" w:sz="4"/>
              <w:right w:val="single" w:color="D9D9D9" w:sz="4"/>
            </w:tcBorders>
            <w:shd w:fill="F47735" w:color="auto" w:val="clear"/>
            <w:tcMar>
              <w:top w:type="dxa" w:w="70"/>
              <w:left w:type="dxa" w:w="110"/>
              <w:bottom w:type="dxa" w:w="70"/>
              <w:right w:type="dxa" w:w="110"/>
            </w:tcMar>
            <w:vAlign w:val="center"/>
          </w:tcPr>
          <w:p>
            <w:pPr>
              <w:spacing w:after="0"/>
              <w:jc w:val="left"/>
            </w:pPr>
            <w:r>
              <w:rPr>
                <w:rFonts w:ascii="Arial" w:cs="Arial" w:eastAsia="Arial" w:hAnsi="Arial"/>
                <w:b/>
                <w:bCs/>
                <w:color w:val="FFFFFF"/>
                <w:sz w:val="19"/>
                <w:szCs w:val="19"/>
              </w:rPr>
              <w:t xml:space="preserve">Estado</w:t>
            </w:r>
          </w:p>
        </w:tc>
        <w:tc>
          <w:tcPr>
            <w:tcW w:type="dxa" w:w="5760"/>
            <w:tcBorders>
              <w:top w:val="single" w:color="D9D9D9" w:sz="4"/>
              <w:left w:val="single" w:color="D9D9D9" w:sz="4"/>
              <w:bottom w:val="single" w:color="D9D9D9" w:sz="4"/>
              <w:right w:val="single" w:color="D9D9D9" w:sz="4"/>
            </w:tcBorders>
            <w:shd w:fill="F47735" w:color="auto" w:val="clear"/>
            <w:tcMar>
              <w:top w:type="dxa" w:w="70"/>
              <w:left w:type="dxa" w:w="110"/>
              <w:bottom w:type="dxa" w:w="70"/>
              <w:right w:type="dxa" w:w="110"/>
            </w:tcMar>
            <w:vAlign w:val="center"/>
          </w:tcPr>
          <w:p>
            <w:pPr>
              <w:spacing w:after="0"/>
              <w:jc w:val="left"/>
            </w:pPr>
            <w:r>
              <w:rPr>
                <w:rFonts w:ascii="Arial" w:cs="Arial" w:eastAsia="Arial" w:hAnsi="Arial"/>
                <w:b/>
                <w:bCs/>
                <w:color w:val="FFFFFF"/>
                <w:sz w:val="19"/>
                <w:szCs w:val="19"/>
              </w:rPr>
              <w:t xml:space="preserve">Motivo</w:t>
            </w:r>
          </w:p>
        </w:tc>
      </w:tr>
      <w:tr>
        <w:trPr>
          <w:cantSplit/>
        </w:trPr>
        <w:tc>
          <w:tcPr>
            <w:tcW w:type="dxa" w:w="10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11327</w:t>
            </w:r>
          </w:p>
        </w:tc>
        <w:tc>
          <w:tcPr>
            <w:tcW w:type="dxa" w:w="11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En espera</w:t>
            </w:r>
          </w:p>
        </w:tc>
        <w:tc>
          <w:tcPr>
            <w:tcW w:type="dxa" w:w="576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La proforma está en "Aprobación pendiente" dentro de OBEN MAS</w:t>
            </w:r>
          </w:p>
        </w:tc>
      </w:tr>
      <w:tr>
        <w:trPr>
          <w:cantSplit/>
        </w:trPr>
        <w:tc>
          <w:tcPr>
            <w:tcW w:type="dxa" w:w="10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11672</w:t>
            </w:r>
          </w:p>
        </w:tc>
        <w:tc>
          <w:tcPr>
            <w:tcW w:type="dxa" w:w="11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w:t>
            </w:r>
          </w:p>
        </w:tc>
        <w:tc>
          <w:tcPr>
            <w:tcW w:type="dxa" w:w="15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En espera</w:t>
            </w:r>
          </w:p>
        </w:tc>
        <w:tc>
          <w:tcPr>
            <w:tcW w:type="dxa" w:w="576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Igual: aprobación pendiente en OBEN MAS</w:t>
            </w:r>
          </w:p>
        </w:tc>
      </w:tr>
      <w:tr>
        <w:trPr>
          <w:cantSplit/>
        </w:trPr>
        <w:tc>
          <w:tcPr>
            <w:tcW w:type="dxa" w:w="10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11323</w:t>
            </w:r>
          </w:p>
        </w:tc>
        <w:tc>
          <w:tcPr>
            <w:tcW w:type="dxa" w:w="11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En espera</w:t>
            </w:r>
          </w:p>
        </w:tc>
        <w:tc>
          <w:tcPr>
            <w:tcW w:type="dxa" w:w="576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Igual: aprobación pendiente en OBEN MAS</w:t>
            </w:r>
          </w:p>
        </w:tc>
      </w:tr>
      <w:tr>
        <w:trPr>
          <w:cantSplit/>
        </w:trPr>
        <w:tc>
          <w:tcPr>
            <w:tcW w:type="dxa" w:w="10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11558</w:t>
            </w:r>
          </w:p>
        </w:tc>
        <w:tc>
          <w:tcPr>
            <w:tcW w:type="dxa" w:w="11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w:t>
            </w:r>
          </w:p>
        </w:tc>
        <w:tc>
          <w:tcPr>
            <w:tcW w:type="dxa" w:w="15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En espera</w:t>
            </w:r>
          </w:p>
        </w:tc>
        <w:tc>
          <w:tcPr>
            <w:tcW w:type="dxa" w:w="576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Igual: aprobación pendiente en OBEN MAS</w:t>
            </w:r>
          </w:p>
        </w:tc>
      </w:tr>
      <w:tr>
        <w:trPr>
          <w:cantSplit/>
        </w:trPr>
        <w:tc>
          <w:tcPr>
            <w:tcW w:type="dxa" w:w="10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11632</w:t>
            </w:r>
          </w:p>
        </w:tc>
        <w:tc>
          <w:tcPr>
            <w:tcW w:type="dxa" w:w="11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11346</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En espera</w:t>
            </w:r>
          </w:p>
        </w:tc>
        <w:tc>
          <w:tcPr>
            <w:tcW w:type="dxa" w:w="576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Igual: aprobación pendiente en OBEN MAS</w:t>
            </w:r>
          </w:p>
        </w:tc>
      </w:tr>
      <w:tr>
        <w:trPr>
          <w:cantSplit/>
        </w:trPr>
        <w:tc>
          <w:tcPr>
            <w:tcW w:type="dxa" w:w="10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11631</w:t>
            </w:r>
          </w:p>
        </w:tc>
        <w:tc>
          <w:tcPr>
            <w:tcW w:type="dxa" w:w="11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11347</w:t>
            </w:r>
          </w:p>
        </w:tc>
        <w:tc>
          <w:tcPr>
            <w:tcW w:type="dxa" w:w="15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En espera</w:t>
            </w:r>
          </w:p>
        </w:tc>
        <w:tc>
          <w:tcPr>
            <w:tcW w:type="dxa" w:w="576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Igual: aprobación pendiente en OBEN MAS</w:t>
            </w:r>
          </w:p>
        </w:tc>
      </w:tr>
      <w:tr>
        <w:trPr>
          <w:cantSplit/>
        </w:trPr>
        <w:tc>
          <w:tcPr>
            <w:tcW w:type="dxa" w:w="10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11580</w:t>
            </w:r>
          </w:p>
        </w:tc>
        <w:tc>
          <w:tcPr>
            <w:tcW w:type="dxa" w:w="11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En espera</w:t>
            </w:r>
          </w:p>
        </w:tc>
        <w:tc>
          <w:tcPr>
            <w:tcW w:type="dxa" w:w="576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Igual (jueves 29, 3:07 p. m.)</w:t>
            </w:r>
          </w:p>
        </w:tc>
      </w:tr>
      <w:tr>
        <w:trPr>
          <w:cantSplit/>
        </w:trPr>
        <w:tc>
          <w:tcPr>
            <w:tcW w:type="dxa" w:w="10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11462</w:t>
            </w:r>
          </w:p>
        </w:tc>
        <w:tc>
          <w:tcPr>
            <w:tcW w:type="dxa" w:w="11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w:t>
            </w:r>
          </w:p>
        </w:tc>
        <w:tc>
          <w:tcPr>
            <w:tcW w:type="dxa" w:w="15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Por verificar</w:t>
            </w:r>
          </w:p>
        </w:tc>
        <w:tc>
          <w:tcPr>
            <w:tcW w:type="dxa" w:w="576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Oben no respondió a tiempo: probablemente sí se creó; confirmar en OBEN MAS antes de repetir</w:t>
            </w:r>
          </w:p>
        </w:tc>
      </w:tr>
      <w:tr>
        <w:trPr>
          <w:cantSplit/>
        </w:trPr>
        <w:tc>
          <w:tcPr>
            <w:tcW w:type="dxa" w:w="10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11466</w:t>
            </w:r>
          </w:p>
        </w:tc>
        <w:tc>
          <w:tcPr>
            <w:tcW w:type="dxa" w:w="11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Por verificar</w:t>
            </w:r>
          </w:p>
        </w:tc>
        <w:tc>
          <w:tcPr>
            <w:tcW w:type="dxa" w:w="576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Igual: sin respuesta de Oben</w:t>
            </w:r>
          </w:p>
        </w:tc>
      </w:tr>
      <w:tr>
        <w:trPr>
          <w:cantSplit/>
        </w:trPr>
        <w:tc>
          <w:tcPr>
            <w:tcW w:type="dxa" w:w="10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11602</w:t>
            </w:r>
          </w:p>
        </w:tc>
        <w:tc>
          <w:tcPr>
            <w:tcW w:type="dxa" w:w="11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w:t>
            </w:r>
          </w:p>
        </w:tc>
        <w:tc>
          <w:tcPr>
            <w:tcW w:type="dxa" w:w="15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Pendiente</w:t>
            </w:r>
          </w:p>
        </w:tc>
        <w:tc>
          <w:tcPr>
            <w:tcW w:type="dxa" w:w="576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El cliente OBEN DISTRIBUIDORA COLOMBIA está bloqueado para pedir facturas por la API</w:t>
            </w:r>
          </w:p>
        </w:tc>
      </w:tr>
      <w:tr>
        <w:trPr>
          <w:cantSplit/>
        </w:trPr>
        <w:tc>
          <w:tcPr>
            <w:tcW w:type="dxa" w:w="10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11614</w:t>
            </w:r>
          </w:p>
        </w:tc>
        <w:tc>
          <w:tcPr>
            <w:tcW w:type="dxa" w:w="11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11323</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Pendiente</w:t>
            </w:r>
          </w:p>
        </w:tc>
        <w:tc>
          <w:tcPr>
            <w:tcW w:type="dxa" w:w="576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No se pudo confirmar que sea una orden nacional (no aparece en el listado de proformas): no se factura</w:t>
            </w:r>
          </w:p>
        </w:tc>
      </w:tr>
      <w:tr>
        <w:trPr>
          <w:cantSplit/>
        </w:trPr>
        <w:tc>
          <w:tcPr>
            <w:tcW w:type="dxa" w:w="10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11633</w:t>
            </w:r>
          </w:p>
        </w:tc>
        <w:tc>
          <w:tcPr>
            <w:tcW w:type="dxa" w:w="11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11320</w:t>
            </w:r>
          </w:p>
        </w:tc>
        <w:tc>
          <w:tcPr>
            <w:tcW w:type="dxa" w:w="15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Pendiente</w:t>
            </w:r>
          </w:p>
        </w:tc>
        <w:tc>
          <w:tcPr>
            <w:tcW w:type="dxa" w:w="576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No estaba en la programación del lunes 26; se factura el día que Oben la programe</w:t>
            </w:r>
          </w:p>
        </w:tc>
      </w:tr>
    </w:tbl>
    <w:p>
      <w:pPr>
        <w:spacing w:after="60"/>
      </w:pPr>
    </w:p>
    <w:p>
      <w:pPr>
        <w:pStyle w:val="Heading2"/>
        <w:spacing w:after="100" w:before="200"/>
      </w:pPr>
      <w:r>
        <w:rPr>
          <w:rFonts w:ascii="Arial" w:cs="Arial" w:eastAsia="Arial" w:hAnsi="Arial"/>
        </w:rPr>
        <w:t xml:space="preserve">4.3 Pedidos que el sistema decidió no facturar (desde el martes 27)</w:t>
      </w:r>
    </w:p>
    <w:p>
      <w:pPr>
        <w:pStyle w:val="ListParagraph"/>
        <w:numPr>
          <w:ilvl w:val="0"/>
          <w:numId w:val="2"/>
        </w:numPr>
        <w:spacing w:after="80" w:line="276"/>
      </w:pPr>
      <w:r>
        <w:rPr>
          <w:rFonts w:ascii="Arial" w:cs="Arial" w:eastAsia="Arial" w:hAnsi="Arial"/>
          <w:b/>
          <w:bCs/>
          <w:color w:val="333333"/>
          <w:sz w:val="21"/>
          <w:szCs w:val="21"/>
        </w:rPr>
        <w:t xml:space="preserve">31 por no estar en el cuadro del día </w:t>
      </w:r>
      <w:r>
        <w:rPr>
          <w:rFonts w:ascii="Arial" w:cs="Arial" w:eastAsia="Arial" w:hAnsi="Arial"/>
          <w:color w:val="333333"/>
          <w:sz w:val="21"/>
          <w:szCs w:val="21"/>
        </w:rPr>
        <w:t xml:space="preserve">(regla acordada: solo se factura lo que Oben programa cada día); además las pocas que cerraron fuera de horario o por otras reglas.</w:t>
      </w:r>
    </w:p>
    <w:p>
      <w:pPr>
        <w:pStyle w:val="ListParagraph"/>
        <w:numPr>
          <w:ilvl w:val="0"/>
          <w:numId w:val="2"/>
        </w:numPr>
        <w:spacing w:after="80" w:line="276"/>
      </w:pPr>
      <w:r>
        <w:rPr>
          <w:rFonts w:ascii="Arial" w:cs="Arial" w:eastAsia="Arial" w:hAnsi="Arial"/>
          <w:b/>
          <w:bCs/>
          <w:color w:val="333333"/>
          <w:sz w:val="21"/>
          <w:szCs w:val="21"/>
        </w:rPr>
        <w:t xml:space="preserve">7 por no ser nacionales </w:t>
      </w:r>
      <w:r>
        <w:rPr>
          <w:rFonts w:ascii="Arial" w:cs="Arial" w:eastAsia="Arial" w:hAnsi="Arial"/>
          <w:color w:val="333333"/>
          <w:sz w:val="21"/>
          <w:szCs w:val="21"/>
        </w:rPr>
        <w:t xml:space="preserve">(USA 4, Guatemala 2, México 1): la factura de exportación sigue sin salir en vivo, a la espera de COMEX.</w:t>
      </w:r>
    </w:p>
    <w:p>
      <w:pPr>
        <w:pStyle w:val="ListParagraph"/>
        <w:numPr>
          <w:ilvl w:val="0"/>
          <w:numId w:val="2"/>
        </w:numPr>
        <w:spacing w:after="80" w:line="276"/>
      </w:pPr>
      <w:r>
        <w:rPr>
          <w:rFonts w:ascii="Arial" w:cs="Arial" w:eastAsia="Arial" w:hAnsi="Arial"/>
          <w:b/>
          <w:bCs/>
          <w:color w:val="333333"/>
          <w:sz w:val="21"/>
          <w:szCs w:val="21"/>
        </w:rPr>
        <w:t xml:space="preserve">2 por cerrar después del corte de las 4:00 p. m.</w:t>
      </w:r>
    </w:p>
    <w:p>
      <w:pPr>
        <w:spacing w:before="80"/>
      </w:pPr>
      <w:r>
        <w:rPr>
          <w:rFonts w:ascii="Arial" w:cs="Arial" w:eastAsia="Arial" w:hAnsi="Arial"/>
          <w:i/>
          <w:iCs/>
          <w:color w:val="777777"/>
          <w:sz w:val="18"/>
          <w:szCs w:val="18"/>
        </w:rPr>
        <w:t xml:space="preserve">Las llamadas a Oben se hacen de a una por pedido y nunca se repiten sin verificar, para no duplicar facturas.</w:t>
      </w:r>
    </w:p>
    <w:p>
      <w:pPr>
        <w:pStyle w:val="Heading1"/>
        <w:spacing w:after="140" w:before="320"/>
      </w:pPr>
      <w:r>
        <w:rPr>
          <w:rFonts w:ascii="Arial" w:cs="Arial" w:eastAsia="Arial" w:hAnsi="Arial"/>
        </w:rPr>
        <w:t xml:space="preserve">5. Liquidación y COMEX</w:t>
      </w:r>
    </w:p>
    <w:p>
      <w:pPr>
        <w:pStyle w:val="ListParagraph"/>
        <w:numPr>
          <w:ilvl w:val="0"/>
          <w:numId w:val="2"/>
        </w:numPr>
        <w:spacing w:after="80" w:line="276"/>
      </w:pPr>
      <w:r>
        <w:rPr>
          <w:rFonts w:ascii="Arial" w:cs="Arial" w:eastAsia="Arial" w:hAnsi="Arial"/>
          <w:b/>
          <w:bCs/>
          <w:color w:val="333333"/>
          <w:sz w:val="21"/>
          <w:szCs w:val="21"/>
        </w:rPr>
        <w:t xml:space="preserve">Avisos a COMEX: 27 enviados </w:t>
      </w:r>
      <w:r>
        <w:rPr>
          <w:rFonts w:ascii="Arial" w:cs="Arial" w:eastAsia="Arial" w:hAnsi="Arial"/>
          <w:color w:val="333333"/>
          <w:sz w:val="21"/>
          <w:szCs w:val="21"/>
        </w:rPr>
        <w:t xml:space="preserve">(2 el lunes, 22 el martes, 3 el miércoles), uno por orden de exportación. Desde el martes, otros 11 pedidos se omitieron porque son nacionales y no llevan liquidación, y 7 porque ya se había avisado de esa liquidación.</w:t>
      </w:r>
    </w:p>
    <w:p>
      <w:pPr>
        <w:pStyle w:val="ListParagraph"/>
        <w:numPr>
          <w:ilvl w:val="0"/>
          <w:numId w:val="2"/>
        </w:numPr>
        <w:spacing w:after="80" w:line="276"/>
      </w:pPr>
      <w:r>
        <w:rPr>
          <w:rFonts w:ascii="Arial" w:cs="Arial" w:eastAsia="Arial" w:hAnsi="Arial"/>
          <w:b/>
          <w:bCs/>
          <w:color w:val="333333"/>
          <w:sz w:val="21"/>
          <w:szCs w:val="21"/>
        </w:rPr>
        <w:t xml:space="preserve">Sin aprobaciones. </w:t>
      </w:r>
      <w:r>
        <w:rPr>
          <w:rFonts w:ascii="Arial" w:cs="Arial" w:eastAsia="Arial" w:hAnsi="Arial"/>
          <w:color w:val="333333"/>
          <w:sz w:val="21"/>
          <w:szCs w:val="21"/>
        </w:rPr>
        <w:t xml:space="preserve">Ninguna liquidación fue aprobada por COMEX esta semana. Las listas de empaque ya no dependen de ello, pero la factura de exportación y el correo "Se realizó revisión de liquidación de COMEX" sí.</w:t>
      </w:r>
    </w:p>
    <w:p>
      <w:pPr>
        <w:pStyle w:val="ListParagraph"/>
        <w:numPr>
          <w:ilvl w:val="0"/>
          <w:numId w:val="2"/>
        </w:numPr>
        <w:spacing w:after="80" w:line="276"/>
      </w:pPr>
      <w:r>
        <w:rPr>
          <w:rFonts w:ascii="Arial" w:cs="Arial" w:eastAsia="Arial" w:hAnsi="Arial"/>
          <w:b/>
          <w:bCs/>
          <w:color w:val="333333"/>
          <w:sz w:val="21"/>
          <w:szCs w:val="21"/>
        </w:rPr>
        <w:t xml:space="preserve">Lunes 26: </w:t>
      </w:r>
      <w:r>
        <w:rPr>
          <w:rFonts w:ascii="Arial" w:cs="Arial" w:eastAsia="Arial" w:hAnsi="Arial"/>
          <w:color w:val="333333"/>
          <w:sz w:val="21"/>
          <w:szCs w:val="21"/>
        </w:rPr>
        <w:t xml:space="preserve">se crearon las listas de distribución de COMEX (María, Lia y Diana, con copia a Jorge y José) y la liquidación quedó apuntando al servidor de producción de Oben, además de enviarse el resumen de pendientes a COMEX, Facturación y José.</w:t>
      </w:r>
    </w:p>
    <w:p>
      <w:pPr>
        <w:pStyle w:val="ListParagraph"/>
        <w:numPr>
          <w:ilvl w:val="0"/>
          <w:numId w:val="2"/>
        </w:numPr>
        <w:spacing w:after="80" w:line="276"/>
      </w:pPr>
      <w:r>
        <w:rPr>
          <w:rFonts w:ascii="Arial" w:cs="Arial" w:eastAsia="Arial" w:hAnsi="Arial"/>
          <w:b/>
          <w:bCs/>
          <w:color w:val="333333"/>
          <w:sz w:val="21"/>
          <w:szCs w:val="21"/>
        </w:rPr>
        <w:t xml:space="preserve">Miércoles 28, a pedido de María Escobar: </w:t>
      </w:r>
      <w:r>
        <w:rPr>
          <w:rFonts w:ascii="Arial" w:cs="Arial" w:eastAsia="Arial" w:hAnsi="Arial"/>
          <w:color w:val="333333"/>
          <w:sz w:val="21"/>
          <w:szCs w:val="21"/>
        </w:rPr>
        <w:t xml:space="preserve">la proforma se ve y se descarga con el mismo formato del documento de OBEN MAS (PDF, pantalla y Excel), armada solo con datos de Oben. Además el sistema guarda una copia cada vez que Oben la entrega, porque Oben deja de darla una vez liquidada.</w:t>
      </w:r>
    </w:p>
    <w:p>
      <w:pPr>
        <w:pStyle w:val="Heading1"/>
        <w:spacing w:after="140" w:before="320"/>
      </w:pPr>
      <w:r>
        <w:rPr>
          <w:rFonts w:ascii="Arial" w:cs="Arial" w:eastAsia="Arial" w:hAnsi="Arial"/>
        </w:rPr>
        <w:t xml:space="preserve">6. Comercial</w:t>
      </w:r>
    </w:p>
    <w:p>
      <w:pPr>
        <w:pStyle w:val="ListParagraph"/>
        <w:numPr>
          <w:ilvl w:val="0"/>
          <w:numId w:val="2"/>
        </w:numPr>
        <w:spacing w:after="80" w:line="276"/>
      </w:pPr>
      <w:r>
        <w:rPr>
          <w:rFonts w:ascii="Arial" w:cs="Arial" w:eastAsia="Arial" w:hAnsi="Arial"/>
          <w:b/>
          <w:bCs/>
          <w:color w:val="333333"/>
          <w:sz w:val="21"/>
          <w:szCs w:val="21"/>
        </w:rPr>
        <w:t xml:space="preserve">Correos de cubicación: 54 recibidos, 43 proformas distintas, ninguna con caso en Oben Xmart. </w:t>
      </w:r>
      <w:r>
        <w:rPr>
          <w:rFonts w:ascii="Arial" w:cs="Arial" w:eastAsia="Arial" w:hAnsi="Arial"/>
          <w:color w:val="333333"/>
          <w:sz w:val="21"/>
          <w:szCs w:val="21"/>
        </w:rPr>
        <w:t xml:space="preserve">Planeación cubica proformas que Comercial sigue creando en OBEN MAS; el sistema las registra pero no las gestiona.</w:t>
      </w:r>
    </w:p>
    <w:p>
      <w:pPr>
        <w:pStyle w:val="ListParagraph"/>
        <w:numPr>
          <w:ilvl w:val="0"/>
          <w:numId w:val="2"/>
        </w:numPr>
        <w:spacing w:after="80" w:line="276"/>
      </w:pPr>
      <w:r>
        <w:rPr>
          <w:rFonts w:ascii="Arial" w:cs="Arial" w:eastAsia="Arial" w:hAnsi="Arial"/>
          <w:b/>
          <w:bCs/>
          <w:color w:val="333333"/>
          <w:sz w:val="21"/>
          <w:szCs w:val="21"/>
        </w:rPr>
        <w:t xml:space="preserve">Ruido que conviene limpiar: </w:t>
      </w:r>
      <w:r>
        <w:rPr>
          <w:rFonts w:ascii="Arial" w:cs="Arial" w:eastAsia="Arial" w:hAnsi="Arial"/>
          <w:color w:val="333333"/>
          <w:sz w:val="21"/>
          <w:szCs w:val="21"/>
        </w:rPr>
        <w:t xml:space="preserve">86 correos fallidos durante la semana son el mismo envío reintentado cada hora de la proforma de prueba SIM-95006, que se manda a una dirección ficticia y el servidor de correo rechaza. No hace daño, pero llena el registro de errores; propongo anular ese caso de prueba.</w:t>
      </w:r>
    </w:p>
    <w:p>
      <w:pPr>
        <w:pStyle w:val="ListParagraph"/>
        <w:numPr>
          <w:ilvl w:val="0"/>
          <w:numId w:val="2"/>
        </w:numPr>
        <w:spacing w:after="80" w:line="276"/>
      </w:pPr>
      <w:r>
        <w:rPr>
          <w:rFonts w:ascii="Arial" w:cs="Arial" w:eastAsia="Arial" w:hAnsi="Arial"/>
          <w:b/>
          <w:bCs/>
          <w:color w:val="333333"/>
          <w:sz w:val="21"/>
          <w:szCs w:val="21"/>
        </w:rPr>
        <w:t xml:space="preserve">Jueves 29: </w:t>
      </w:r>
      <w:r>
        <w:rPr>
          <w:rFonts w:ascii="Arial" w:cs="Arial" w:eastAsia="Arial" w:hAnsi="Arial"/>
          <w:color w:val="333333"/>
          <w:sz w:val="21"/>
          <w:szCs w:val="21"/>
        </w:rPr>
        <w:t xml:space="preserve">José respondió el anexo de pendientes. Quedó desplegado en producción que la API de crear OV devuelve la lista de órdenes con sus SKU, que el PDF oficial de la proforma llega adjunto al correo de cubicación y se envía al cliente, y que las observaciones de las facturas nacionales llevan los totales en letras. Se le envió a José el mensaje con las 9 preguntas que siguen abiertas.</w:t>
      </w:r>
    </w:p>
    <w:p>
      <w:pPr>
        <w:pStyle w:val="ListParagraph"/>
        <w:numPr>
          <w:ilvl w:val="0"/>
          <w:numId w:val="2"/>
        </w:numPr>
        <w:spacing w:after="80" w:line="276"/>
      </w:pPr>
      <w:r>
        <w:rPr>
          <w:rFonts w:ascii="Arial" w:cs="Arial" w:eastAsia="Arial" w:hAnsi="Arial"/>
          <w:b/>
          <w:bCs/>
          <w:color w:val="333333"/>
          <w:sz w:val="21"/>
          <w:szCs w:val="21"/>
        </w:rPr>
        <w:t xml:space="preserve">APIs comerciales: </w:t>
      </w:r>
      <w:r>
        <w:rPr>
          <w:rFonts w:ascii="Arial" w:cs="Arial" w:eastAsia="Arial" w:hAnsi="Arial"/>
          <w:color w:val="333333"/>
          <w:sz w:val="21"/>
          <w:szCs w:val="21"/>
        </w:rPr>
        <w:t xml:space="preserve">José dice que están en producción desde el lunes 26 al mediodía, pero el jueves 29 seguían respondiendo "no existe" en los servidores de producción que conocemos. Pendiente de su respuesta.</w:t>
      </w:r>
    </w:p>
    <w:p>
      <w:pPr>
        <w:pStyle w:val="Heading1"/>
        <w:spacing w:after="140" w:before="320"/>
      </w:pPr>
      <w:r>
        <w:rPr>
          <w:rFonts w:ascii="Arial" w:cs="Arial" w:eastAsia="Arial" w:hAnsi="Arial"/>
        </w:rPr>
        <w:t xml:space="preserve">7. Cambios en la plataforma esta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blHeader/>
        </w:trPr>
        <w:tc>
          <w:tcPr>
            <w:tcW w:type="dxa" w:w="1300"/>
            <w:tcBorders>
              <w:top w:val="single" w:color="D9D9D9" w:sz="4"/>
              <w:left w:val="single" w:color="D9D9D9" w:sz="4"/>
              <w:bottom w:val="single" w:color="D9D9D9" w:sz="4"/>
              <w:right w:val="single" w:color="D9D9D9" w:sz="4"/>
            </w:tcBorders>
            <w:shd w:fill="F47735" w:color="auto" w:val="clear"/>
            <w:tcMar>
              <w:top w:type="dxa" w:w="70"/>
              <w:left w:type="dxa" w:w="110"/>
              <w:bottom w:type="dxa" w:w="70"/>
              <w:right w:type="dxa" w:w="110"/>
            </w:tcMar>
            <w:vAlign w:val="center"/>
          </w:tcPr>
          <w:p>
            <w:pPr>
              <w:spacing w:after="0"/>
              <w:jc w:val="left"/>
            </w:pPr>
            <w:r>
              <w:rPr>
                <w:rFonts w:ascii="Arial" w:cs="Arial" w:eastAsia="Arial" w:hAnsi="Arial"/>
                <w:b/>
                <w:bCs/>
                <w:color w:val="FFFFFF"/>
                <w:sz w:val="19"/>
                <w:szCs w:val="19"/>
              </w:rPr>
              <w:t xml:space="preserve">Fecha</w:t>
            </w:r>
          </w:p>
        </w:tc>
        <w:tc>
          <w:tcPr>
            <w:tcW w:type="dxa" w:w="8060"/>
            <w:tcBorders>
              <w:top w:val="single" w:color="D9D9D9" w:sz="4"/>
              <w:left w:val="single" w:color="D9D9D9" w:sz="4"/>
              <w:bottom w:val="single" w:color="D9D9D9" w:sz="4"/>
              <w:right w:val="single" w:color="D9D9D9" w:sz="4"/>
            </w:tcBorders>
            <w:shd w:fill="F47735" w:color="auto" w:val="clear"/>
            <w:tcMar>
              <w:top w:type="dxa" w:w="70"/>
              <w:left w:type="dxa" w:w="110"/>
              <w:bottom w:type="dxa" w:w="70"/>
              <w:right w:type="dxa" w:w="110"/>
            </w:tcMar>
            <w:vAlign w:val="center"/>
          </w:tcPr>
          <w:p>
            <w:pPr>
              <w:spacing w:after="0"/>
              <w:jc w:val="left"/>
            </w:pPr>
            <w:r>
              <w:rPr>
                <w:rFonts w:ascii="Arial" w:cs="Arial" w:eastAsia="Arial" w:hAnsi="Arial"/>
                <w:b/>
                <w:bCs/>
                <w:color w:val="FFFFFF"/>
                <w:sz w:val="19"/>
                <w:szCs w:val="19"/>
              </w:rPr>
              <w:t xml:space="preserve">Cambio</w:t>
            </w:r>
          </w:p>
        </w:tc>
      </w:tr>
      <w:tr>
        <w:trPr>
          <w:cantSplit/>
        </w:trPr>
        <w:tc>
          <w:tcPr>
            <w:tcW w:type="dxa" w:w="13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Lun 26</w:t>
            </w:r>
          </w:p>
        </w:tc>
        <w:tc>
          <w:tcPr>
            <w:tcW w:type="dxa" w:w="806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Liquidación COMEX en producción; listas de distribución de COMEX; avisos de pendientes a COMEX, Facturación y José</w:t>
            </w:r>
          </w:p>
        </w:tc>
      </w:tr>
      <w:tr>
        <w:trPr>
          <w:cantSplit/>
        </w:trPr>
        <w:tc>
          <w:tcPr>
            <w:tcW w:type="dxa" w:w="13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Mar 27</w:t>
            </w:r>
          </w:p>
        </w:tc>
        <w:tc>
          <w:tcPr>
            <w:tcW w:type="dxa" w:w="806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La lista de empaque de exportación sale al llegar "Aprobada en corte"; el cuadro de facturación se lee solo desde SharePoint (cada 5 minutos)</w:t>
            </w:r>
          </w:p>
        </w:tc>
      </w:tr>
      <w:tr>
        <w:trPr>
          <w:cantSplit/>
        </w:trPr>
        <w:tc>
          <w:tcPr>
            <w:tcW w:type="dxa" w:w="13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Mié 28</w:t>
            </w:r>
          </w:p>
        </w:tc>
        <w:tc>
          <w:tcPr>
            <w:tcW w:type="dxa" w:w="806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MIA pasa a OpenRouter (GLM Flash, con DeepSeek de respaldo) por costo; modo inteligente para imagen y video con topes de gasto (por pedido, por día y por mes) y registro de cada uso</w:t>
            </w:r>
          </w:p>
        </w:tc>
      </w:tr>
      <w:tr>
        <w:trPr>
          <w:cantSplit/>
        </w:trPr>
        <w:tc>
          <w:tcPr>
            <w:tcW w:type="dxa" w:w="13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Mié 28</w:t>
            </w:r>
          </w:p>
        </w:tc>
        <w:tc>
          <w:tcPr>
            <w:tcW w:type="dxa" w:w="806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Proforma con el formato del documento de OBEN MAS (PDF, pantalla y Excel) y copia de seguridad de cada proforma</w:t>
            </w:r>
          </w:p>
        </w:tc>
      </w:tr>
      <w:tr>
        <w:trPr>
          <w:cantSplit/>
        </w:trPr>
        <w:tc>
          <w:tcPr>
            <w:tcW w:type="dxa" w:w="13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Jue 29</w:t>
            </w:r>
          </w:p>
        </w:tc>
        <w:tc>
          <w:tcPr>
            <w:tcW w:type="dxa" w:w="806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Lista de órdenes de venta de Oben, PDF oficial de la proforma y totales en letras en observaciones; mensaje a José</w:t>
            </w:r>
          </w:p>
        </w:tc>
      </w:tr>
    </w:tbl>
    <w:p>
      <w:pPr>
        <w:spacing w:after="60"/>
      </w:pPr>
    </w:p>
    <w:p>
      <w:pPr>
        <w:spacing w:after="120" w:line="276"/>
      </w:pPr>
      <w:r>
        <w:rPr>
          <w:rFonts w:ascii="Arial" w:cs="Arial" w:eastAsia="Arial" w:hAnsi="Arial"/>
          <w:color w:val="333333"/>
          <w:sz w:val="20"/>
          <w:szCs w:val="20"/>
        </w:rPr>
        <w:t xml:space="preserve">Xmart Academy tuvo 13 actividades de 3 usuarios esta semana; la certificación obligatoria sigue apagada. El sistema tiene 8 usuarios. Todos los cambios están en producción y en el repositorio (rama main).</w:t>
      </w:r>
    </w:p>
    <w:p>
      <w:pPr>
        <w:pStyle w:val="Heading1"/>
        <w:spacing w:after="140" w:before="320"/>
      </w:pPr>
      <w:r>
        <w:rPr>
          <w:rFonts w:ascii="Arial" w:cs="Arial" w:eastAsia="Arial" w:hAnsi="Arial"/>
        </w:rPr>
        <w:t xml:space="preserve">8. Pendientes y 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4160"/>
      </w:tblGrid>
      <w:tr>
        <w:trPr>
          <w:cantSplit/>
          <w:tblHeader/>
        </w:trPr>
        <w:tc>
          <w:tcPr>
            <w:tcW w:type="dxa" w:w="3500"/>
            <w:tcBorders>
              <w:top w:val="single" w:color="D9D9D9" w:sz="4"/>
              <w:left w:val="single" w:color="D9D9D9" w:sz="4"/>
              <w:bottom w:val="single" w:color="D9D9D9" w:sz="4"/>
              <w:right w:val="single" w:color="D9D9D9" w:sz="4"/>
            </w:tcBorders>
            <w:shd w:fill="F47735" w:color="auto" w:val="clear"/>
            <w:tcMar>
              <w:top w:type="dxa" w:w="70"/>
              <w:left w:type="dxa" w:w="110"/>
              <w:bottom w:type="dxa" w:w="70"/>
              <w:right w:type="dxa" w:w="110"/>
            </w:tcMar>
            <w:vAlign w:val="center"/>
          </w:tcPr>
          <w:p>
            <w:pPr>
              <w:spacing w:after="0"/>
              <w:jc w:val="left"/>
            </w:pPr>
            <w:r>
              <w:rPr>
                <w:rFonts w:ascii="Arial" w:cs="Arial" w:eastAsia="Arial" w:hAnsi="Arial"/>
                <w:b/>
                <w:bCs/>
                <w:color w:val="FFFFFF"/>
                <w:sz w:val="19"/>
                <w:szCs w:val="19"/>
              </w:rPr>
              <w:t xml:space="preserve">Pendiente</w:t>
            </w:r>
          </w:p>
        </w:tc>
        <w:tc>
          <w:tcPr>
            <w:tcW w:type="dxa" w:w="1700"/>
            <w:tcBorders>
              <w:top w:val="single" w:color="D9D9D9" w:sz="4"/>
              <w:left w:val="single" w:color="D9D9D9" w:sz="4"/>
              <w:bottom w:val="single" w:color="D9D9D9" w:sz="4"/>
              <w:right w:val="single" w:color="D9D9D9" w:sz="4"/>
            </w:tcBorders>
            <w:shd w:fill="F47735" w:color="auto" w:val="clear"/>
            <w:tcMar>
              <w:top w:type="dxa" w:w="70"/>
              <w:left w:type="dxa" w:w="110"/>
              <w:bottom w:type="dxa" w:w="70"/>
              <w:right w:type="dxa" w:w="110"/>
            </w:tcMar>
            <w:vAlign w:val="center"/>
          </w:tcPr>
          <w:p>
            <w:pPr>
              <w:spacing w:after="0"/>
              <w:jc w:val="left"/>
            </w:pPr>
            <w:r>
              <w:rPr>
                <w:rFonts w:ascii="Arial" w:cs="Arial" w:eastAsia="Arial" w:hAnsi="Arial"/>
                <w:b/>
                <w:bCs/>
                <w:color w:val="FFFFFF"/>
                <w:sz w:val="19"/>
                <w:szCs w:val="19"/>
              </w:rPr>
              <w:t xml:space="preserve">Responsable</w:t>
            </w:r>
          </w:p>
        </w:tc>
        <w:tc>
          <w:tcPr>
            <w:tcW w:type="dxa" w:w="4160"/>
            <w:tcBorders>
              <w:top w:val="single" w:color="D9D9D9" w:sz="4"/>
              <w:left w:val="single" w:color="D9D9D9" w:sz="4"/>
              <w:bottom w:val="single" w:color="D9D9D9" w:sz="4"/>
              <w:right w:val="single" w:color="D9D9D9" w:sz="4"/>
            </w:tcBorders>
            <w:shd w:fill="F47735" w:color="auto" w:val="clear"/>
            <w:tcMar>
              <w:top w:type="dxa" w:w="70"/>
              <w:left w:type="dxa" w:w="110"/>
              <w:bottom w:type="dxa" w:w="70"/>
              <w:right w:type="dxa" w:w="110"/>
            </w:tcMar>
            <w:vAlign w:val="center"/>
          </w:tcPr>
          <w:p>
            <w:pPr>
              <w:spacing w:after="0"/>
              <w:jc w:val="left"/>
            </w:pPr>
            <w:r>
              <w:rPr>
                <w:rFonts w:ascii="Arial" w:cs="Arial" w:eastAsia="Arial" w:hAnsi="Arial"/>
                <w:b/>
                <w:bCs/>
                <w:color w:val="FFFFFF"/>
                <w:sz w:val="19"/>
                <w:szCs w:val="19"/>
              </w:rPr>
              <w:t xml:space="preserve">Qué se necesita</w:t>
            </w:r>
          </w:p>
        </w:tc>
      </w:tr>
      <w:tr>
        <w:trPr>
          <w:cantSplit/>
        </w:trPr>
        <w:tc>
          <w:tcPr>
            <w:tcW w:type="dxa" w:w="35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Aprobar liquidaciones de exportación</w:t>
            </w:r>
          </w:p>
        </w:tc>
        <w:tc>
          <w:tcPr>
            <w:tcW w:type="dxa" w:w="17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COMEX</w:t>
            </w:r>
          </w:p>
        </w:tc>
        <w:tc>
          <w:tcPr>
            <w:tcW w:type="dxa" w:w="416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Revisar y aprobar las que llegan por correo; sin eso no sale la factura de exportación ni el correo de revisión</w:t>
            </w:r>
          </w:p>
        </w:tc>
      </w:tr>
      <w:tr>
        <w:trPr>
          <w:cantSplit/>
        </w:trPr>
        <w:tc>
          <w:tcPr>
            <w:tcW w:type="dxa" w:w="35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7 facturas en "aprobación pendiente"</w:t>
            </w:r>
          </w:p>
        </w:tc>
        <w:tc>
          <w:tcPr>
            <w:tcW w:type="dxa" w:w="17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Comercial / Facturación</w:t>
            </w:r>
          </w:p>
        </w:tc>
        <w:tc>
          <w:tcPr>
            <w:tcW w:type="dxa" w:w="416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Aprobar esas proformas dentro de OBEN MAS; el sistema reintenta solo cada día</w:t>
            </w:r>
          </w:p>
        </w:tc>
      </w:tr>
      <w:tr>
        <w:trPr>
          <w:cantSplit/>
        </w:trPr>
        <w:tc>
          <w:tcPr>
            <w:tcW w:type="dxa" w:w="35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PF 11462 y 11466 por verificar</w:t>
            </w:r>
          </w:p>
        </w:tc>
        <w:tc>
          <w:tcPr>
            <w:tcW w:type="dxa" w:w="17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Facturación</w:t>
            </w:r>
          </w:p>
        </w:tc>
        <w:tc>
          <w:tcPr>
            <w:tcW w:type="dxa" w:w="416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Confirmar en OBEN MAS si quedaron facturadas</w:t>
            </w:r>
          </w:p>
        </w:tc>
      </w:tr>
      <w:tr>
        <w:trPr>
          <w:cantSplit/>
        </w:trPr>
        <w:tc>
          <w:tcPr>
            <w:tcW w:type="dxa" w:w="35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OBEN DISTRIBUIDORA COLOMBIA (PF 11602)</w:t>
            </w:r>
          </w:p>
        </w:tc>
        <w:tc>
          <w:tcPr>
            <w:tcW w:type="dxa" w:w="17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Oben / sistemas</w:t>
            </w:r>
          </w:p>
        </w:tc>
        <w:tc>
          <w:tcPr>
            <w:tcW w:type="dxa" w:w="416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Está bloqueado para facturar por la API; definir si se habilita</w:t>
            </w:r>
          </w:p>
        </w:tc>
      </w:tr>
      <w:tr>
        <w:trPr>
          <w:cantSplit/>
        </w:trPr>
        <w:tc>
          <w:tcPr>
            <w:tcW w:type="dxa" w:w="35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APIs comerciales en producción</w:t>
            </w:r>
          </w:p>
        </w:tc>
        <w:tc>
          <w:tcPr>
            <w:tcW w:type="dxa" w:w="17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José</w:t>
            </w:r>
          </w:p>
        </w:tc>
        <w:tc>
          <w:tcPr>
            <w:tcW w:type="dxa" w:w="416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Dar la dirección real; las conectamos el mismo día</w:t>
            </w:r>
          </w:p>
        </w:tc>
      </w:tr>
      <w:tr>
        <w:trPr>
          <w:cantSplit/>
        </w:trPr>
        <w:tc>
          <w:tcPr>
            <w:tcW w:type="dxa" w:w="35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API de cartera</w:t>
            </w:r>
          </w:p>
        </w:tc>
        <w:tc>
          <w:tcPr>
            <w:tcW w:type="dxa" w:w="17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José</w:t>
            </w:r>
          </w:p>
        </w:tc>
        <w:tc>
          <w:tcPr>
            <w:tcW w:type="dxa" w:w="416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Fecha estimada; mientras tanto sigue simulada</w:t>
            </w:r>
          </w:p>
        </w:tc>
      </w:tr>
      <w:tr>
        <w:trPr>
          <w:cantSplit/>
        </w:trPr>
        <w:tc>
          <w:tcPr>
            <w:tcW w:type="dxa" w:w="35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Maestro de materiales para Zona Franca</w:t>
            </w:r>
          </w:p>
        </w:tc>
        <w:tc>
          <w:tcPr>
            <w:tcW w:type="dxa" w:w="170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Jorge / Alejandra</w:t>
            </w:r>
          </w:p>
        </w:tc>
        <w:tc>
          <w:tcPr>
            <w:tcW w:type="dxa" w:w="4160"/>
            <w:tcBorders>
              <w:top w:val="single" w:color="D9D9D9" w:sz="4"/>
              <w:left w:val="single" w:color="D9D9D9" w:sz="4"/>
              <w:bottom w:val="single" w:color="D9D9D9" w:sz="4"/>
              <w:right w:val="single" w:color="D9D9D9" w:sz="4"/>
            </w:tcBorders>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Referencia de Zona Franca, subpartida, costo y % de desperdicio por material; la lista de empaque solo trae consumos</w:t>
            </w:r>
          </w:p>
        </w:tc>
      </w:tr>
      <w:tr>
        <w:trPr>
          <w:cantSplit/>
        </w:trPr>
        <w:tc>
          <w:tcPr>
            <w:tcW w:type="dxa" w:w="35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Limpiar el caso de prueba SIM-95006</w:t>
            </w:r>
          </w:p>
        </w:tc>
        <w:tc>
          <w:tcPr>
            <w:tcW w:type="dxa" w:w="170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Paradixe</w:t>
            </w:r>
          </w:p>
        </w:tc>
        <w:tc>
          <w:tcPr>
            <w:tcW w:type="dxa" w:w="4160"/>
            <w:tcBorders>
              <w:top w:val="single" w:color="D9D9D9" w:sz="4"/>
              <w:left w:val="single" w:color="D9D9D9" w:sz="4"/>
              <w:bottom w:val="single" w:color="D9D9D9" w:sz="4"/>
              <w:right w:val="single" w:color="D9D9D9" w:sz="4"/>
            </w:tcBorders>
            <w:shd w:fill="F1F1F1" w:color="auto" w:val="clear"/>
            <w:tcMar>
              <w:top w:type="dxa" w:w="70"/>
              <w:left w:type="dxa" w:w="110"/>
              <w:bottom w:type="dxa" w:w="70"/>
              <w:right w:type="dxa" w:w="110"/>
            </w:tcMar>
            <w:vAlign w:val="center"/>
          </w:tcPr>
          <w:p>
            <w:pPr>
              <w:spacing w:after="0"/>
              <w:jc w:val="left"/>
            </w:pPr>
            <w:r>
              <w:rPr>
                <w:rFonts w:ascii="Arial" w:cs="Arial" w:eastAsia="Arial" w:hAnsi="Arial"/>
                <w:b w:val="false"/>
                <w:bCs w:val="false"/>
                <w:color w:val="333333"/>
                <w:sz w:val="19"/>
                <w:szCs w:val="19"/>
              </w:rPr>
              <w:t xml:space="preserve">Anularlo para frenar los 24 reintentos diarios; lo hago cuando lo autorices</w:t>
            </w:r>
          </w:p>
        </w:tc>
      </w:tr>
    </w:tbl>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88888"/>
        <w:sz w:val="16"/>
        <w:szCs w:val="16"/>
      </w:rPr>
      <w:t xml:space="preserve">made by Paradixe</w:t>
    </w:r>
    <w:r>
      <w:rPr>
        <w:rFonts w:ascii="Arial" w:cs="Arial" w:eastAsia="Arial" w:hAnsi="Arial"/>
        <w:color w:val="888888"/>
        <w:sz w:val="16"/>
        <w:szCs w:val="16"/>
      </w:rPr>
      <w:t xml:space="preserve">	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6" w:space="4"/>
      </w:pBdr>
      <w:tabs>
        <w:tab w:val="right" w:pos="9360"/>
      </w:tabs>
    </w:pPr>
    <w:r>
      <w:rPr>
        <w:rFonts w:ascii="Arial" w:cs="Arial" w:eastAsia="Arial" w:hAnsi="Arial"/>
        <w:b/>
        <w:bCs/>
        <w:color w:val="F47735"/>
        <w:sz w:val="17"/>
        <w:szCs w:val="17"/>
      </w:rPr>
      <w:t xml:space="preserve">Oben Xmart</w:t>
    </w:r>
    <w:r>
      <w:rPr>
        <w:rFonts w:ascii="Arial" w:cs="Arial" w:eastAsia="Arial" w:hAnsi="Arial"/>
        <w:color w:val="888888"/>
        <w:sz w:val="17"/>
        <w:szCs w:val="17"/>
      </w:rPr>
      <w:t xml:space="preserve">	Reporte semanal · 26 al 29 de octubre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F4773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F47735"/>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56565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semanal Oben Xmart 26–29 de octubre de 2026</dc:title>
  <dc:creator>Paradixe</dc:creator>
  <cp:lastModifiedBy>Un-named</cp:lastModifiedBy>
  <cp:revision>1</cp:revision>
  <dcterms:created xsi:type="dcterms:W3CDTF">2026-10-29T20:22:07.723Z</dcterms:created>
  <dcterms:modified xsi:type="dcterms:W3CDTF">2026-10-29T20:22:07.723Z</dcterms:modified>
</cp:coreProperties>
</file>

<file path=docProps/custom.xml><?xml version="1.0" encoding="utf-8"?>
<Properties xmlns="http://schemas.openxmlformats.org/officeDocument/2006/custom-properties" xmlns:vt="http://schemas.openxmlformats.org/officeDocument/2006/docPropsVTypes"/>
</file>