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40" w:after="0" w:line="259"/>
        <w:ind w:right="0" w:left="0" w:firstLine="0"/>
        <w:jc w:val="center"/>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EVALUACIÓN DEL CURSO DE JPA</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ab/>
        <w:tab/>
        <w:tab/>
        <w:tab/>
        <w:tab/>
        <w:t xml:space="preserve">PARTE 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Aclaración: para colocar múltiples cascadeType, se usa la sintaxis: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cascade = {tipo1,tipo2,tipo3}</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el taller JPA_Factura:</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MenuServicio, crear un método buscarPrincipales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Recibe: el id del usuario</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Retorna: una lista de Menu</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Funcionamiento:</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Buscar los Menúes principales(sin padre) de un usuario.</w:t>
      </w:r>
    </w:p>
    <w:p>
      <w:pPr>
        <w:spacing w:before="0" w:after="160" w:line="259"/>
        <w:ind w:right="0" w:left="141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Considere que un usuario tiene muchos roles y que un rol tiene muchos menúes</w:t>
      </w:r>
    </w:p>
    <w:p>
      <w:pPr>
        <w:spacing w:before="0" w:after="160" w:line="259"/>
        <w:ind w:right="0" w:left="1416" w:firstLine="0"/>
        <w:jc w:val="left"/>
        <w:rPr>
          <w:rFonts w:ascii="Calibri" w:hAnsi="Calibri" w:cs="Calibri" w:eastAsia="Calibri"/>
          <w:color w:val="auto"/>
          <w:spacing w:val="0"/>
          <w:position w:val="0"/>
          <w:sz w:val="22"/>
          <w:shd w:fill="auto" w:val="clear"/>
        </w:rPr>
      </w:pPr>
    </w:p>
    <w:p>
      <w:pPr>
        <w:spacing w:before="0" w:after="160" w:line="259"/>
        <w:ind w:right="0" w:left="141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Recomendación: Utilizar las consultas sobre las tablas de rompimiento</w:t>
      </w:r>
    </w:p>
    <w:p>
      <w:pPr>
        <w:spacing w:before="0" w:after="160" w:line="259"/>
        <w:ind w:right="0" w:left="141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Consultar los Roles del usuario y luego sobre estos roles consultar los menues, para esto puede utilizar una sentencia anidada: </w:t>
      </w:r>
    </w:p>
    <w:p>
      <w:pPr>
        <w:spacing w:before="0" w:after="160" w:line="259"/>
        <w:ind w:right="0" w:left="141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 WHERE .. IN (SELECT ….) </w:t>
      </w:r>
    </w:p>
    <w:p>
      <w:pPr>
        <w:spacing w:before="0" w:after="160" w:line="259"/>
        <w:ind w:right="0" w:left="1416" w:firstLine="0"/>
        <w:jc w:val="left"/>
        <w:rPr>
          <w:rFonts w:ascii="Calibri" w:hAnsi="Calibri" w:cs="Calibri" w:eastAsia="Calibri"/>
          <w:color w:val="auto"/>
          <w:spacing w:val="0"/>
          <w:position w:val="0"/>
          <w:sz w:val="22"/>
          <w:shd w:fill="auto" w:val="clear"/>
        </w:rPr>
      </w:pPr>
    </w:p>
    <w:p>
      <w:pPr>
        <w:spacing w:before="0" w:after="160" w:line="259"/>
        <w:ind w:right="0" w:left="141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probar utilizar la página Menu  y el controlador UsuarioControlador</w:t>
      </w:r>
    </w:p>
    <w:p>
      <w:pPr>
        <w:spacing w:before="0" w:after="160" w:line="259"/>
        <w:ind w:right="0" w:left="1416" w:firstLine="0"/>
        <w:jc w:val="left"/>
        <w:rPr>
          <w:rFonts w:ascii="Calibri" w:hAnsi="Calibri" w:cs="Calibri" w:eastAsia="Calibri"/>
          <w:color w:val="auto"/>
          <w:spacing w:val="0"/>
          <w:position w:val="0"/>
          <w:sz w:val="22"/>
          <w:shd w:fill="auto" w:val="clear"/>
        </w:rPr>
      </w:pP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ProductoServicio crear un método buscarVendidos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Recibe: la cédula del cliente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Retorna: la lista de Productos comprados por el cliente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Funcionamiento: Hacer el query sobre la tabla detalle_factura.</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FacturaServicio implementar el método para eliminar una factura, asegurarse de eliminar la factura y todos sus detalles</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Modificar las consultas de los métodos buscarVendidos y buscarPrincipales para que sean utilizados como NamedQueries</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cada detalle de factura que se guarda en la base, guardar un registro en la tabla Inventario. El atributo operacionInventario se guarda con valor 1. </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Cuál es el tipo de transacción por defecto en un EJB?</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defecto es REQUIERED</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Modifique el tipo de transacción en varios métodos de sus EJB con el fin de mejorar el rendimiento de la aplicación. Justifique por qué su cambio mejora el rendimiento</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requiere mostrar en la pantalla el total de la factura más IVA. Para lo cual se agrega un nuevo atributo totalIVA en la entidad Factura. Hacer lo necesario para mostrar en la página este valor.</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la página de consulta de productos implementar que retorne los resultados por lotes de 4 en 4.</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1416"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5">
    <w:abstractNumId w:val="42"/>
  </w:num>
  <w:num w:numId="8">
    <w:abstractNumId w:val="36"/>
  </w:num>
  <w:num w:numId="10">
    <w:abstractNumId w:val="30"/>
  </w:num>
  <w:num w:numId="12">
    <w:abstractNumId w:val="24"/>
  </w:num>
  <w:num w:numId="14">
    <w:abstractNumId w:val="18"/>
  </w:num>
  <w:num w:numId="16">
    <w:abstractNumId w:val="12"/>
  </w:num>
  <w:num w:numId="18">
    <w:abstractNumId w:val="6"/>
  </w:num>
  <w:num w:numId="20">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