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b/>
          <w:bCs/>
          <w:color w:val="9C7A3C"/>
          <w:spacing w:val="20"/>
          <w:sz w:val="24"/>
          <w:szCs w:val="24"/>
        </w:rPr>
        <w:t xml:space="preserve">RAPHAEL EVENTOS</w:t>
      </w:r>
    </w:p>
    <w:p>
      <w:pPr>
        <w:spacing w:after="300"/>
        <w:jc w:val="center"/>
      </w:pPr>
      <w:r>
        <w:rPr>
          <w:b/>
          <w:bCs/>
          <w:color w:val="1F2A44"/>
          <w:sz w:val="48"/>
          <w:szCs w:val="48"/>
        </w:rPr>
        <w:t xml:space="preserve">Reporte de reunión: nuevos requerimientos</w:t>
      </w:r>
    </w:p>
    <w:p>
      <w:pPr>
        <w:spacing w:after="90"/>
        <w:jc w:val="center"/>
      </w:pPr>
      <w:r>
        <w:rPr>
          <w:color w:val="595959"/>
          <w:sz w:val="23"/>
          <w:szCs w:val="23"/>
        </w:rPr>
        <w:t xml:space="preserve">Resumen de lo conversado con Cami y Fede, integrado con la propuesta y los mockups ya entregados</w:t>
      </w:r>
    </w:p>
    <w:p>
      <w:pPr>
        <w:spacing w:after="40"/>
        <w:jc w:val="center"/>
      </w:pPr>
      <w:r>
        <w:rPr>
          <w:color w:val="595959"/>
          <w:sz w:val="20"/>
          <w:szCs w:val="20"/>
        </w:rPr>
        <w:t xml:space="preserve">Agosto 2026</w:t>
      </w:r>
    </w:p>
    <w:p>
      <w:pPr>
        <w:pageBreakBefore/>
      </w:pPr>
      <w:r>
        <w:t xml:space="preserve"/>
      </w:r>
    </w:p>
    <w:p>
      <w:pPr>
        <w:pStyle w:val="Heading1"/>
        <w:pBdr>
          <w:bottom w:val="single" w:color="9C7A3C" w:sz="6" w:space="4"/>
        </w:pBdr>
        <w:spacing w:after="180" w:before="380"/>
      </w:pPr>
      <w:r>
        <w:rPr>
          <w:b/>
          <w:bCs/>
          <w:color w:val="1F2A44"/>
        </w:rPr>
        <w:t xml:space="preserve">1. Resumen ejecutivo</w:t>
      </w:r>
    </w:p>
    <w:p>
      <w:pPr>
        <w:spacing w:after="150"/>
      </w:pPr>
      <w:r>
        <w:t xml:space="preserve">Esta reunión no cambia el rumbo del proyecto — lo confirma y le agrega precisión. Cami y Fede validaron la mecánica central (el admin da de alta el evento al firmar contrato, el cliente se crea una cuenta y ve su evento, todo por navegador/PWA) y sumaron detalle en tres frentes: cómo funciona puntualmente el portal del cliente (tipos de tarjeta, alta de cuenta por email), un rol de invitado más concreto (confirmar asistencia y recibir un QR de ingreso, sin ver datos financieros), y del lado de Fede, un pedido nuevo e importante: un módulo de costeo interno para saber el costo real de cada evento.</w:t>
      </w:r>
    </w:p>
    <w:p>
      <w:pPr>
        <w:spacing w:after="150"/>
      </w:pPr>
      <w:r>
        <w:t xml:space="preserve">También confirmaron, en sus propias palabras, algo que ya habíamos anotado como hipótesis: la idea de vender esta plataforma a otros salones es un negocio real que están dispuestos a encarar, con un plan concreto (usarla ellos primero, venderla el año que viene) y hasta números de referencia sobre costo y precio.</w:t>
      </w:r>
    </w:p>
    <w:p>
      <w:pPr>
        <w:pStyle w:val="Heading1"/>
        <w:pBdr>
          <w:bottom w:val="single" w:color="9C7A3C" w:sz="6" w:space="4"/>
        </w:pBdr>
        <w:spacing w:after="180" w:before="380"/>
      </w:pPr>
      <w:r>
        <w:rPr>
          <w:b/>
          <w:bCs/>
          <w:color w:val="1F2A44"/>
        </w:rPr>
        <w:t xml:space="preserve">2. Lo que esta reunión confirma</w:t>
      </w:r>
    </w:p>
    <w:p>
      <w:pPr>
        <w:pStyle w:val="ListParagraph"/>
        <w:numPr>
          <w:ilvl w:val="0"/>
          <w:numId w:val="2"/>
        </w:numPr>
        <w:spacing w:after="120"/>
      </w:pPr>
      <w:r>
        <w:rPr>
          <w:b/>
          <w:bCs/>
        </w:rPr>
        <w:t xml:space="preserve">Alta de evento a cargo del salón</w:t>
      </w:r>
      <w:r>
        <w:t xml:space="preserve"> — el admin (Cami/Fede) crea el evento al firmar el contrato, hace bajar la app al cliente y le carga el evento — no hay autoregistro libre</w:t>
      </w:r>
    </w:p>
    <w:p>
      <w:pPr>
        <w:pStyle w:val="ListParagraph"/>
        <w:numPr>
          <w:ilvl w:val="0"/>
          <w:numId w:val="2"/>
        </w:numPr>
        <w:spacing w:after="120"/>
      </w:pPr>
      <w:r>
        <w:rPr>
          <w:b/>
          <w:bCs/>
        </w:rPr>
        <w:t xml:space="preserve">Sin apps de tienda</w:t>
      </w:r>
      <w:r>
        <w:t xml:space="preserve"> — no es nativa, funciona en el navegador y se ancla a la pantalla de inicio — validan directamente la recomendación de PWA de la propuesta anterior</w:t>
      </w:r>
    </w:p>
    <w:p>
      <w:pPr>
        <w:pStyle w:val="ListParagraph"/>
        <w:numPr>
          <w:ilvl w:val="0"/>
          <w:numId w:val="2"/>
        </w:numPr>
        <w:spacing w:after="120"/>
      </w:pPr>
      <w:r>
        <w:rPr>
          <w:b/>
          <w:bCs/>
        </w:rPr>
        <w:t xml:space="preserve">Multi-evento por cliente</w:t>
      </w:r>
      <w:r>
        <w:t xml:space="preserve"> — un cliente puede tener dos o más eventos con el salón (Cami: "estoy notando que mucha gente tiene más de dos eventos con nosotros"), y todos deben listarse bajo la misma cuenta</w:t>
      </w:r>
    </w:p>
    <w:p>
      <w:pPr>
        <w:pStyle w:val="ListParagraph"/>
        <w:numPr>
          <w:ilvl w:val="0"/>
          <w:numId w:val="2"/>
        </w:numPr>
        <w:spacing w:after="120"/>
      </w:pPr>
      <w:r>
        <w:rPr>
          <w:b/>
          <w:bCs/>
        </w:rPr>
        <w:t xml:space="preserve">Titular = quien paga</w:t>
      </w:r>
      <w:r>
        <w:t xml:space="preserve"> — la cuenta la crea un adulto — quien paga y firma el contrato — nunca un menor</w:t>
      </w:r>
    </w:p>
    <w:p>
      <w:pPr>
        <w:pStyle w:val="ListParagraph"/>
        <w:numPr>
          <w:ilvl w:val="0"/>
          <w:numId w:val="2"/>
        </w:numPr>
        <w:spacing w:after="120"/>
      </w:pPr>
      <w:r>
        <w:rPr>
          <w:b/>
          <w:bCs/>
        </w:rPr>
        <w:t xml:space="preserve">Landing + portal en una sola web</w:t>
      </w:r>
      <w:r>
        <w:t xml:space="preserve"> — landing con información general (galería, espacio, servicios, cotización) + acceso a "iniciar sesión"; el mensaje de "todavía no sos cliente, la cuenta se crea cuando contratás" coincide, casi textual, con el que ya está en la landing entregada</w:t>
      </w:r>
    </w:p>
    <w:p>
      <w:pPr>
        <w:pStyle w:val="Heading1"/>
        <w:pBdr>
          <w:bottom w:val="single" w:color="9C7A3C" w:sz="6" w:space="4"/>
        </w:pBdr>
        <w:spacing w:after="180" w:before="380"/>
      </w:pPr>
      <w:r>
        <w:rPr>
          <w:b/>
          <w:bCs/>
          <w:color w:val="1F2A44"/>
        </w:rPr>
        <w:t xml:space="preserve">3. Portal del cliente: precisiones nuevas</w:t>
      </w:r>
    </w:p>
    <w:p>
      <w:pPr>
        <w:pStyle w:val="Heading2"/>
        <w:spacing w:after="120" w:before="260"/>
      </w:pPr>
      <w:r>
        <w:rPr>
          <w:b/>
          <w:bCs/>
          <w:color w:val="1F2A44"/>
        </w:rPr>
        <w:t xml:space="preserve">Tipos de tarjeta también en 15 años y bodas</w:t>
      </w:r>
    </w:p>
    <w:p>
      <w:pPr>
        <w:spacing w:after="180"/>
      </w:pPr>
      <w:r>
        <w:t xml:space="preserve">En el mockup original, el desglose por tipo de tarjeta (adultos, menores, brindis) aparecía solo del lado de egresados; la ficha de 15 años mostraba únicamente totales (contratados, pagos, pendientes). En esta reunión, Cami describe la ficha de un 15 años ("Martina, 15 años") mostrando cantidad de tarjetas pagas de adolescente, adulto y menor — y dice que un casamiento se maneja igual. Conviene entonces generalizar el componente de desglose por tipo de tarjeta para que se use en los cuatro tipos de evento: a nivel evento en 15 años y bodas, y a nivel alumno en egresados (como ya estaba diseñado). Nota: el audio es ambiguo en el tramo exacto sobre boda — vale confirmarlo con ellos antes de darlo por cerrado.</w:t>
      </w:r>
    </w:p>
    <w:p>
      <w:pPr>
        <w:pStyle w:val="Heading2"/>
        <w:spacing w:after="120" w:before="260"/>
      </w:pPr>
      <w:r>
        <w:rPr>
          <w:b/>
          <w:bCs/>
          <w:color w:val="1F2A44"/>
        </w:rPr>
        <w:t xml:space="preserve">Alta de cuenta por email, no por link de invitación</w:t>
      </w:r>
    </w:p>
    <w:p>
      <w:pPr>
        <w:spacing w:after="150"/>
      </w:pPr>
      <w:r>
        <w:t xml:space="preserve">La propuesta anterior resolvía la vinculación cliente–evento con un link de invitación individual. Cami plantea algo más simple: el admin carga el email del titular al crear cada evento (es el dato que ya toman al firmar el contrato); cuando esa persona se registra en la app con ese mismo email, el sistema le muestra automáticamente todos los eventos asociados a esa dirección — sin necesidad de un link o código por evento. Es una simplificación razonable para el volumen que manejan hoy; la única salvedad a tener en cuenta es que depende de que el cliente use siempre el mismo email, y de que el admin lo cargue bien — un detalle menor de validación que se puede resolver con un aviso simple al registrarse ("encontramos estos eventos asociados a tu email, ¿son tuyos?").</w:t>
      </w:r>
    </w:p>
    <w:p>
      <w:pPr>
        <w:pStyle w:val="Heading1"/>
        <w:pBdr>
          <w:bottom w:val="single" w:color="9C7A3C" w:sz="6" w:space="4"/>
        </w:pBdr>
        <w:spacing w:after="180" w:before="380"/>
      </w:pPr>
      <w:r>
        <w:rPr>
          <w:b/>
          <w:bCs/>
          <w:color w:val="1F2A44"/>
        </w:rPr>
        <w:t xml:space="preserve">4. El rol invitado, ahora más concreto</w:t>
      </w:r>
    </w:p>
    <w:p>
      <w:pPr>
        <w:spacing w:after="150"/>
      </w:pPr>
      <w:r>
        <w:t xml:space="preserve">Cami y Fede terminan nombrando tres niveles de acceso — administrativo (el de ustedes), el del padre que compra el evento, y uno limitado para el invitado — que coincide con el esquema de roles ya propuesto. La novedad es cómo describen el uso real del rol invitado:</w:t>
      </w:r>
    </w:p>
    <w:p>
      <w:pPr>
        <w:pStyle w:val="ListParagraph"/>
        <w:numPr>
          <w:ilvl w:val="0"/>
          <w:numId w:val="2"/>
        </w:numPr>
        <w:spacing w:after="120"/>
      </w:pPr>
      <w:r>
        <w:rPr>
          <w:b/>
          <w:bCs/>
        </w:rPr>
        <w:t xml:space="preserve">Confirmar asistencia = obtener el QR</w:t>
      </w:r>
      <w:r>
        <w:t xml:space="preserve"> — el invitado busca el evento (por un link que comparte el titular) y confirma su asistencia; al confirmar, recibe un QR que funciona como su entrada al salón — no ve saldos, pagos ni ningún dato financiero del evento</w:t>
      </w:r>
    </w:p>
    <w:p>
      <w:pPr>
        <w:pStyle w:val="ListParagraph"/>
        <w:numPr>
          <w:ilvl w:val="0"/>
          <w:numId w:val="2"/>
        </w:numPr>
        <w:spacing w:after="120"/>
      </w:pPr>
      <w:r>
        <w:rPr>
          <w:b/>
          <w:bCs/>
        </w:rPr>
        <w:t xml:space="preserve">El titular administra la lista</w:t>
      </w:r>
      <w:r>
        <w:t xml:space="preserve"> — cuando alguien no puede ir o se suma alguien nuevo, es el titular (el padre) quien edita la lista de invitados — dar de baja o agregar un nombre</w:t>
      </w:r>
    </w:p>
    <w:p>
      <w:pPr>
        <w:pStyle w:val="ListParagraph"/>
        <w:numPr>
          <w:ilvl w:val="0"/>
          <w:numId w:val="2"/>
        </w:numPr>
        <w:spacing w:after="120"/>
      </w:pPr>
      <w:r>
        <w:rPr>
          <w:b/>
          <w:bCs/>
        </w:rPr>
        <w:t xml:space="preserve">Ingreso después de las 12</w:t>
      </w:r>
      <w:r>
        <w:t xml:space="preserve"> — para quienes llegan pasada la medianoche se vende una entrada aparte — es un flujo de venta de acceso tardío a resolver, separado del QR de invitados confirmados</w:t>
      </w:r>
    </w:p>
    <w:p>
      <w:pPr>
        <w:pStyle w:val="ListParagraph"/>
        <w:numPr>
          <w:ilvl w:val="0"/>
          <w:numId w:val="2"/>
        </w:numPr>
        <w:spacing w:after="120"/>
      </w:pPr>
      <w:r>
        <w:rPr>
          <w:b/>
          <w:bCs/>
        </w:rPr>
        <w:t xml:space="preserve">Sin pagos asociados al QR</w:t>
      </w:r>
      <w:r>
        <w:t xml:space="preserve"> — por privacidad y por evitar fricción, no van a manejar pagos ni transferencias dentro de la app (más detalle en la sección 6) — el QR es solo control de acceso, no un medio de cobro</w:t>
      </w:r>
    </w:p>
    <w:p>
      <w:pPr>
        <w:pStyle w:val="Heading2"/>
        <w:spacing w:after="120" w:before="260"/>
      </w:pPr>
      <w:r>
        <w:rPr>
          <w:b/>
          <w:bCs/>
          <w:color w:val="1F2A44"/>
        </w:rPr>
        <w:t xml:space="preserve">Una decisión pendiente: QR individual vs. QR por lote</w:t>
      </w:r>
    </w:p>
    <w:p>
      <w:pPr>
        <w:spacing w:after="180"/>
      </w:pPr>
      <w:r>
        <w:t xml:space="preserve">Surgió una tensión real que no quedó resuelta y vale la pena definir con ellos: pedirle a cada invitado (incluidos los amigos adolescentes de la quinceañera) que se baje la app y confirme asistencia genera más fricción, pero es justamente lo que les interesa para hacer crecer la base de instalaciones — que citan como un activo para monetizar más adelante con publicidad o sponsors. La alternativa más simple es que el sistema genere un lote de QR (uno por invitado contratado) y el titular los reparta como quiera, sin que cada invitado necesite cuenta. Recomendación: dejarlo configurable por evento — el titular elige si sus invitados confirman individualmente (más participación, más instalaciones) o si prefiere el lote de QR sin fricción — y priorizar la versión individual como default, ya que es la que habilita las funciones de participación (fotos, playlist, sorteos) que también pidieron.</w:t>
      </w:r>
    </w:p>
    <w:p>
      <w:pPr>
        <w:pStyle w:val="Heading1"/>
        <w:pBdr>
          <w:bottom w:val="single" w:color="9C7A3C" w:sz="6" w:space="4"/>
        </w:pBdr>
        <w:spacing w:after="180" w:before="380"/>
      </w:pPr>
      <w:r>
        <w:rPr>
          <w:b/>
          <w:bCs/>
          <w:color w:val="1F2A44"/>
        </w:rPr>
        <w:t xml:space="preserve">5. Fotos y participación del invitado: alcance más simple para la v1</w:t>
      </w:r>
    </w:p>
    <w:p>
      <w:pPr>
        <w:spacing w:after="130"/>
      </w:pPr>
      <w:r>
        <w:t xml:space="preserve">En vez de un mural colaborativo con subida de fotos desde la app (como se había esbozado en los mockups v2), Fede propone algo más simple para arrancar: cada evento tiene su propia página, y cuando el fotógrafo contratado les pasa el link de la galería (de donde sea que la suba: Google Fotos, su propia web, etc.), el admin lo carga a mano en la ficha del evento. El invitado que entra a la página del evento encuentra ese link ya integrado, sin que el salón tenga que alojar ni moderar fotos propias.</w:t>
      </w:r>
    </w:p>
    <w:p>
      <w:pPr>
        <w:spacing w:after="100"/>
      </w:pPr>
      <w:r>
        <w:t xml:space="preserve">La playlist colaborativa se menciona como algo que podría vivir directamente en Instagram en vez de ser una funcionalidad nativa. Ninguna de las dos ideas queda descartada — solo se simplifican para no demorar el desarrollo: empezar con el link externo cargado a mano y la playlist fuera de la app, y reevaluar el mural propio y la playlist nativa como mejora futura si el uso lo justifica.</w:t>
      </w:r>
    </w:p>
    <w:p>
      <w:pPr>
        <w:pStyle w:val="Heading1"/>
        <w:pBdr>
          <w:bottom w:val="single" w:color="9C7A3C" w:sz="6" w:space="4"/>
        </w:pBdr>
        <w:spacing w:after="180" w:before="380"/>
      </w:pPr>
      <w:r>
        <w:rPr>
          <w:b/>
          <w:bCs/>
          <w:color w:val="1F2A44"/>
        </w:rPr>
        <w:t xml:space="preserve">6. Decisión de alcance: no hay pagos dentro de la app</w:t>
      </w:r>
    </w:p>
    <w:p>
      <w:pPr>
        <w:spacing w:after="150"/>
      </w:pPr>
      <w:r>
        <w:t xml:space="preserve">Quedó explícito y vale remarcarlo porque afecta el diseño de varias funciones: la app no va a manejar cobros, transferencias ni billeteras. La razón no es técnica sino contable — Fede explicó que su facturación no puede "blanquearse" del todo (compran buena parte de los insumos sin factura, y el contador va ajustando lo declarado contra lo que efectivamente se puede sostener), así que formalizar todos los cobros a través de un sistema rompería ese equilibrio. Esto confirma algo que ya estaba en la propuesta original: el panel del salón no incluye plataforma de pagos ni gastos — y ahora queda claro que es una decisión de fondo, no solo una preferencia de privacidad.</w:t>
      </w:r>
    </w:p>
    <w:p>
      <w:pPr>
        <w:pStyle w:val="Heading1"/>
        <w:pBdr>
          <w:bottom w:val="single" w:color="9C7A3C" w:sz="6" w:space="4"/>
        </w:pBdr>
        <w:spacing w:after="180" w:before="380"/>
      </w:pPr>
      <w:r>
        <w:rPr>
          <w:b/>
          <w:bCs/>
          <w:color w:val="1F2A44"/>
        </w:rPr>
        <w:t xml:space="preserve">7. Módulo de costeo interno (nuevo pedido de Fede)</w:t>
      </w:r>
    </w:p>
    <w:p>
      <w:pPr>
        <w:spacing w:after="130"/>
      </w:pPr>
      <w:r>
        <w:t xml:space="preserve">Esta es la incorporación más grande de la reunión. Fede lleva hoy el costo real de cada evento en Excel, dividido en tres grandes rubros: insumos (a su vez separados por categoría — carnes, pescado, limpieza, y así sucesivamente), gastos del salón y gastos de personal. Lo actualiza cada dos o tres meses porque los precios varían todo el tiempo, sobre todo el alquiler del salón, que depende directamente de la cantidad de invitados (da un ejemplo: a $12.000 por persona, una fiesta de 400 invitados son $4.800.000 solo de alquiler).</w:t>
      </w:r>
    </w:p>
    <w:p>
      <w:pPr>
        <w:pStyle w:val="ListParagraph"/>
        <w:numPr>
          <w:ilvl w:val="0"/>
          <w:numId w:val="2"/>
        </w:numPr>
        <w:spacing w:after="120"/>
      </w:pPr>
      <w:r>
        <w:rPr>
          <w:b/>
          <w:bCs/>
        </w:rPr>
        <w:t xml:space="preserve">Importación, no reingreso</w:t>
      </w:r>
      <w:r>
        <w:t xml:space="preserve"> — el sistema debería poder importar el Excel tal cual Fede ya lo arma, sin obligarlo a recargar todo a mano — "vos me pasás el ejemplo del Excel... y yo me baso en eso"</w:t>
      </w:r>
    </w:p>
    <w:p>
      <w:pPr>
        <w:pStyle w:val="ListParagraph"/>
        <w:numPr>
          <w:ilvl w:val="0"/>
          <w:numId w:val="2"/>
        </w:numPr>
        <w:spacing w:after="120"/>
      </w:pPr>
      <w:r>
        <w:rPr>
          <w:b/>
          <w:bCs/>
        </w:rPr>
        <w:t xml:space="preserve">Estructura configurable</w:t>
      </w:r>
      <w:r>
        <w:t xml:space="preserve"> — Fede lo pensó incluso más allá de Raphael Eventos: si esto se vende a otros salones, cada uno maneja su Excel distinto, así que la estructura de categorías/columnas debería ser configurable por salón, no fija</w:t>
      </w:r>
    </w:p>
    <w:p>
      <w:pPr>
        <w:pStyle w:val="ListParagraph"/>
        <w:numPr>
          <w:ilvl w:val="0"/>
          <w:numId w:val="2"/>
        </w:numPr>
        <w:spacing w:after="120"/>
      </w:pPr>
      <w:r>
        <w:rPr>
          <w:b/>
          <w:bCs/>
        </w:rPr>
        <w:t xml:space="preserve">Reglas de negocio a respetar</w:t>
      </w:r>
      <w:r>
        <w:t xml:space="preserve"> — el contrato tiene una cláusula de renegociación si un insumo sube más del 10%, y un tope de 30% de seña para fiestas contratadas con un año de anticipación — son reglas de negocio existentes que, si más adelante se arma un módulo de cuotas o alertas de precio, conviene tener en cuenta</w:t>
      </w:r>
    </w:p>
    <w:p>
      <w:pPr>
        <w:spacing w:after="100"/>
      </w:pPr>
      <w:r>
        <w:t xml:space="preserve">Es información exclusiva del panel de administración — no se cruza con lo que ve Cami de la gestión de clientes ni, mucho menos, con el portal del cliente. Encaja como una extensión de la Fase 4 (reportes) de la propuesta original, aunque por el peso que le da Fede ("la del stock para mí sería clave") conviene tratarlo como una fase propia.</w:t>
      </w:r>
    </w:p>
    <w:p>
      <w:pPr>
        <w:pStyle w:val="Heading1"/>
        <w:pBdr>
          <w:bottom w:val="single" w:color="9C7A3C" w:sz="6" w:space="4"/>
        </w:pBdr>
        <w:spacing w:after="180" w:before="380"/>
      </w:pPr>
      <w:r>
        <w:rPr>
          <w:b/>
          <w:bCs/>
          <w:color w:val="1F2A44"/>
        </w:rPr>
        <w:t xml:space="preserve">8. Directorio de proveedores aliados (nuevo)</w:t>
      </w:r>
    </w:p>
    <w:p>
      <w:pPr>
        <w:spacing w:after="150"/>
      </w:pPr>
      <w:r>
        <w:t xml:space="preserve">Surgió como idea para sumarle valor a la plataforma (y para su eventual venta a otros salones): un espacio dentro de la app — tanto en la landing como en el portal del cliente — con proveedores recomendados por tipo de evento (fotógrafo, decoración, sonido/pantallas), cada uno con un link a su perfil o portafolio. El modelo que describen es el que ya usan hoy de manera informal: Cami deriva casi todas sus fiestas a una decoradora de confianza sin cobrarle nada, porque esa decoradora se ocupa de vender y hacer upselling, y a cambio le decora gratis sus propios eventos personales — "una mano lava la otra". La app formalizaría ese tipo de acuerdo, con una comisión de referencia (~10%) para los rubros que quieran manejarlo así, y una sección de sponsors visible en la landing y el portal como otra vía de monetización futura.</w:t>
      </w:r>
    </w:p>
    <w:p>
      <w:pPr>
        <w:pStyle w:val="Heading1"/>
        <w:pBdr>
          <w:bottom w:val="single" w:color="9C7A3C" w:sz="6" w:space="4"/>
        </w:pBdr>
        <w:spacing w:after="180" w:before="380"/>
      </w:pPr>
      <w:r>
        <w:rPr>
          <w:b/>
          <w:bCs/>
          <w:color w:val="1F2A44"/>
        </w:rPr>
        <w:t xml:space="preserve">9. El plan para vender la plataforma a otros salones (confirmado)</w:t>
      </w:r>
    </w:p>
    <w:p>
      <w:pPr>
        <w:spacing w:after="130"/>
      </w:pPr>
      <w:r>
        <w:t xml:space="preserve">Esto ya se intuía en la reunión anterior y acá quedó dicho en forma explícita, con plan y números de referencia:</w:t>
      </w:r>
    </w:p>
    <w:p>
      <w:pPr>
        <w:pStyle w:val="ListParagraph"/>
        <w:numPr>
          <w:ilvl w:val="0"/>
          <w:numId w:val="2"/>
        </w:numPr>
        <w:spacing w:after="120"/>
      </w:pPr>
      <w:r>
        <w:rPr>
          <w:b/>
          <w:bCs/>
        </w:rPr>
        <w:t xml:space="preserve">No hay competencia directa</w:t>
      </w:r>
      <w:r>
        <w:t xml:space="preserve"> — no conocen ningún salón chico con algo parecido — coinciden en que es un diferencial real, no solo una mejora interna</w:t>
      </w:r>
    </w:p>
    <w:p>
      <w:pPr>
        <w:pStyle w:val="ListParagraph"/>
        <w:numPr>
          <w:ilvl w:val="0"/>
          <w:numId w:val="2"/>
        </w:numPr>
        <w:spacing w:after="120"/>
      </w:pPr>
      <w:r>
        <w:rPr>
          <w:b/>
          <w:bCs/>
        </w:rPr>
        <w:t xml:space="preserve">Este año: piloto interno</w:t>
      </w:r>
      <w:r>
        <w:t xml:space="preserve"> — terminar de construir y usar la plataforma puertas adentro en Raphael Eventos durante el resto de este año, como piloto real</w:t>
      </w:r>
    </w:p>
    <w:p>
      <w:pPr>
        <w:pStyle w:val="ListParagraph"/>
        <w:numPr>
          <w:ilvl w:val="0"/>
          <w:numId w:val="2"/>
        </w:numPr>
        <w:spacing w:after="120"/>
      </w:pPr>
      <w:r>
        <w:rPr>
          <w:b/>
          <w:bCs/>
        </w:rPr>
        <w:t xml:space="preserve">El año que viene: salida a la venta</w:t>
      </w:r>
      <w:r>
        <w:t xml:space="preserve"> — con la plataforma funcionando y datos reales del piloto, encarar la venta a otros salones — probablemente necesiten a alguien que salga a ofrecerla puerta a puerta</w:t>
      </w:r>
    </w:p>
    <w:p>
      <w:pPr>
        <w:pStyle w:val="ListParagraph"/>
        <w:numPr>
          <w:ilvl w:val="0"/>
          <w:numId w:val="2"/>
        </w:numPr>
        <w:spacing w:after="120"/>
      </w:pPr>
      <w:r>
        <w:rPr>
          <w:b/>
          <w:bCs/>
        </w:rPr>
        <w:t xml:space="preserve">Costo de infraestructura estimado</w:t>
      </w:r>
      <w:r>
        <w:t xml:space="preserve"> — mencionaron ~USD 100 mensuales como techo para hosting/infraestructura de una instancia</w:t>
      </w:r>
    </w:p>
    <w:p>
      <w:pPr>
        <w:pStyle w:val="ListParagraph"/>
        <w:numPr>
          <w:ilvl w:val="0"/>
          <w:numId w:val="2"/>
        </w:numPr>
        <w:spacing w:after="120"/>
      </w:pPr>
      <w:r>
        <w:rPr>
          <w:b/>
          <w:bCs/>
        </w:rPr>
        <w:t xml:space="preserve">Precio de venta, todavía informal</w:t>
      </w:r>
      <w:r>
        <w:t xml:space="preserve"> — una referencia informal de ~USD 1.500 por una vez por el paquete básico, más un mantenimiento mensual a definir, con el módulo de costeo y otras funciones avanzadas como upsell — todavía es una idea de arranque, no una propuesta comercial cerrada</w:t>
      </w:r>
    </w:p>
    <w:p>
      <w:pPr>
        <w:pStyle w:val="ListParagraph"/>
        <w:numPr>
          <w:ilvl w:val="0"/>
          <w:numId w:val="2"/>
        </w:numPr>
        <w:spacing w:after="120"/>
      </w:pPr>
      <w:r>
        <w:rPr>
          <w:b/>
          <w:bCs/>
        </w:rPr>
        <w:t xml:space="preserve">Instalaciones como activo</w:t>
      </w:r>
      <w:r>
        <w:t xml:space="preserve"> — la base de invitados que instalan la app durante los eventos de Raphael Eventos (calculan varios miles hacia fin de año) la piensan como un activo en sí mismo, para publicidad o sponsors más adelante — más allá de la venta del software</w:t>
      </w:r>
    </w:p>
    <w:p>
      <w:pPr>
        <w:spacing w:after="100"/>
      </w:pPr>
      <w:r>
        <w:t xml:space="preserve">Todo esto es un negocio paralelo al desarrollo que estamos construyendo para Raphael Eventos, y conviene tenerlo presente en las decisiones técnicas (por ejemplo, que la estructura de datos e importaciones sea configurable por salón), pero sin que le sume complejidad al producto que van a usar ellos día a día.</w:t>
      </w:r>
    </w:p>
    <w:p>
      <w:pPr>
        <w:pStyle w:val="Heading1"/>
        <w:pBdr>
          <w:bottom w:val="single" w:color="9C7A3C" w:sz="6" w:space="4"/>
        </w:pBdr>
        <w:spacing w:after="180" w:before="380"/>
      </w:pPr>
      <w:r>
        <w:rPr>
          <w:b/>
          <w:bCs/>
          <w:color w:val="1F2A44"/>
        </w:rPr>
        <w:t xml:space="preserve">10. Cómo encaja esto con lo ya construido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2A44" w:color="auto" w:val="clear"/>
            <w:tcMar>
              <w:top w:type="dxa" w:w="100"/>
              <w:left w:type="dxa" w:w="120"/>
              <w:bottom w:type="dxa" w:w="100"/>
              <w:right w:type="dxa" w:w="120"/>
            </w:tcMar>
          </w:tcPr>
          <w:p>
            <w:r>
              <w:rPr>
                <w:b/>
                <w:bCs/>
                <w:color w:val="FFFFFF"/>
              </w:rPr>
              <w:t xml:space="preserve">Ya entregado</w:t>
            </w:r>
          </w:p>
        </w:tc>
        <w:tc>
          <w:tcPr>
            <w:tcW w:type="dxa" w:w="6300"/>
            <w:shd w:fill="1F2A44" w:color="auto" w:val="clear"/>
            <w:tcMar>
              <w:top w:type="dxa" w:w="100"/>
              <w:left w:type="dxa" w:w="120"/>
              <w:bottom w:type="dxa" w:w="100"/>
              <w:right w:type="dxa" w:w="120"/>
            </w:tcMar>
          </w:tcPr>
          <w:p>
            <w:r>
              <w:rPr>
                <w:b/>
                <w:bCs/>
                <w:color w:val="FFFFFF"/>
              </w:rPr>
              <w:t xml:space="preserve">Ajuste según esta reunión</w:t>
            </w:r>
          </w:p>
        </w:tc>
      </w:tr>
      <w:tr>
        <w:tc>
          <w:tcPr>
            <w:tcW w:type="dxa" w:w="3200"/>
            <w:shd w:fill="F2EFEA" w:color="auto" w:val="clear"/>
            <w:tcMar>
              <w:top w:type="dxa" w:w="100"/>
              <w:left w:type="dxa" w:w="120"/>
              <w:bottom w:type="dxa" w:w="100"/>
              <w:right w:type="dxa" w:w="120"/>
            </w:tcMar>
          </w:tcPr>
          <w:p>
            <w:r>
              <w:rPr>
                <w:color w:val="000000"/>
              </w:rPr>
              <w:t xml:space="preserve">Propuesta de plataforma (docx)</w:t>
            </w:r>
          </w:p>
        </w:tc>
        <w:tc>
          <w:tcPr>
            <w:tcW w:type="dxa" w:w="6300"/>
            <w:tcMar>
              <w:top w:type="dxa" w:w="100"/>
              <w:left w:type="dxa" w:w="120"/>
              <w:bottom w:type="dxa" w:w="100"/>
              <w:right w:type="dxa" w:w="120"/>
            </w:tcMar>
          </w:tcPr>
          <w:p>
            <w:r>
              <w:rPr>
                <w:color w:val="000000"/>
              </w:rPr>
              <w:t xml:space="preserve">Se mantiene íntegra; el módulo de costeo y el directorio de proveedores se suman como nuevas piezas dentro de las fases 2 y 4.</w:t>
            </w:r>
          </w:p>
        </w:tc>
      </w:tr>
      <w:tr>
        <w:tc>
          <w:tcPr>
            <w:tcW w:type="dxa" w:w="3200"/>
            <w:shd w:fill="F2EFEA" w:color="auto" w:val="clear"/>
            <w:tcMar>
              <w:top w:type="dxa" w:w="100"/>
              <w:left w:type="dxa" w:w="120"/>
              <w:bottom w:type="dxa" w:w="100"/>
              <w:right w:type="dxa" w:w="120"/>
            </w:tcMar>
          </w:tcPr>
          <w:p>
            <w:r>
              <w:rPr>
                <w:color w:val="000000"/>
              </w:rPr>
              <w:t xml:space="preserve">Modelo de roles y cuentas</w:t>
            </w:r>
          </w:p>
        </w:tc>
        <w:tc>
          <w:tcPr>
            <w:tcW w:type="dxa" w:w="6300"/>
            <w:tcMar>
              <w:top w:type="dxa" w:w="100"/>
              <w:left w:type="dxa" w:w="120"/>
              <w:bottom w:type="dxa" w:w="100"/>
              <w:right w:type="dxa" w:w="120"/>
            </w:tcMar>
          </w:tcPr>
          <w:p>
            <w:r>
              <w:rPr>
                <w:color w:val="000000"/>
              </w:rPr>
              <w:t xml:space="preserve">Se simplifica la vinculación cliente–evento (email en vez de link de invitación) y se detalla el rol invitado (confirmar asistencia → QR).</w:t>
            </w:r>
          </w:p>
        </w:tc>
      </w:tr>
      <w:tr>
        <w:tc>
          <w:tcPr>
            <w:tcW w:type="dxa" w:w="3200"/>
            <w:shd w:fill="F2EFEA" w:color="auto" w:val="clear"/>
            <w:tcMar>
              <w:top w:type="dxa" w:w="100"/>
              <w:left w:type="dxa" w:w="120"/>
              <w:bottom w:type="dxa" w:w="100"/>
              <w:right w:type="dxa" w:w="120"/>
            </w:tcMar>
          </w:tcPr>
          <w:p>
            <w:r>
              <w:rPr>
                <w:color w:val="000000"/>
              </w:rPr>
              <w:t xml:space="preserve">Mockups v2</w:t>
            </w:r>
          </w:p>
        </w:tc>
        <w:tc>
          <w:tcPr>
            <w:tcW w:type="dxa" w:w="6300"/>
            <w:tcMar>
              <w:top w:type="dxa" w:w="100"/>
              <w:left w:type="dxa" w:w="120"/>
              <w:bottom w:type="dxa" w:w="100"/>
              <w:right w:type="dxa" w:w="120"/>
            </w:tcMar>
          </w:tcPr>
          <w:p>
            <w:r>
              <w:rPr>
                <w:color w:val="000000"/>
              </w:rPr>
              <w:t xml:space="preserve">La pantalla de "vincular evento" pasa a ser por email; falta una pantalla nueva de "confirmar asistencia y obtener QR" para el invitado.</w:t>
            </w:r>
          </w:p>
        </w:tc>
      </w:tr>
      <w:tr>
        <w:tc>
          <w:tcPr>
            <w:tcW w:type="dxa" w:w="3200"/>
            <w:shd w:fill="F2EFEA" w:color="auto" w:val="clear"/>
            <w:tcMar>
              <w:top w:type="dxa" w:w="100"/>
              <w:left w:type="dxa" w:w="120"/>
              <w:bottom w:type="dxa" w:w="100"/>
              <w:right w:type="dxa" w:w="120"/>
            </w:tcMar>
          </w:tcPr>
          <w:p>
            <w:r>
              <w:rPr>
                <w:color w:val="000000"/>
              </w:rPr>
              <w:t xml:space="preserve">Landing page</w:t>
            </w:r>
          </w:p>
        </w:tc>
        <w:tc>
          <w:tcPr>
            <w:tcW w:type="dxa" w:w="6300"/>
            <w:tcMar>
              <w:top w:type="dxa" w:w="100"/>
              <w:left w:type="dxa" w:w="120"/>
              <w:bottom w:type="dxa" w:w="100"/>
              <w:right w:type="dxa" w:w="120"/>
            </w:tcMar>
          </w:tcPr>
          <w:p>
            <w:r>
              <w:rPr>
                <w:color w:val="000000"/>
              </w:rPr>
              <w:t xml:space="preserve">Sin cambios — el copy del modal de login ("la cuenta se creá cuando contratás") ya coincide con lo que describieron.</w:t>
            </w:r>
          </w:p>
        </w:tc>
      </w:tr>
    </w:tbl>
    <w:p>
      <w:pPr>
        <w:spacing w:before="200"/>
      </w:pPr>
    </w:p>
    <w:p>
      <w:pPr>
        <w:pStyle w:val="Heading1"/>
        <w:pBdr>
          <w:bottom w:val="single" w:color="9C7A3C" w:sz="6" w:space="4"/>
        </w:pBdr>
        <w:spacing w:after="180" w:before="380"/>
      </w:pPr>
      <w:r>
        <w:rPr>
          <w:b/>
          <w:bCs/>
          <w:color w:val="1F2A44"/>
        </w:rPr>
        <w:t xml:space="preserve">11. Preguntas abiertas para la próxima charla</w:t>
      </w:r>
    </w:p>
    <w:p>
      <w:pPr>
        <w:pStyle w:val="ListParagraph"/>
        <w:numPr>
          <w:ilvl w:val="0"/>
          <w:numId w:val="2"/>
        </w:numPr>
        <w:spacing w:after="120"/>
      </w:pPr>
      <w:r>
        <w:t xml:space="preserve">¿el desglose por tipo de tarjeta (adulto/adolescente/menor) aplica igual a 15 años, bodas y egresados, o hay diferencias puntuales por tipo de evento?</w:t>
      </w:r>
    </w:p>
    <w:p>
      <w:pPr>
        <w:pStyle w:val="ListParagraph"/>
        <w:numPr>
          <w:ilvl w:val="0"/>
          <w:numId w:val="2"/>
        </w:numPr>
        <w:spacing w:after="120"/>
      </w:pPr>
      <w:r>
        <w:t xml:space="preserve">¿QR individual por invitado (con confirmación de asistencia) o lote de QR entregado al titular? ¿se decide por evento o es una única política?</w:t>
      </w:r>
    </w:p>
    <w:p>
      <w:pPr>
        <w:pStyle w:val="ListParagraph"/>
        <w:numPr>
          <w:ilvl w:val="0"/>
          <w:numId w:val="2"/>
        </w:numPr>
        <w:spacing w:after="120"/>
      </w:pPr>
      <w:r>
        <w:t xml:space="preserve">para el módulo de costeo: ¿nos pueden pasar un Excel real (aunque sea con datos de ejemplo) para diseñar la importación?</w:t>
      </w:r>
    </w:p>
    <w:p>
      <w:pPr>
        <w:pStyle w:val="ListParagraph"/>
        <w:numPr>
          <w:ilvl w:val="0"/>
          <w:numId w:val="2"/>
        </w:numPr>
        <w:spacing w:after="120"/>
      </w:pPr>
      <w:r>
        <w:t xml:space="preserve">el directorio de proveedores aliados — ¿arranca como una lista simple curada por ustedes, o ya piensan en que otros proveedores se sumen por su cuenta?</w:t>
      </w:r>
    </w:p>
    <w:p>
      <w:pPr>
        <w:pStyle w:val="ListParagraph"/>
        <w:numPr>
          <w:ilvl w:val="0"/>
          <w:numId w:val="2"/>
        </w:numPr>
        <w:spacing w:after="120"/>
      </w:pPr>
      <w:r>
        <w:t xml:space="preserve">la venta a otros salones es un proyecto de negocio propio — ¿lo tratamos como una fase futura del mismo desarrollo, o como un producto aparte que se deriva de este una vez validado el piloto?</w:t>
      </w:r>
    </w:p>
    <w:p>
      <w:pPr>
        <w:pStyle w:val="Heading1"/>
        <w:pBdr>
          <w:bottom w:val="single" w:color="9C7A3C" w:sz="6" w:space="4"/>
        </w:pBdr>
        <w:spacing w:after="180" w:before="380"/>
      </w:pPr>
      <w:r>
        <w:rPr>
          <w:b/>
          <w:bCs/>
          <w:color w:val="1F2A44"/>
        </w:rPr>
        <w:t xml:space="preserve">12. Próximos pasos sugeridos</w:t>
      </w:r>
    </w:p>
    <w:p>
      <w:pPr>
        <w:pStyle w:val="ListParagraph"/>
        <w:numPr>
          <w:ilvl w:val="0"/>
          <w:numId w:val="2"/>
        </w:numPr>
        <w:spacing w:after="120"/>
      </w:pPr>
      <w:r>
        <w:t xml:space="preserve">cerrar las preguntas abiertas de la sección 11 antes de tocar el diseño de datos de tarjetas y del rol invitado</w:t>
      </w:r>
    </w:p>
    <w:p>
      <w:pPr>
        <w:pStyle w:val="ListParagraph"/>
        <w:numPr>
          <w:ilvl w:val="0"/>
          <w:numId w:val="2"/>
        </w:numPr>
        <w:spacing w:after="120"/>
      </w:pPr>
      <w:r>
        <w:t xml:space="preserve">pedirles el Excel de costeo (con datos de ejemplo) para dimensionar el módulo de la sección 7</w:t>
      </w:r>
    </w:p>
    <w:p>
      <w:pPr>
        <w:pStyle w:val="ListParagraph"/>
        <w:numPr>
          <w:ilvl w:val="0"/>
          <w:numId w:val="2"/>
        </w:numPr>
        <w:spacing w:after="120"/>
      </w:pPr>
      <w:r>
        <w:t xml:space="preserve">sumar a los mockups v2 la pantalla de "confirmar asistencia → QR" del invitado, una vez definida la decisión de la sección 4</w:t>
      </w:r>
    </w:p>
    <w:p>
      <w:pPr>
        <w:pStyle w:val="ListParagraph"/>
        <w:numPr>
          <w:ilvl w:val="0"/>
          <w:numId w:val="2"/>
        </w:numPr>
        <w:spacing w:after="120"/>
      </w:pPr>
      <w:r>
        <w:t xml:space="preserve">mantener el alcance de fotos/playlist simple (link externo) para no demorar el resto del desarrollo, y anotar el mural colaborativo como mejora futura</w:t>
      </w:r>
    </w:p>
    <w:p>
      <w:pPr>
        <w:spacing w:before="300"/>
      </w:pPr>
      <w:r>
        <w:rPr>
          <w:i/>
          <w:iCs/>
          <w:color w:val="595959"/>
        </w:rPr>
        <w:t xml:space="preserve">En conjunto, esta reunión no abre un rumbo nuevo — afina el que ya estaba, y confirma que el plan de negocio de vender esto a otros salones es real y con fecha (el año que viene). Eso reordena un poco las prioridades: conviene cerrar primero lo que usan Cami y Fede en el día a día (tarjetas, invitado, costeo) antes de invertir tiempo en lo pensado para terceros (marketplace, venta a otros salones).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2026-08-31T18:45:32.331Z</dcterms:created>
  <dcterms:modified xsi:type="dcterms:W3CDTF">2026-08-31T18:45:32.346Z</dcterms:modified>
</cp:coreProperties>
</file>

<file path=docProps/custom.xml><?xml version="1.0" encoding="utf-8"?>
<Properties xmlns="http://schemas.openxmlformats.org/officeDocument/2006/custom-properties" xmlns:vt="http://schemas.openxmlformats.org/officeDocument/2006/docPropsVTypes"/>
</file>