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color w:val="000000"/>
        </w:rPr>
        <w:drawing>
          <wp:inline distT="0" distB="0" distL="0" distR="0">
            <wp:extent cx="1238250" cy="1028700"/>
            <wp:effectExtent t="0" r="0" b="0" l="0"/>
            <wp:docPr id="1" name="Logo UNAB" descr="Logo institucional" title="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028700"/>
                    </a:xfrm>
                    <a:prstGeom prst="rect">
                      <a:avLst/>
                    </a:prstGeom>
                  </pic:spPr>
                </pic:pic>
              </a:graphicData>
            </a:graphic>
          </wp:inline>
        </w:drawing>
      </w:r>
    </w:p>
    <w:p>
      <w:pPr>
        <w:spacing w:after="0" w:before="500"/>
        <w:jc w:val="center"/>
      </w:pPr>
      <w:r>
        <w:rPr>
          <w:b/>
          <w:bCs/>
          <w:color w:val="000000"/>
          <w:sz w:val="18"/>
          <w:szCs w:val="18"/>
        </w:rPr>
        <w:t xml:space="preserve">MAGÍSTER EN CIENCIA DE DATOS E INTELIGENCIA ARTIFICIAL</w:t>
      </w:r>
    </w:p>
    <w:p>
      <w:pPr>
        <w:spacing w:after="700" w:before="60"/>
        <w:jc w:val="center"/>
      </w:pPr>
      <w:r>
        <w:rPr>
          <w:i/>
          <w:iCs/>
          <w:color w:val="000000"/>
          <w:sz w:val="18"/>
          <w:szCs w:val="18"/>
        </w:rPr>
        <w:t xml:space="preserve">MCDI501: Estadística Computacional para la Toma de Decisiones</w:t>
      </w:r>
    </w:p>
    <w:p>
      <w:pPr>
        <w:pStyle w:val="Title"/>
        <w:spacing w:after="160" w:before="0"/>
        <w:jc w:val="center"/>
      </w:pPr>
      <w:r>
        <w:rPr>
          <w:b/>
          <w:bCs/>
          <w:color w:val="000000"/>
          <w:sz w:val="32"/>
          <w:szCs w:val="32"/>
        </w:rPr>
        <w:t xml:space="preserve">Evaluación Formativa 1</w:t>
      </w:r>
    </w:p>
    <w:p>
      <w:pPr>
        <w:spacing w:after="700" w:before="0"/>
        <w:jc w:val="center"/>
      </w:pPr>
      <w:r>
        <w:rPr>
          <w:color w:val="000000"/>
          <w:sz w:val="26"/>
          <w:szCs w:val="26"/>
        </w:rPr>
        <w:t xml:space="preserve">Análisis Exploratorio e Inferencial (práctica)</w:t>
      </w:r>
    </w:p>
    <w:p>
      <w:pPr>
        <w:spacing w:after="900" w:before="0"/>
        <w:jc w:val="center"/>
      </w:pPr>
      <w:r>
        <w:rPr>
          <w:i/>
          <w:iCs/>
          <w:color w:val="000000"/>
          <w:sz w:val="20"/>
          <w:szCs w:val="20"/>
        </w:rPr>
        <w:t xml:space="preserve">Informe individual o grupal · 0 % (formativa)</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600"/>
        <w:gridCol w:w="6472"/>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Título del proyecto:</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t>Asociaciones con la rotación de empleados</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Integrantes:</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t>Hernán Saavedra</w:t>
              <w:br/>
              <w:t>Otros integrantes por completar</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Dataset:</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t>IBM HR Employee Attrition</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Docente:</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t>Nombre del docente por completar</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Fecha:</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t>8 de octubre de 2026</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Repositorio GitHub:</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t>Repositorio del equipo por completar</w:t>
            </w:r>
          </w:p>
        </w:tc>
      </w:tr>
    </w:tbl>
    <w:p>
      <w:r>
        <w:br w:type="page"/>
      </w:r>
    </w:p>
    <w:p>
      <w:pPr>
        <w:pStyle w:val="Heading1"/>
      </w:pPr>
      <w:r>
        <w:t>1 Introducción</w:t>
      </w:r>
    </w:p>
    <w:p>
      <w:r>
        <w:t>Analizamos el conjunto sintético IBM HR Employee Attrition para explorar asociaciones entre condiciones laborales y salida de empleados. La proporción de salida es 16,12 % y existe asociación con las horas extra en el análisis bivariado. Los resultados constituyen un ejercicio estadístico y no representan evidencia de una empresa real.</w:t>
      </w:r>
    </w:p>
    <w:p>
      <w:r>
        <w:t>La rotación puede afectar la continuidad de los equipos y la planificación de personal. La pregunta del proyecto es qué asociaciones presentan las horas extra, el ingreso mensual, la satisfacción laboral y la antigüedad con la salida de empleados. El objetivo es caracterizar estas variables y evaluar una asociación pertinente como base para discutir decisiones bajo incertidumbre, sin entrenar todavía modelos predictivos.</w:t>
      </w:r>
    </w:p>
    <w:tbl>
      <w:tblPr>
        <w:tblW w:type="auto" w:w="0"/>
        <w:tblLayout w:type="fixed"/>
        <w:tblLook w:firstColumn="1" w:firstRow="1" w:lastColumn="0" w:lastRow="0" w:noHBand="0" w:noVBand="1" w:val="04A0"/>
      </w:tblPr>
      <w:tblGrid>
        <w:gridCol w:w="4536"/>
        <w:gridCol w:w="4536"/>
      </w:tblGrid>
      <w:tr>
        <w:trPr>
          <w:tblHeader/>
        </w:trPr>
        <w:tc>
          <w:tcPr>
            <w:tcW w:type="dxa" w:w="2160"/>
            <w:tcBorders>
              <w:top w:val="single" w:sz="4" w:color="D9D9D9"/>
              <w:left w:val="single" w:sz="4" w:color="D9D9D9"/>
              <w:bottom w:val="single" w:sz="4" w:color="D9D9D9"/>
              <w:right w:val="single" w:sz="4" w:color="D9D9D9"/>
            </w:tcBorders>
            <w:shd w:fill="E7E7E7"/>
          </w:tcPr>
          <w:p>
            <w:pPr>
              <w:spacing w:after="60" w:before="60"/>
            </w:pPr>
            <w:r>
              <w:rPr>
                <w:b/>
                <w:sz w:val="18"/>
              </w:rPr>
              <w:t>Ficha del conjunto</w:t>
            </w:r>
          </w:p>
        </w:tc>
        <w:tc>
          <w:tcPr>
            <w:tcW w:type="dxa" w:w="6480"/>
            <w:tcBorders>
              <w:top w:val="single" w:sz="4" w:color="D9D9D9"/>
              <w:left w:val="single" w:sz="4" w:color="D9D9D9"/>
              <w:bottom w:val="single" w:sz="4" w:color="D9D9D9"/>
              <w:right w:val="single" w:sz="4" w:color="D9D9D9"/>
            </w:tcBorders>
            <w:shd w:fill="E7E7E7"/>
          </w:tcPr>
          <w:p>
            <w:pPr>
              <w:spacing w:after="60" w:before="60"/>
            </w:pPr>
            <w:r>
              <w:rPr>
                <w:b/>
                <w:sz w:val="18"/>
              </w:rPr>
              <w:t>Descripción</w:t>
            </w:r>
          </w:p>
        </w:tc>
      </w:tr>
      <w:tr>
        <w:tc>
          <w:tcPr>
            <w:tcW w:type="dxa" w:w="2160"/>
            <w:tcBorders>
              <w:top w:val="single" w:sz="4" w:color="D9D9D9"/>
              <w:left w:val="single" w:sz="4" w:color="D9D9D9"/>
              <w:bottom w:val="single" w:sz="4" w:color="D9D9D9"/>
              <w:right w:val="single" w:sz="4" w:color="D9D9D9"/>
            </w:tcBorders>
          </w:tcPr>
          <w:p>
            <w:pPr>
              <w:spacing w:after="60" w:before="60"/>
            </w:pPr>
            <w:r>
              <w:rPr>
                <w:b w:val="0"/>
                <w:sz w:val="18"/>
              </w:rPr>
              <w:t>Fuente</w:t>
            </w:r>
          </w:p>
        </w:tc>
        <w:tc>
          <w:tcPr>
            <w:tcW w:type="dxa" w:w="6480"/>
            <w:tcBorders>
              <w:top w:val="single" w:sz="4" w:color="D9D9D9"/>
              <w:left w:val="single" w:sz="4" w:color="D9D9D9"/>
              <w:bottom w:val="single" w:sz="4" w:color="D9D9D9"/>
              <w:right w:val="single" w:sz="4" w:color="D9D9D9"/>
            </w:tcBorders>
          </w:tcPr>
          <w:p>
            <w:pPr>
              <w:spacing w:after="60" w:before="60"/>
            </w:pPr>
            <w:r>
              <w:rPr>
                <w:b w:val="0"/>
                <w:sz w:val="18"/>
              </w:rPr>
              <w:t>Kaggle, IBM HR Analytics Employee Attrition &amp; Performance</w:t>
            </w:r>
          </w:p>
        </w:tc>
      </w:tr>
      <w:tr>
        <w:tc>
          <w:tcPr>
            <w:tcW w:type="dxa" w:w="2160"/>
            <w:tcBorders>
              <w:top w:val="single" w:sz="4" w:color="D9D9D9"/>
              <w:left w:val="single" w:sz="4" w:color="D9D9D9"/>
              <w:bottom w:val="single" w:sz="4" w:color="D9D9D9"/>
              <w:right w:val="single" w:sz="4" w:color="D9D9D9"/>
            </w:tcBorders>
          </w:tcPr>
          <w:p>
            <w:pPr>
              <w:spacing w:after="60" w:before="60"/>
            </w:pPr>
            <w:r>
              <w:rPr>
                <w:b w:val="0"/>
                <w:sz w:val="18"/>
              </w:rPr>
              <w:t>Unidad de observación</w:t>
            </w:r>
          </w:p>
        </w:tc>
        <w:tc>
          <w:tcPr>
            <w:tcW w:type="dxa" w:w="6480"/>
            <w:tcBorders>
              <w:top w:val="single" w:sz="4" w:color="D9D9D9"/>
              <w:left w:val="single" w:sz="4" w:color="D9D9D9"/>
              <w:bottom w:val="single" w:sz="4" w:color="D9D9D9"/>
              <w:right w:val="single" w:sz="4" w:color="D9D9D9"/>
            </w:tcBorders>
          </w:tcPr>
          <w:p>
            <w:pPr>
              <w:spacing w:after="60" w:before="60"/>
            </w:pPr>
            <w:r>
              <w:rPr>
                <w:b w:val="0"/>
                <w:sz w:val="18"/>
              </w:rPr>
              <w:t>Un registro sintético de empleado</w:t>
            </w:r>
          </w:p>
        </w:tc>
      </w:tr>
      <w:tr>
        <w:tc>
          <w:tcPr>
            <w:tcW w:type="dxa" w:w="2160"/>
            <w:tcBorders>
              <w:top w:val="single" w:sz="4" w:color="D9D9D9"/>
              <w:left w:val="single" w:sz="4" w:color="D9D9D9"/>
              <w:bottom w:val="single" w:sz="4" w:color="D9D9D9"/>
              <w:right w:val="single" w:sz="4" w:color="D9D9D9"/>
            </w:tcBorders>
          </w:tcPr>
          <w:p>
            <w:pPr>
              <w:spacing w:after="60" w:before="60"/>
            </w:pPr>
            <w:r>
              <w:rPr>
                <w:b w:val="0"/>
                <w:sz w:val="18"/>
              </w:rPr>
              <w:t>Tamaño verificado</w:t>
            </w:r>
          </w:p>
        </w:tc>
        <w:tc>
          <w:tcPr>
            <w:tcW w:type="dxa" w:w="6480"/>
            <w:tcBorders>
              <w:top w:val="single" w:sz="4" w:color="D9D9D9"/>
              <w:left w:val="single" w:sz="4" w:color="D9D9D9"/>
              <w:bottom w:val="single" w:sz="4" w:color="D9D9D9"/>
              <w:right w:val="single" w:sz="4" w:color="D9D9D9"/>
            </w:tcBorders>
          </w:tcPr>
          <w:p>
            <w:pPr>
              <w:spacing w:after="60" w:before="60"/>
            </w:pPr>
            <w:r>
              <w:rPr>
                <w:b w:val="0"/>
                <w:sz w:val="18"/>
              </w:rPr>
              <w:t>1.470 registros y 35 columnas</w:t>
            </w:r>
          </w:p>
        </w:tc>
      </w:tr>
      <w:tr>
        <w:tc>
          <w:tcPr>
            <w:tcW w:type="dxa" w:w="2160"/>
            <w:tcBorders>
              <w:top w:val="single" w:sz="4" w:color="D9D9D9"/>
              <w:left w:val="single" w:sz="4" w:color="D9D9D9"/>
              <w:bottom w:val="single" w:sz="4" w:color="D9D9D9"/>
              <w:right w:val="single" w:sz="4" w:color="D9D9D9"/>
            </w:tcBorders>
          </w:tcPr>
          <w:p>
            <w:pPr>
              <w:spacing w:after="60" w:before="60"/>
            </w:pPr>
            <w:r>
              <w:rPr>
                <w:b w:val="0"/>
                <w:sz w:val="18"/>
              </w:rPr>
              <w:t>Variable objetivo</w:t>
            </w:r>
          </w:p>
        </w:tc>
        <w:tc>
          <w:tcPr>
            <w:tcW w:type="dxa" w:w="6480"/>
            <w:tcBorders>
              <w:top w:val="single" w:sz="4" w:color="D9D9D9"/>
              <w:left w:val="single" w:sz="4" w:color="D9D9D9"/>
              <w:bottom w:val="single" w:sz="4" w:color="D9D9D9"/>
              <w:right w:val="single" w:sz="4" w:color="D9D9D9"/>
            </w:tcBorders>
          </w:tcPr>
          <w:p>
            <w:pPr>
              <w:spacing w:after="60" w:before="60"/>
            </w:pPr>
            <w:r>
              <w:rPr>
                <w:b w:val="0"/>
                <w:sz w:val="18"/>
              </w:rPr>
              <w:t>Attrition, Yes / No</w:t>
            </w:r>
          </w:p>
        </w:tc>
      </w:tr>
      <w:tr>
        <w:tc>
          <w:tcPr>
            <w:tcW w:type="dxa" w:w="2160"/>
            <w:tcBorders>
              <w:top w:val="single" w:sz="4" w:color="D9D9D9"/>
              <w:left w:val="single" w:sz="4" w:color="D9D9D9"/>
              <w:bottom w:val="single" w:sz="4" w:color="D9D9D9"/>
              <w:right w:val="single" w:sz="4" w:color="D9D9D9"/>
            </w:tcBorders>
          </w:tcPr>
          <w:p>
            <w:pPr>
              <w:spacing w:after="60" w:before="60"/>
            </w:pPr>
            <w:r>
              <w:rPr>
                <w:b w:val="0"/>
                <w:sz w:val="18"/>
              </w:rPr>
              <w:t>Período y población</w:t>
            </w:r>
          </w:p>
        </w:tc>
        <w:tc>
          <w:tcPr>
            <w:tcW w:type="dxa" w:w="6480"/>
            <w:tcBorders>
              <w:top w:val="single" w:sz="4" w:color="D9D9D9"/>
              <w:left w:val="single" w:sz="4" w:color="D9D9D9"/>
              <w:bottom w:val="single" w:sz="4" w:color="D9D9D9"/>
              <w:right w:val="single" w:sz="4" w:color="D9D9D9"/>
            </w:tcBorders>
          </w:tcPr>
          <w:p>
            <w:pPr>
              <w:spacing w:after="60" w:before="60"/>
            </w:pPr>
            <w:r>
              <w:rPr>
                <w:b w:val="0"/>
                <w:sz w:val="18"/>
              </w:rPr>
              <w:t>No se establece un período de seguimiento ni un marco de muestreo de trabajadores reales</w:t>
            </w:r>
          </w:p>
        </w:tc>
      </w:tr>
      <w:tr>
        <w:tc>
          <w:tcPr>
            <w:tcW w:type="dxa" w:w="2160"/>
            <w:tcBorders>
              <w:top w:val="single" w:sz="4" w:color="D9D9D9"/>
              <w:left w:val="single" w:sz="4" w:color="D9D9D9"/>
              <w:bottom w:val="single" w:sz="4" w:color="D9D9D9"/>
              <w:right w:val="single" w:sz="4" w:color="D9D9D9"/>
            </w:tcBorders>
          </w:tcPr>
          <w:p>
            <w:pPr>
              <w:spacing w:after="60" w:before="60"/>
            </w:pPr>
            <w:r>
              <w:rPr>
                <w:b w:val="0"/>
                <w:sz w:val="18"/>
              </w:rPr>
              <w:t>Contexto de decisión</w:t>
            </w:r>
          </w:p>
        </w:tc>
        <w:tc>
          <w:tcPr>
            <w:tcW w:type="dxa" w:w="6480"/>
            <w:tcBorders>
              <w:top w:val="single" w:sz="4" w:color="D9D9D9"/>
              <w:left w:val="single" w:sz="4" w:color="D9D9D9"/>
              <w:bottom w:val="single" w:sz="4" w:color="D9D9D9"/>
              <w:right w:val="single" w:sz="4" w:color="D9D9D9"/>
            </w:tcBorders>
          </w:tcPr>
          <w:p>
            <w:pPr>
              <w:spacing w:after="60" w:before="60"/>
            </w:pPr>
            <w:r>
              <w:rPr>
                <w:b w:val="0"/>
                <w:sz w:val="18"/>
              </w:rPr>
              <w:t>Investigación de condiciones laborales y planificación de acciones de retención</w:t>
            </w:r>
          </w:p>
        </w:tc>
      </w:tr>
    </w:tbl>
    <w:p>
      <w:r>
        <w:t>El archivo original no contiene faltantes ni filas duplicadas. EmployeeNumber es único. EmployeeCount, Over18 y StandardHours son constantes; se excluyen de los análisis junto al identificador, conservándolos en la fuente original.</w:t>
      </w:r>
    </w:p>
    <w:p>
      <w:pPr>
        <w:pStyle w:val="Heading1"/>
      </w:pPr>
      <w:r>
        <w:t>Ficha de variables</w:t>
      </w:r>
    </w:p>
    <w:p>
      <w:r>
        <w:t>Se distinguen tipos estadísticos y tipos de almacenamiento. Las escalas de satisfacción y nivel educativo son ordinales aunque sus códigos sean enteros. Edad y duraciones se clasifican como discretas por estar registradas en años enteros; los importes se tratan como continuos aunque estén redondeados. Las unidades monetarias y de distancia deben verificarse antes de interpretar magnitudes. No se asume moneda chilena.</w:t>
      </w:r>
    </w:p>
    <w:p>
      <w:r>
        <w:br w:type="page"/>
      </w:r>
    </w:p>
    <w:p>
      <w:pPr>
        <w:pStyle w:val="Heading1"/>
      </w:pPr>
      <w:r>
        <w:t>Ficha completa de variables</w:t>
      </w:r>
    </w:p>
    <w:p>
      <w:r>
        <w:t>BusinessTravel se trata como nominal; su frecuencia puede ordenarse explícitamente para presentar gráficos. Attrition y OverTime son nominales binarias. MonthlyIncome representa ingreso mensual; MonthlyRate es otra tarifa y no se intercambia con el ingreso.</w:t>
      </w:r>
    </w:p>
    <w:tbl>
      <w:tblPr>
        <w:tblW w:type="auto" w:w="0"/>
        <w:tblLayout w:type="fixed"/>
        <w:tblLook w:firstColumn="1" w:firstRow="1" w:lastColumn="0" w:lastRow="0" w:noHBand="0" w:noVBand="1" w:val="04A0"/>
      </w:tblPr>
      <w:tblGrid>
        <w:gridCol w:w="4536"/>
        <w:gridCol w:w="4536"/>
      </w:tblGrid>
      <w:tr>
        <w:trPr>
          <w:tblHeader/>
        </w:trPr>
        <w:tc>
          <w:tcPr>
            <w:tcW w:type="dxa" w:w="3744"/>
            <w:tcBorders>
              <w:top w:val="single" w:sz="4" w:color="D9D9D9"/>
              <w:left w:val="single" w:sz="4" w:color="D9D9D9"/>
              <w:bottom w:val="single" w:sz="4" w:color="D9D9D9"/>
              <w:right w:val="single" w:sz="4" w:color="D9D9D9"/>
            </w:tcBorders>
            <w:shd w:fill="E7E7E7"/>
          </w:tcPr>
          <w:p>
            <w:pPr>
              <w:spacing w:after="20" w:before="20"/>
            </w:pPr>
            <w:r>
              <w:rPr>
                <w:b/>
                <w:sz w:val="18"/>
              </w:rPr>
              <w:t>Variable</w:t>
            </w:r>
          </w:p>
        </w:tc>
        <w:tc>
          <w:tcPr>
            <w:tcW w:type="dxa" w:w="4896"/>
            <w:tcBorders>
              <w:top w:val="single" w:sz="4" w:color="D9D9D9"/>
              <w:left w:val="single" w:sz="4" w:color="D9D9D9"/>
              <w:bottom w:val="single" w:sz="4" w:color="D9D9D9"/>
              <w:right w:val="single" w:sz="4" w:color="D9D9D9"/>
            </w:tcBorders>
            <w:shd w:fill="E7E7E7"/>
          </w:tcPr>
          <w:p>
            <w:pPr>
              <w:spacing w:after="20" w:before="20"/>
            </w:pPr>
            <w:r>
              <w:rPr>
                <w:b/>
                <w:sz w:val="18"/>
              </w:rPr>
              <w:t>Tipo estadístico</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Age</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Discreta, conteo o años enteros</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Attrition</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nominal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BusinessTravel</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nominal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DailyRate</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Continua para el análisis</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Department</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nominal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DistanceFromHome</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Medida registrada en enteros</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Education</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ordinal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EducationField</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nominal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EmployeeCount</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Constante</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EmployeeNumber</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Identificador nominal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EnvironmentSatisfaction</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ordinal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Gender</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nominal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HourlyRate</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Continua para el análisis</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JobInvolvement</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ordinal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JobLevel</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ordinal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JobRole</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nominal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JobSatisfaction</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ordinal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MaritalStatus</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nominal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MonthlyIncome</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Continua para el análisis</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MonthlyRate</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Continua para el análisis</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NumCompaniesWorked</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Discreta, conteo o años enteros</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Over18</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Constante</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OverTime</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nominal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PercentSalaryHike</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Medida registrada en enteros</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PerformanceRating</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ordinal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RelationshipSatisfaction</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ordinal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StandardHours</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Constante</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StockOptionLevel</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ordinal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TotalWorkingYears</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Discreta, conteo o años enteros</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TrainingTimesLastYear</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Discreta, conteo o años enteros</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WorkLifeBalance</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Cualitativa ordinal</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YearsAtCompany</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Discreta, conteo o años enteros</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YearsInCurrentRole</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Discreta, conteo o años enteros</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YearsSinceLastPromotion</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Discreta, conteo o años enteros</w:t>
            </w:r>
          </w:p>
        </w:tc>
      </w:tr>
      <w:tr>
        <w:tc>
          <w:tcPr>
            <w:tcW w:type="dxa" w:w="3744"/>
            <w:tcBorders>
              <w:top w:val="single" w:sz="4" w:color="D9D9D9"/>
              <w:left w:val="single" w:sz="4" w:color="D9D9D9"/>
              <w:bottom w:val="single" w:sz="4" w:color="D9D9D9"/>
              <w:right w:val="single" w:sz="4" w:color="D9D9D9"/>
            </w:tcBorders>
          </w:tcPr>
          <w:p>
            <w:pPr>
              <w:spacing w:after="20" w:before="20"/>
            </w:pPr>
            <w:r>
              <w:rPr>
                <w:b w:val="0"/>
                <w:sz w:val="18"/>
              </w:rPr>
              <w:t>YearsWithCurrManager</w:t>
            </w:r>
          </w:p>
        </w:tc>
        <w:tc>
          <w:tcPr>
            <w:tcW w:type="dxa" w:w="4896"/>
            <w:tcBorders>
              <w:top w:val="single" w:sz="4" w:color="D9D9D9"/>
              <w:left w:val="single" w:sz="4" w:color="D9D9D9"/>
              <w:bottom w:val="single" w:sz="4" w:color="D9D9D9"/>
              <w:right w:val="single" w:sz="4" w:color="D9D9D9"/>
            </w:tcBorders>
          </w:tcPr>
          <w:p>
            <w:pPr>
              <w:spacing w:after="20" w:before="20"/>
            </w:pPr>
            <w:r>
              <w:rPr>
                <w:b w:val="0"/>
                <w:sz w:val="18"/>
              </w:rPr>
              <w:t>Discreta, conteo o años enteros</w:t>
            </w:r>
          </w:p>
        </w:tc>
      </w:tr>
    </w:tbl>
    <w:p>
      <w:r>
        <w:br w:type="page"/>
      </w:r>
    </w:p>
    <w:p>
      <w:pPr>
        <w:pStyle w:val="Heading1"/>
      </w:pPr>
      <w:r>
        <w:t>2 Aplicación de estadística descriptiva</w:t>
      </w:r>
    </w:p>
    <w:p>
      <w:r>
        <w:t>Siguiendo el apunte de datasets, se generaron faltantes artificiales MCAR en MonthlyIncome y DistanceFromHome: 147 valores por variable, equivalentes al 10 %. Se seleccionaron posiciones sin reemplazo con numpy.random.default_rng(42), sin utilizar magnitudes ni otras variables. Se conservaron las posiciones, el identificador y los valores originales para evaluar imputaciones futuras. En este informe no se imputan valores; se usan observaciones disponibles y se declara el tamaño efectivo.</w:t>
      </w:r>
    </w:p>
    <w:tbl>
      <w:tblPr>
        <w:tblW w:type="auto" w:w="0"/>
        <w:tblLayout w:type="fixed"/>
        <w:tblLook w:firstColumn="1" w:firstRow="1" w:lastColumn="0" w:lastRow="0" w:noHBand="0" w:noVBand="1" w:val="04A0"/>
      </w:tblPr>
      <w:tblGrid>
        <w:gridCol w:w="1296"/>
        <w:gridCol w:w="1296"/>
        <w:gridCol w:w="1296"/>
        <w:gridCol w:w="1296"/>
        <w:gridCol w:w="1296"/>
        <w:gridCol w:w="1296"/>
        <w:gridCol w:w="1296"/>
      </w:tblGrid>
      <w:tr>
        <w:trPr>
          <w:tblHeader/>
        </w:trPr>
        <w:tc>
          <w:tcPr>
            <w:tcW w:type="dxa" w:w="2376"/>
            <w:tcBorders>
              <w:top w:val="single" w:sz="4" w:color="D9D9D9"/>
              <w:left w:val="single" w:sz="4" w:color="D9D9D9"/>
              <w:bottom w:val="single" w:sz="4" w:color="D9D9D9"/>
              <w:right w:val="single" w:sz="4" w:color="D9D9D9"/>
            </w:tcBorders>
            <w:shd w:fill="E7E7E7"/>
          </w:tcPr>
          <w:p>
            <w:pPr>
              <w:spacing w:after="60" w:before="60"/>
            </w:pPr>
            <w:r>
              <w:rPr>
                <w:b/>
                <w:sz w:val="18"/>
              </w:rPr>
              <w:t>Variable</w:t>
            </w:r>
          </w:p>
        </w:tc>
        <w:tc>
          <w:tcPr>
            <w:tcW w:type="dxa" w:w="648"/>
            <w:tcBorders>
              <w:top w:val="single" w:sz="4" w:color="D9D9D9"/>
              <w:left w:val="single" w:sz="4" w:color="D9D9D9"/>
              <w:bottom w:val="single" w:sz="4" w:color="D9D9D9"/>
              <w:right w:val="single" w:sz="4" w:color="D9D9D9"/>
            </w:tcBorders>
            <w:shd w:fill="E7E7E7"/>
          </w:tcPr>
          <w:p>
            <w:pPr>
              <w:spacing w:after="60" w:before="60"/>
            </w:pPr>
            <w:r>
              <w:rPr>
                <w:b/>
                <w:sz w:val="18"/>
              </w:rPr>
              <w:t>n</w:t>
            </w:r>
          </w:p>
        </w:tc>
        <w:tc>
          <w:tcPr>
            <w:tcW w:type="dxa" w:w="1152"/>
            <w:tcBorders>
              <w:top w:val="single" w:sz="4" w:color="D9D9D9"/>
              <w:left w:val="single" w:sz="4" w:color="D9D9D9"/>
              <w:bottom w:val="single" w:sz="4" w:color="D9D9D9"/>
              <w:right w:val="single" w:sz="4" w:color="D9D9D9"/>
            </w:tcBorders>
            <w:shd w:fill="E7E7E7"/>
          </w:tcPr>
          <w:p>
            <w:pPr>
              <w:spacing w:after="60" w:before="60"/>
            </w:pPr>
            <w:r>
              <w:rPr>
                <w:b/>
                <w:sz w:val="18"/>
              </w:rPr>
              <w:t>Media</w:t>
            </w:r>
          </w:p>
        </w:tc>
        <w:tc>
          <w:tcPr>
            <w:tcW w:type="dxa" w:w="1152"/>
            <w:tcBorders>
              <w:top w:val="single" w:sz="4" w:color="D9D9D9"/>
              <w:left w:val="single" w:sz="4" w:color="D9D9D9"/>
              <w:bottom w:val="single" w:sz="4" w:color="D9D9D9"/>
              <w:right w:val="single" w:sz="4" w:color="D9D9D9"/>
            </w:tcBorders>
            <w:shd w:fill="E7E7E7"/>
          </w:tcPr>
          <w:p>
            <w:pPr>
              <w:spacing w:after="60" w:before="60"/>
            </w:pPr>
            <w:r>
              <w:rPr>
                <w:b/>
                <w:sz w:val="18"/>
              </w:rPr>
              <w:t>Mediana</w:t>
            </w:r>
          </w:p>
        </w:tc>
        <w:tc>
          <w:tcPr>
            <w:tcW w:type="dxa" w:w="1152"/>
            <w:tcBorders>
              <w:top w:val="single" w:sz="4" w:color="D9D9D9"/>
              <w:left w:val="single" w:sz="4" w:color="D9D9D9"/>
              <w:bottom w:val="single" w:sz="4" w:color="D9D9D9"/>
              <w:right w:val="single" w:sz="4" w:color="D9D9D9"/>
            </w:tcBorders>
            <w:shd w:fill="E7E7E7"/>
          </w:tcPr>
          <w:p>
            <w:pPr>
              <w:spacing w:after="60" w:before="60"/>
            </w:pPr>
            <w:r>
              <w:rPr>
                <w:b/>
                <w:sz w:val="18"/>
              </w:rPr>
              <w:t>DE</w:t>
            </w:r>
          </w:p>
        </w:tc>
        <w:tc>
          <w:tcPr>
            <w:tcW w:type="dxa" w:w="1008"/>
            <w:tcBorders>
              <w:top w:val="single" w:sz="4" w:color="D9D9D9"/>
              <w:left w:val="single" w:sz="4" w:color="D9D9D9"/>
              <w:bottom w:val="single" w:sz="4" w:color="D9D9D9"/>
              <w:right w:val="single" w:sz="4" w:color="D9D9D9"/>
            </w:tcBorders>
            <w:shd w:fill="E7E7E7"/>
          </w:tcPr>
          <w:p>
            <w:pPr>
              <w:spacing w:after="60" w:before="60"/>
            </w:pPr>
            <w:r>
              <w:rPr>
                <w:b/>
                <w:sz w:val="18"/>
              </w:rPr>
              <w:t>Q1</w:t>
            </w:r>
          </w:p>
        </w:tc>
        <w:tc>
          <w:tcPr>
            <w:tcW w:type="dxa" w:w="1008"/>
            <w:tcBorders>
              <w:top w:val="single" w:sz="4" w:color="D9D9D9"/>
              <w:left w:val="single" w:sz="4" w:color="D9D9D9"/>
              <w:bottom w:val="single" w:sz="4" w:color="D9D9D9"/>
              <w:right w:val="single" w:sz="4" w:color="D9D9D9"/>
            </w:tcBorders>
            <w:shd w:fill="E7E7E7"/>
          </w:tcPr>
          <w:p>
            <w:pPr>
              <w:spacing w:after="60" w:before="60"/>
            </w:pPr>
            <w:r>
              <w:rPr>
                <w:b/>
                <w:sz w:val="18"/>
              </w:rPr>
              <w:t>Q3</w:t>
            </w:r>
          </w:p>
        </w:tc>
      </w:tr>
      <w:tr>
        <w:tc>
          <w:tcPr>
            <w:tcW w:type="dxa" w:w="2376"/>
            <w:tcBorders>
              <w:top w:val="single" w:sz="4" w:color="D9D9D9"/>
              <w:left w:val="single" w:sz="4" w:color="D9D9D9"/>
              <w:bottom w:val="single" w:sz="4" w:color="D9D9D9"/>
              <w:right w:val="single" w:sz="4" w:color="D9D9D9"/>
            </w:tcBorders>
          </w:tcPr>
          <w:p>
            <w:pPr>
              <w:spacing w:after="60" w:before="60"/>
            </w:pPr>
            <w:r>
              <w:rPr>
                <w:b w:val="0"/>
                <w:sz w:val="18"/>
              </w:rPr>
              <w:t>Age</w:t>
            </w:r>
          </w:p>
        </w:tc>
        <w:tc>
          <w:tcPr>
            <w:tcW w:type="dxa" w:w="648"/>
            <w:tcBorders>
              <w:top w:val="single" w:sz="4" w:color="D9D9D9"/>
              <w:left w:val="single" w:sz="4" w:color="D9D9D9"/>
              <w:bottom w:val="single" w:sz="4" w:color="D9D9D9"/>
              <w:right w:val="single" w:sz="4" w:color="D9D9D9"/>
            </w:tcBorders>
          </w:tcPr>
          <w:p>
            <w:pPr>
              <w:spacing w:after="60" w:before="60"/>
            </w:pPr>
            <w:r>
              <w:rPr>
                <w:b w:val="0"/>
                <w:sz w:val="18"/>
              </w:rPr>
              <w:t>1470</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36.92</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36.00</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9.14</w:t>
            </w:r>
          </w:p>
        </w:tc>
        <w:tc>
          <w:tcPr>
            <w:tcW w:type="dxa" w:w="1008"/>
            <w:tcBorders>
              <w:top w:val="single" w:sz="4" w:color="D9D9D9"/>
              <w:left w:val="single" w:sz="4" w:color="D9D9D9"/>
              <w:bottom w:val="single" w:sz="4" w:color="D9D9D9"/>
              <w:right w:val="single" w:sz="4" w:color="D9D9D9"/>
            </w:tcBorders>
          </w:tcPr>
          <w:p>
            <w:pPr>
              <w:spacing w:after="60" w:before="60"/>
            </w:pPr>
            <w:r>
              <w:rPr>
                <w:b w:val="0"/>
                <w:sz w:val="18"/>
              </w:rPr>
              <w:t>30.00</w:t>
            </w:r>
          </w:p>
        </w:tc>
        <w:tc>
          <w:tcPr>
            <w:tcW w:type="dxa" w:w="1008"/>
            <w:tcBorders>
              <w:top w:val="single" w:sz="4" w:color="D9D9D9"/>
              <w:left w:val="single" w:sz="4" w:color="D9D9D9"/>
              <w:bottom w:val="single" w:sz="4" w:color="D9D9D9"/>
              <w:right w:val="single" w:sz="4" w:color="D9D9D9"/>
            </w:tcBorders>
          </w:tcPr>
          <w:p>
            <w:pPr>
              <w:spacing w:after="60" w:before="60"/>
            </w:pPr>
            <w:r>
              <w:rPr>
                <w:b w:val="0"/>
                <w:sz w:val="18"/>
              </w:rPr>
              <w:t>43.00</w:t>
            </w:r>
          </w:p>
        </w:tc>
      </w:tr>
      <w:tr>
        <w:tc>
          <w:tcPr>
            <w:tcW w:type="dxa" w:w="2376"/>
            <w:tcBorders>
              <w:top w:val="single" w:sz="4" w:color="D9D9D9"/>
              <w:left w:val="single" w:sz="4" w:color="D9D9D9"/>
              <w:bottom w:val="single" w:sz="4" w:color="D9D9D9"/>
              <w:right w:val="single" w:sz="4" w:color="D9D9D9"/>
            </w:tcBorders>
          </w:tcPr>
          <w:p>
            <w:pPr>
              <w:spacing w:after="60" w:before="60"/>
            </w:pPr>
            <w:r>
              <w:rPr>
                <w:b w:val="0"/>
                <w:sz w:val="18"/>
              </w:rPr>
              <w:t>MonthlyIncome</w:t>
            </w:r>
          </w:p>
        </w:tc>
        <w:tc>
          <w:tcPr>
            <w:tcW w:type="dxa" w:w="648"/>
            <w:tcBorders>
              <w:top w:val="single" w:sz="4" w:color="D9D9D9"/>
              <w:left w:val="single" w:sz="4" w:color="D9D9D9"/>
              <w:bottom w:val="single" w:sz="4" w:color="D9D9D9"/>
              <w:right w:val="single" w:sz="4" w:color="D9D9D9"/>
            </w:tcBorders>
          </w:tcPr>
          <w:p>
            <w:pPr>
              <w:spacing w:after="60" w:before="60"/>
            </w:pPr>
            <w:r>
              <w:rPr>
                <w:b w:val="0"/>
                <w:sz w:val="18"/>
              </w:rPr>
              <w:t>1323</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6530.21</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4960.00</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4708.33</w:t>
            </w:r>
          </w:p>
        </w:tc>
        <w:tc>
          <w:tcPr>
            <w:tcW w:type="dxa" w:w="1008"/>
            <w:tcBorders>
              <w:top w:val="single" w:sz="4" w:color="D9D9D9"/>
              <w:left w:val="single" w:sz="4" w:color="D9D9D9"/>
              <w:bottom w:val="single" w:sz="4" w:color="D9D9D9"/>
              <w:right w:val="single" w:sz="4" w:color="D9D9D9"/>
            </w:tcBorders>
          </w:tcPr>
          <w:p>
            <w:pPr>
              <w:spacing w:after="60" w:before="60"/>
            </w:pPr>
            <w:r>
              <w:rPr>
                <w:b w:val="0"/>
                <w:sz w:val="18"/>
              </w:rPr>
              <w:t>2930.50</w:t>
            </w:r>
          </w:p>
        </w:tc>
        <w:tc>
          <w:tcPr>
            <w:tcW w:type="dxa" w:w="1008"/>
            <w:tcBorders>
              <w:top w:val="single" w:sz="4" w:color="D9D9D9"/>
              <w:left w:val="single" w:sz="4" w:color="D9D9D9"/>
              <w:bottom w:val="single" w:sz="4" w:color="D9D9D9"/>
              <w:right w:val="single" w:sz="4" w:color="D9D9D9"/>
            </w:tcBorders>
          </w:tcPr>
          <w:p>
            <w:pPr>
              <w:spacing w:after="60" w:before="60"/>
            </w:pPr>
            <w:r>
              <w:rPr>
                <w:b w:val="0"/>
                <w:sz w:val="18"/>
              </w:rPr>
              <w:t>8404.00</w:t>
            </w:r>
          </w:p>
        </w:tc>
      </w:tr>
      <w:tr>
        <w:tc>
          <w:tcPr>
            <w:tcW w:type="dxa" w:w="2376"/>
            <w:tcBorders>
              <w:top w:val="single" w:sz="4" w:color="D9D9D9"/>
              <w:left w:val="single" w:sz="4" w:color="D9D9D9"/>
              <w:bottom w:val="single" w:sz="4" w:color="D9D9D9"/>
              <w:right w:val="single" w:sz="4" w:color="D9D9D9"/>
            </w:tcBorders>
          </w:tcPr>
          <w:p>
            <w:pPr>
              <w:spacing w:after="60" w:before="60"/>
            </w:pPr>
            <w:r>
              <w:rPr>
                <w:b w:val="0"/>
                <w:sz w:val="18"/>
              </w:rPr>
              <w:t>DistanceFromHome</w:t>
            </w:r>
          </w:p>
        </w:tc>
        <w:tc>
          <w:tcPr>
            <w:tcW w:type="dxa" w:w="648"/>
            <w:tcBorders>
              <w:top w:val="single" w:sz="4" w:color="D9D9D9"/>
              <w:left w:val="single" w:sz="4" w:color="D9D9D9"/>
              <w:bottom w:val="single" w:sz="4" w:color="D9D9D9"/>
              <w:right w:val="single" w:sz="4" w:color="D9D9D9"/>
            </w:tcBorders>
          </w:tcPr>
          <w:p>
            <w:pPr>
              <w:spacing w:after="60" w:before="60"/>
            </w:pPr>
            <w:r>
              <w:rPr>
                <w:b w:val="0"/>
                <w:sz w:val="18"/>
              </w:rPr>
              <w:t>1323</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9.18</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7.00</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8.09</w:t>
            </w:r>
          </w:p>
        </w:tc>
        <w:tc>
          <w:tcPr>
            <w:tcW w:type="dxa" w:w="1008"/>
            <w:tcBorders>
              <w:top w:val="single" w:sz="4" w:color="D9D9D9"/>
              <w:left w:val="single" w:sz="4" w:color="D9D9D9"/>
              <w:bottom w:val="single" w:sz="4" w:color="D9D9D9"/>
              <w:right w:val="single" w:sz="4" w:color="D9D9D9"/>
            </w:tcBorders>
          </w:tcPr>
          <w:p>
            <w:pPr>
              <w:spacing w:after="60" w:before="60"/>
            </w:pPr>
            <w:r>
              <w:rPr>
                <w:b w:val="0"/>
                <w:sz w:val="18"/>
              </w:rPr>
              <w:t>2.00</w:t>
            </w:r>
          </w:p>
        </w:tc>
        <w:tc>
          <w:tcPr>
            <w:tcW w:type="dxa" w:w="1008"/>
            <w:tcBorders>
              <w:top w:val="single" w:sz="4" w:color="D9D9D9"/>
              <w:left w:val="single" w:sz="4" w:color="D9D9D9"/>
              <w:bottom w:val="single" w:sz="4" w:color="D9D9D9"/>
              <w:right w:val="single" w:sz="4" w:color="D9D9D9"/>
            </w:tcBorders>
          </w:tcPr>
          <w:p>
            <w:pPr>
              <w:spacing w:after="60" w:before="60"/>
            </w:pPr>
            <w:r>
              <w:rPr>
                <w:b w:val="0"/>
                <w:sz w:val="18"/>
              </w:rPr>
              <w:t>14.00</w:t>
            </w:r>
          </w:p>
        </w:tc>
      </w:tr>
      <w:tr>
        <w:tc>
          <w:tcPr>
            <w:tcW w:type="dxa" w:w="2376"/>
            <w:tcBorders>
              <w:top w:val="single" w:sz="4" w:color="D9D9D9"/>
              <w:left w:val="single" w:sz="4" w:color="D9D9D9"/>
              <w:bottom w:val="single" w:sz="4" w:color="D9D9D9"/>
              <w:right w:val="single" w:sz="4" w:color="D9D9D9"/>
            </w:tcBorders>
          </w:tcPr>
          <w:p>
            <w:pPr>
              <w:spacing w:after="60" w:before="60"/>
            </w:pPr>
            <w:r>
              <w:rPr>
                <w:b w:val="0"/>
                <w:sz w:val="18"/>
              </w:rPr>
              <w:t>YearsAtCompany</w:t>
            </w:r>
          </w:p>
        </w:tc>
        <w:tc>
          <w:tcPr>
            <w:tcW w:type="dxa" w:w="648"/>
            <w:tcBorders>
              <w:top w:val="single" w:sz="4" w:color="D9D9D9"/>
              <w:left w:val="single" w:sz="4" w:color="D9D9D9"/>
              <w:bottom w:val="single" w:sz="4" w:color="D9D9D9"/>
              <w:right w:val="single" w:sz="4" w:color="D9D9D9"/>
            </w:tcBorders>
          </w:tcPr>
          <w:p>
            <w:pPr>
              <w:spacing w:after="60" w:before="60"/>
            </w:pPr>
            <w:r>
              <w:rPr>
                <w:b w:val="0"/>
                <w:sz w:val="18"/>
              </w:rPr>
              <w:t>1470</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7.01</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5.00</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6.13</w:t>
            </w:r>
          </w:p>
        </w:tc>
        <w:tc>
          <w:tcPr>
            <w:tcW w:type="dxa" w:w="1008"/>
            <w:tcBorders>
              <w:top w:val="single" w:sz="4" w:color="D9D9D9"/>
              <w:left w:val="single" w:sz="4" w:color="D9D9D9"/>
              <w:bottom w:val="single" w:sz="4" w:color="D9D9D9"/>
              <w:right w:val="single" w:sz="4" w:color="D9D9D9"/>
            </w:tcBorders>
          </w:tcPr>
          <w:p>
            <w:pPr>
              <w:spacing w:after="60" w:before="60"/>
            </w:pPr>
            <w:r>
              <w:rPr>
                <w:b w:val="0"/>
                <w:sz w:val="18"/>
              </w:rPr>
              <w:t>3.00</w:t>
            </w:r>
          </w:p>
        </w:tc>
        <w:tc>
          <w:tcPr>
            <w:tcW w:type="dxa" w:w="1008"/>
            <w:tcBorders>
              <w:top w:val="single" w:sz="4" w:color="D9D9D9"/>
              <w:left w:val="single" w:sz="4" w:color="D9D9D9"/>
              <w:bottom w:val="single" w:sz="4" w:color="D9D9D9"/>
              <w:right w:val="single" w:sz="4" w:color="D9D9D9"/>
            </w:tcBorders>
          </w:tcPr>
          <w:p>
            <w:pPr>
              <w:spacing w:after="60" w:before="60"/>
            </w:pPr>
            <w:r>
              <w:rPr>
                <w:b w:val="0"/>
                <w:sz w:val="18"/>
              </w:rPr>
              <w:t>9.00</w:t>
            </w:r>
          </w:p>
        </w:tc>
      </w:tr>
      <w:tr>
        <w:tc>
          <w:tcPr>
            <w:tcW w:type="dxa" w:w="2376"/>
            <w:tcBorders>
              <w:top w:val="single" w:sz="4" w:color="D9D9D9"/>
              <w:left w:val="single" w:sz="4" w:color="D9D9D9"/>
              <w:bottom w:val="single" w:sz="4" w:color="D9D9D9"/>
              <w:right w:val="single" w:sz="4" w:color="D9D9D9"/>
            </w:tcBorders>
          </w:tcPr>
          <w:p>
            <w:pPr>
              <w:spacing w:after="60" w:before="60"/>
            </w:pPr>
            <w:r>
              <w:rPr>
                <w:b w:val="0"/>
                <w:sz w:val="18"/>
              </w:rPr>
              <w:t>TotalWorkingYears</w:t>
            </w:r>
          </w:p>
        </w:tc>
        <w:tc>
          <w:tcPr>
            <w:tcW w:type="dxa" w:w="648"/>
            <w:tcBorders>
              <w:top w:val="single" w:sz="4" w:color="D9D9D9"/>
              <w:left w:val="single" w:sz="4" w:color="D9D9D9"/>
              <w:bottom w:val="single" w:sz="4" w:color="D9D9D9"/>
              <w:right w:val="single" w:sz="4" w:color="D9D9D9"/>
            </w:tcBorders>
          </w:tcPr>
          <w:p>
            <w:pPr>
              <w:spacing w:after="60" w:before="60"/>
            </w:pPr>
            <w:r>
              <w:rPr>
                <w:b w:val="0"/>
                <w:sz w:val="18"/>
              </w:rPr>
              <w:t>1470</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11.28</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10.00</w:t>
            </w:r>
          </w:p>
        </w:tc>
        <w:tc>
          <w:tcPr>
            <w:tcW w:type="dxa" w:w="1152"/>
            <w:tcBorders>
              <w:top w:val="single" w:sz="4" w:color="D9D9D9"/>
              <w:left w:val="single" w:sz="4" w:color="D9D9D9"/>
              <w:bottom w:val="single" w:sz="4" w:color="D9D9D9"/>
              <w:right w:val="single" w:sz="4" w:color="D9D9D9"/>
            </w:tcBorders>
          </w:tcPr>
          <w:p>
            <w:pPr>
              <w:spacing w:after="60" w:before="60"/>
            </w:pPr>
            <w:r>
              <w:rPr>
                <w:b w:val="0"/>
                <w:sz w:val="18"/>
              </w:rPr>
              <w:t>7.78</w:t>
            </w:r>
          </w:p>
        </w:tc>
        <w:tc>
          <w:tcPr>
            <w:tcW w:type="dxa" w:w="1008"/>
            <w:tcBorders>
              <w:top w:val="single" w:sz="4" w:color="D9D9D9"/>
              <w:left w:val="single" w:sz="4" w:color="D9D9D9"/>
              <w:bottom w:val="single" w:sz="4" w:color="D9D9D9"/>
              <w:right w:val="single" w:sz="4" w:color="D9D9D9"/>
            </w:tcBorders>
          </w:tcPr>
          <w:p>
            <w:pPr>
              <w:spacing w:after="60" w:before="60"/>
            </w:pPr>
            <w:r>
              <w:rPr>
                <w:b w:val="0"/>
                <w:sz w:val="18"/>
              </w:rPr>
              <w:t>6.00</w:t>
            </w:r>
          </w:p>
        </w:tc>
        <w:tc>
          <w:tcPr>
            <w:tcW w:type="dxa" w:w="1008"/>
            <w:tcBorders>
              <w:top w:val="single" w:sz="4" w:color="D9D9D9"/>
              <w:left w:val="single" w:sz="4" w:color="D9D9D9"/>
              <w:bottom w:val="single" w:sz="4" w:color="D9D9D9"/>
              <w:right w:val="single" w:sz="4" w:color="D9D9D9"/>
            </w:tcBorders>
          </w:tcPr>
          <w:p>
            <w:pPr>
              <w:spacing w:after="60" w:before="60"/>
            </w:pPr>
            <w:r>
              <w:rPr>
                <w:b w:val="0"/>
                <w:sz w:val="18"/>
              </w:rPr>
              <w:t>15.00</w:t>
            </w:r>
          </w:p>
        </w:tc>
      </w:tr>
    </w:tbl>
    <w:p>
      <w:r>
        <w:t>Tabla 1. Medidas sobre la versión con faltantes MCAR. DE corresponde a desviación estándar muestral. Los importes se expresan en unidades del archivo.</w:t>
      </w:r>
    </w:p>
    <w:p>
      <w:r>
        <w:t>La edad media es 36,92 años y la mediana es 36. La antigüedad media es 7,01 años y la mediana es 5, lo que evidencia una concentración en duraciones menores con algunos valores elevados. Para ingreso, la media de los valores observados es 6.530,21 y supera la mediana; junto al histograma, esto respalda la descripción de asimetría hacia la derecha. No se eliminan automáticamente los valores extremos.</w:t>
      </w:r>
    </w:p>
    <w:tbl>
      <w:tblPr>
        <w:tblW w:type="auto" w:w="0"/>
        <w:tblLayout w:type="fixed"/>
        <w:tblLook w:firstColumn="1" w:firstRow="1" w:lastColumn="0" w:lastRow="0" w:noHBand="0" w:noVBand="1" w:val="04A0"/>
      </w:tblPr>
      <w:tblGrid>
        <w:gridCol w:w="3024"/>
        <w:gridCol w:w="3024"/>
        <w:gridCol w:w="3024"/>
      </w:tblGrid>
      <w:tr>
        <w:trPr>
          <w:tblHeader/>
        </w:trPr>
        <w:tc>
          <w:tcPr>
            <w:tcW w:type="dxa" w:w="2880"/>
            <w:tcBorders>
              <w:top w:val="single" w:sz="4" w:color="D9D9D9"/>
              <w:left w:val="single" w:sz="4" w:color="D9D9D9"/>
              <w:bottom w:val="single" w:sz="4" w:color="D9D9D9"/>
              <w:right w:val="single" w:sz="4" w:color="D9D9D9"/>
            </w:tcBorders>
            <w:shd w:fill="E7E7E7"/>
          </w:tcPr>
          <w:p>
            <w:pPr>
              <w:spacing w:after="60" w:before="60"/>
            </w:pPr>
            <w:r>
              <w:rPr>
                <w:b/>
                <w:sz w:val="18"/>
              </w:rPr>
              <w:t>Attrition</w:t>
            </w:r>
          </w:p>
        </w:tc>
        <w:tc>
          <w:tcPr>
            <w:tcW w:type="dxa" w:w="2880"/>
            <w:tcBorders>
              <w:top w:val="single" w:sz="4" w:color="D9D9D9"/>
              <w:left w:val="single" w:sz="4" w:color="D9D9D9"/>
              <w:bottom w:val="single" w:sz="4" w:color="D9D9D9"/>
              <w:right w:val="single" w:sz="4" w:color="D9D9D9"/>
            </w:tcBorders>
            <w:shd w:fill="E7E7E7"/>
          </w:tcPr>
          <w:p>
            <w:pPr>
              <w:spacing w:after="60" w:before="60"/>
            </w:pPr>
            <w:r>
              <w:rPr>
                <w:b/>
                <w:sz w:val="18"/>
              </w:rPr>
              <w:t>Frecuencia</w:t>
            </w:r>
          </w:p>
        </w:tc>
        <w:tc>
          <w:tcPr>
            <w:tcW w:type="dxa" w:w="2880"/>
            <w:tcBorders>
              <w:top w:val="single" w:sz="4" w:color="D9D9D9"/>
              <w:left w:val="single" w:sz="4" w:color="D9D9D9"/>
              <w:bottom w:val="single" w:sz="4" w:color="D9D9D9"/>
              <w:right w:val="single" w:sz="4" w:color="D9D9D9"/>
            </w:tcBorders>
            <w:shd w:fill="E7E7E7"/>
          </w:tcPr>
          <w:p>
            <w:pPr>
              <w:spacing w:after="60" w:before="60"/>
            </w:pPr>
            <w:r>
              <w:rPr>
                <w:b/>
                <w:sz w:val="18"/>
              </w:rPr>
              <w:t>Porcentaje</w:t>
            </w:r>
          </w:p>
        </w:tc>
      </w:tr>
      <w:tr>
        <w:tc>
          <w:tcPr>
            <w:tcW w:type="dxa" w:w="2880"/>
            <w:tcBorders>
              <w:top w:val="single" w:sz="4" w:color="D9D9D9"/>
              <w:left w:val="single" w:sz="4" w:color="D9D9D9"/>
              <w:bottom w:val="single" w:sz="4" w:color="D9D9D9"/>
              <w:right w:val="single" w:sz="4" w:color="D9D9D9"/>
            </w:tcBorders>
          </w:tcPr>
          <w:p>
            <w:pPr>
              <w:spacing w:after="60" w:before="60"/>
            </w:pPr>
            <w:r>
              <w:rPr>
                <w:b w:val="0"/>
                <w:sz w:val="18"/>
              </w:rPr>
              <w:t>No</w:t>
            </w:r>
          </w:p>
        </w:tc>
        <w:tc>
          <w:tcPr>
            <w:tcW w:type="dxa" w:w="2880"/>
            <w:tcBorders>
              <w:top w:val="single" w:sz="4" w:color="D9D9D9"/>
              <w:left w:val="single" w:sz="4" w:color="D9D9D9"/>
              <w:bottom w:val="single" w:sz="4" w:color="D9D9D9"/>
              <w:right w:val="single" w:sz="4" w:color="D9D9D9"/>
            </w:tcBorders>
          </w:tcPr>
          <w:p>
            <w:pPr>
              <w:spacing w:after="60" w:before="60"/>
            </w:pPr>
            <w:r>
              <w:rPr>
                <w:b w:val="0"/>
                <w:sz w:val="18"/>
              </w:rPr>
              <w:t>1233</w:t>
            </w:r>
          </w:p>
        </w:tc>
        <w:tc>
          <w:tcPr>
            <w:tcW w:type="dxa" w:w="2880"/>
            <w:tcBorders>
              <w:top w:val="single" w:sz="4" w:color="D9D9D9"/>
              <w:left w:val="single" w:sz="4" w:color="D9D9D9"/>
              <w:bottom w:val="single" w:sz="4" w:color="D9D9D9"/>
              <w:right w:val="single" w:sz="4" w:color="D9D9D9"/>
            </w:tcBorders>
          </w:tcPr>
          <w:p>
            <w:pPr>
              <w:spacing w:after="60" w:before="60"/>
            </w:pPr>
            <w:r>
              <w:rPr>
                <w:b w:val="0"/>
                <w:sz w:val="18"/>
              </w:rPr>
              <w:t>83,88 %</w:t>
            </w:r>
          </w:p>
        </w:tc>
      </w:tr>
      <w:tr>
        <w:tc>
          <w:tcPr>
            <w:tcW w:type="dxa" w:w="2880"/>
            <w:tcBorders>
              <w:top w:val="single" w:sz="4" w:color="D9D9D9"/>
              <w:left w:val="single" w:sz="4" w:color="D9D9D9"/>
              <w:bottom w:val="single" w:sz="4" w:color="D9D9D9"/>
              <w:right w:val="single" w:sz="4" w:color="D9D9D9"/>
            </w:tcBorders>
          </w:tcPr>
          <w:p>
            <w:pPr>
              <w:spacing w:after="60" w:before="60"/>
            </w:pPr>
            <w:r>
              <w:rPr>
                <w:b w:val="0"/>
                <w:sz w:val="18"/>
              </w:rPr>
              <w:t>Yes</w:t>
            </w:r>
          </w:p>
        </w:tc>
        <w:tc>
          <w:tcPr>
            <w:tcW w:type="dxa" w:w="2880"/>
            <w:tcBorders>
              <w:top w:val="single" w:sz="4" w:color="D9D9D9"/>
              <w:left w:val="single" w:sz="4" w:color="D9D9D9"/>
              <w:bottom w:val="single" w:sz="4" w:color="D9D9D9"/>
              <w:right w:val="single" w:sz="4" w:color="D9D9D9"/>
            </w:tcBorders>
          </w:tcPr>
          <w:p>
            <w:pPr>
              <w:spacing w:after="60" w:before="60"/>
            </w:pPr>
            <w:r>
              <w:rPr>
                <w:b w:val="0"/>
                <w:sz w:val="18"/>
              </w:rPr>
              <w:t>237</w:t>
            </w:r>
          </w:p>
        </w:tc>
        <w:tc>
          <w:tcPr>
            <w:tcW w:type="dxa" w:w="2880"/>
            <w:tcBorders>
              <w:top w:val="single" w:sz="4" w:color="D9D9D9"/>
              <w:left w:val="single" w:sz="4" w:color="D9D9D9"/>
              <w:bottom w:val="single" w:sz="4" w:color="D9D9D9"/>
              <w:right w:val="single" w:sz="4" w:color="D9D9D9"/>
            </w:tcBorders>
          </w:tcPr>
          <w:p>
            <w:pPr>
              <w:spacing w:after="60" w:before="60"/>
            </w:pPr>
            <w:r>
              <w:rPr>
                <w:b w:val="0"/>
                <w:sz w:val="18"/>
              </w:rPr>
              <w:t>16,12 %</w:t>
            </w:r>
          </w:p>
        </w:tc>
      </w:tr>
    </w:tbl>
    <w:p>
      <w:r>
        <w:t>El porcentaje de salida describe estos registros y no debe denominarse tasa anual, ya que no se establece un período de seguimiento. La clase objetivo está desbalanceada. Para satisfacción se reportan frecuencias: niveles 1, 2, 3 y 4 con 289, 280, 442 y 459 registros respectivamente; no se presupone igualdad de distancia entre niveles.</w:t>
      </w:r>
    </w:p>
    <w:p>
      <w:r>
        <w:br w:type="page"/>
      </w:r>
    </w:p>
    <w:p>
      <w:pPr>
        <w:pStyle w:val="Heading1"/>
      </w:pPr>
      <w:r>
        <w:t>Representaciones gráficas</w:t>
      </w:r>
    </w:p>
    <w:p>
      <w:r>
        <w:drawing>
          <wp:inline xmlns:a="http://schemas.openxmlformats.org/drawingml/2006/main" xmlns:pic="http://schemas.openxmlformats.org/drawingml/2006/picture">
            <wp:extent cx="5486400" cy="3840480"/>
            <wp:docPr id="2" name="Picture 2"/>
            <wp:cNvGraphicFramePr>
              <a:graphicFrameLocks noChangeAspect="1"/>
            </wp:cNvGraphicFramePr>
            <a:graphic>
              <a:graphicData uri="http://schemas.openxmlformats.org/drawingml/2006/picture">
                <pic:pic>
                  <pic:nvPicPr>
                    <pic:cNvPr id="0" name="figura_eda.png"/>
                    <pic:cNvPicPr/>
                  </pic:nvPicPr>
                  <pic:blipFill>
                    <a:blip r:embed="rId10"/>
                    <a:stretch>
                      <a:fillRect/>
                    </a:stretch>
                  </pic:blipFill>
                  <pic:spPr>
                    <a:xfrm>
                      <a:off x="0" y="0"/>
                      <a:ext cx="5486400" cy="3840480"/>
                    </a:xfrm>
                    <a:prstGeom prst="rect"/>
                  </pic:spPr>
                </pic:pic>
              </a:graphicData>
            </a:graphic>
          </wp:inline>
        </w:drawing>
      </w:r>
    </w:p>
    <w:p>
      <w:r>
        <w:t>Figura 1. Barras del objetivo, histograma de ingreso, cajas por salida y porcentaje de salida por horas extra. Fuente: elaboración propia sobre el CSV y la versión MCAR.</w:t>
      </w:r>
    </w:p>
    <w:p>
      <w:r>
        <w:t>Las barras muestran el desbalance del objetivo. El histograma y las cajas permiten examinar dispersión y asimetría del ingreso. Los puntos fuera de las cajas son observaciones extremas según la regla gráfica, no errores demostrados. El porcentaje de salida es mayor en el grupo con horas extra; esta comparación es descriptiva y requiere un contraste estadístico y cautela respecto de otros factores.</w:t>
      </w:r>
    </w:p>
    <w:p>
      <w:r>
        <w:br w:type="page"/>
      </w:r>
    </w:p>
    <w:p>
      <w:pPr>
        <w:pStyle w:val="Heading1"/>
      </w:pPr>
      <w:r>
        <w:t>3 Estimación puntual e intervalos de confianza</w:t>
      </w:r>
    </w:p>
    <w:p>
      <w:r>
        <w:t>Se estimó la proporción de salida con los 1.470 registros y el ingreso medio con 1.323 valores observados. Se usó Wilson para la proporción, que evita limitaciones del intervalo normal simple, y t de Student para el ingreso medio, con desviación poblacional desconocida. El análisis de la media se apoya en el tamaño muestral y en una aproximación de su distribución, aun cuando el ingreso individual sea asimétrico.</w:t>
      </w:r>
    </w:p>
    <w:tbl>
      <w:tblPr>
        <w:tblW w:type="auto" w:w="0"/>
        <w:tblLayout w:type="fixed"/>
        <w:tblLook w:firstColumn="1" w:firstRow="1" w:lastColumn="0" w:lastRow="0" w:noHBand="0" w:noVBand="1" w:val="04A0"/>
      </w:tblPr>
      <w:tblGrid>
        <w:gridCol w:w="2268"/>
        <w:gridCol w:w="2268"/>
        <w:gridCol w:w="2268"/>
        <w:gridCol w:w="2268"/>
      </w:tblGrid>
      <w:tr>
        <w:trPr>
          <w:tblHeader/>
        </w:trPr>
        <w:tc>
          <w:tcPr>
            <w:tcW w:type="dxa" w:w="2592"/>
            <w:tcBorders>
              <w:top w:val="single" w:sz="4" w:color="D9D9D9"/>
              <w:left w:val="single" w:sz="4" w:color="D9D9D9"/>
              <w:bottom w:val="single" w:sz="4" w:color="D9D9D9"/>
              <w:right w:val="single" w:sz="4" w:color="D9D9D9"/>
            </w:tcBorders>
            <w:shd w:fill="E7E7E7"/>
          </w:tcPr>
          <w:p>
            <w:pPr>
              <w:spacing w:after="60" w:before="60"/>
            </w:pPr>
            <w:r>
              <w:rPr>
                <w:b/>
                <w:sz w:val="18"/>
              </w:rPr>
              <w:t>Parámetro</w:t>
            </w:r>
          </w:p>
        </w:tc>
        <w:tc>
          <w:tcPr>
            <w:tcW w:type="dxa" w:w="720"/>
            <w:tcBorders>
              <w:top w:val="single" w:sz="4" w:color="D9D9D9"/>
              <w:left w:val="single" w:sz="4" w:color="D9D9D9"/>
              <w:bottom w:val="single" w:sz="4" w:color="D9D9D9"/>
              <w:right w:val="single" w:sz="4" w:color="D9D9D9"/>
            </w:tcBorders>
            <w:shd w:fill="E7E7E7"/>
          </w:tcPr>
          <w:p>
            <w:pPr>
              <w:spacing w:after="60" w:before="60"/>
            </w:pPr>
            <w:r>
              <w:rPr>
                <w:b/>
                <w:sz w:val="18"/>
              </w:rPr>
              <w:t>n</w:t>
            </w:r>
          </w:p>
        </w:tc>
        <w:tc>
          <w:tcPr>
            <w:tcW w:type="dxa" w:w="1584"/>
            <w:tcBorders>
              <w:top w:val="single" w:sz="4" w:color="D9D9D9"/>
              <w:left w:val="single" w:sz="4" w:color="D9D9D9"/>
              <w:bottom w:val="single" w:sz="4" w:color="D9D9D9"/>
              <w:right w:val="single" w:sz="4" w:color="D9D9D9"/>
            </w:tcBorders>
            <w:shd w:fill="E7E7E7"/>
          </w:tcPr>
          <w:p>
            <w:pPr>
              <w:spacing w:after="60" w:before="60"/>
            </w:pPr>
            <w:r>
              <w:rPr>
                <w:b/>
                <w:sz w:val="18"/>
              </w:rPr>
              <w:t>Estimación</w:t>
            </w:r>
          </w:p>
        </w:tc>
        <w:tc>
          <w:tcPr>
            <w:tcW w:type="dxa" w:w="3744"/>
            <w:tcBorders>
              <w:top w:val="single" w:sz="4" w:color="D9D9D9"/>
              <w:left w:val="single" w:sz="4" w:color="D9D9D9"/>
              <w:bottom w:val="single" w:sz="4" w:color="D9D9D9"/>
              <w:right w:val="single" w:sz="4" w:color="D9D9D9"/>
            </w:tcBorders>
            <w:shd w:fill="E7E7E7"/>
          </w:tcPr>
          <w:p>
            <w:pPr>
              <w:spacing w:after="60" w:before="60"/>
            </w:pPr>
            <w:r>
              <w:rPr>
                <w:b/>
                <w:sz w:val="18"/>
              </w:rPr>
              <w:t>IC del 95 %</w:t>
            </w:r>
          </w:p>
        </w:tc>
      </w:tr>
      <w:tr>
        <w:tc>
          <w:tcPr>
            <w:tcW w:type="dxa" w:w="2592"/>
            <w:tcBorders>
              <w:top w:val="single" w:sz="4" w:color="D9D9D9"/>
              <w:left w:val="single" w:sz="4" w:color="D9D9D9"/>
              <w:bottom w:val="single" w:sz="4" w:color="D9D9D9"/>
              <w:right w:val="single" w:sz="4" w:color="D9D9D9"/>
            </w:tcBorders>
          </w:tcPr>
          <w:p>
            <w:pPr>
              <w:spacing w:after="60" w:before="60"/>
            </w:pPr>
            <w:r>
              <w:rPr>
                <w:b w:val="0"/>
                <w:sz w:val="18"/>
              </w:rPr>
              <w:t>Proporción de salida</w:t>
            </w:r>
          </w:p>
        </w:tc>
        <w:tc>
          <w:tcPr>
            <w:tcW w:type="dxa" w:w="720"/>
            <w:tcBorders>
              <w:top w:val="single" w:sz="4" w:color="D9D9D9"/>
              <w:left w:val="single" w:sz="4" w:color="D9D9D9"/>
              <w:bottom w:val="single" w:sz="4" w:color="D9D9D9"/>
              <w:right w:val="single" w:sz="4" w:color="D9D9D9"/>
            </w:tcBorders>
          </w:tcPr>
          <w:p>
            <w:pPr>
              <w:spacing w:after="60" w:before="60"/>
            </w:pPr>
            <w:r>
              <w:rPr>
                <w:b w:val="0"/>
                <w:sz w:val="18"/>
              </w:rPr>
              <w:t>1470</w:t>
            </w:r>
          </w:p>
        </w:tc>
        <w:tc>
          <w:tcPr>
            <w:tcW w:type="dxa" w:w="1584"/>
            <w:tcBorders>
              <w:top w:val="single" w:sz="4" w:color="D9D9D9"/>
              <w:left w:val="single" w:sz="4" w:color="D9D9D9"/>
              <w:bottom w:val="single" w:sz="4" w:color="D9D9D9"/>
              <w:right w:val="single" w:sz="4" w:color="D9D9D9"/>
            </w:tcBorders>
          </w:tcPr>
          <w:p>
            <w:pPr>
              <w:spacing w:after="60" w:before="60"/>
            </w:pPr>
            <w:r>
              <w:rPr>
                <w:b w:val="0"/>
                <w:sz w:val="18"/>
              </w:rPr>
              <w:t>16,12 %</w:t>
            </w:r>
          </w:p>
        </w:tc>
        <w:tc>
          <w:tcPr>
            <w:tcW w:type="dxa" w:w="3744"/>
            <w:tcBorders>
              <w:top w:val="single" w:sz="4" w:color="D9D9D9"/>
              <w:left w:val="single" w:sz="4" w:color="D9D9D9"/>
              <w:bottom w:val="single" w:sz="4" w:color="D9D9D9"/>
              <w:right w:val="single" w:sz="4" w:color="D9D9D9"/>
            </w:tcBorders>
          </w:tcPr>
          <w:p>
            <w:pPr>
              <w:spacing w:after="60" w:before="60"/>
            </w:pPr>
            <w:r>
              <w:rPr>
                <w:b w:val="0"/>
                <w:sz w:val="18"/>
              </w:rPr>
              <w:t>14,33 % a 18,09 %</w:t>
            </w:r>
          </w:p>
        </w:tc>
      </w:tr>
      <w:tr>
        <w:tc>
          <w:tcPr>
            <w:tcW w:type="dxa" w:w="2592"/>
            <w:tcBorders>
              <w:top w:val="single" w:sz="4" w:color="D9D9D9"/>
              <w:left w:val="single" w:sz="4" w:color="D9D9D9"/>
              <w:bottom w:val="single" w:sz="4" w:color="D9D9D9"/>
              <w:right w:val="single" w:sz="4" w:color="D9D9D9"/>
            </w:tcBorders>
          </w:tcPr>
          <w:p>
            <w:pPr>
              <w:spacing w:after="60" w:before="60"/>
            </w:pPr>
            <w:r>
              <w:rPr>
                <w:b w:val="0"/>
                <w:sz w:val="18"/>
              </w:rPr>
              <w:t>Ingreso mensual medio</w:t>
            </w:r>
          </w:p>
        </w:tc>
        <w:tc>
          <w:tcPr>
            <w:tcW w:type="dxa" w:w="720"/>
            <w:tcBorders>
              <w:top w:val="single" w:sz="4" w:color="D9D9D9"/>
              <w:left w:val="single" w:sz="4" w:color="D9D9D9"/>
              <w:bottom w:val="single" w:sz="4" w:color="D9D9D9"/>
              <w:right w:val="single" w:sz="4" w:color="D9D9D9"/>
            </w:tcBorders>
          </w:tcPr>
          <w:p>
            <w:pPr>
              <w:spacing w:after="60" w:before="60"/>
            </w:pPr>
            <w:r>
              <w:rPr>
                <w:b w:val="0"/>
                <w:sz w:val="18"/>
              </w:rPr>
              <w:t>1323</w:t>
            </w:r>
          </w:p>
        </w:tc>
        <w:tc>
          <w:tcPr>
            <w:tcW w:type="dxa" w:w="1584"/>
            <w:tcBorders>
              <w:top w:val="single" w:sz="4" w:color="D9D9D9"/>
              <w:left w:val="single" w:sz="4" w:color="D9D9D9"/>
              <w:bottom w:val="single" w:sz="4" w:color="D9D9D9"/>
              <w:right w:val="single" w:sz="4" w:color="D9D9D9"/>
            </w:tcBorders>
          </w:tcPr>
          <w:p>
            <w:pPr>
              <w:spacing w:after="60" w:before="60"/>
            </w:pPr>
            <w:r>
              <w:rPr>
                <w:b w:val="0"/>
                <w:sz w:val="18"/>
              </w:rPr>
              <w:t>6.530,21</w:t>
            </w:r>
          </w:p>
        </w:tc>
        <w:tc>
          <w:tcPr>
            <w:tcW w:type="dxa" w:w="3744"/>
            <w:tcBorders>
              <w:top w:val="single" w:sz="4" w:color="D9D9D9"/>
              <w:left w:val="single" w:sz="4" w:color="D9D9D9"/>
              <w:bottom w:val="single" w:sz="4" w:color="D9D9D9"/>
              <w:right w:val="single" w:sz="4" w:color="D9D9D9"/>
            </w:tcBorders>
          </w:tcPr>
          <w:p>
            <w:pPr>
              <w:spacing w:after="60" w:before="60"/>
            </w:pPr>
            <w:r>
              <w:rPr>
                <w:b w:val="0"/>
                <w:sz w:val="18"/>
              </w:rPr>
              <w:t>6.276,27 a 6.784,15</w:t>
            </w:r>
          </w:p>
        </w:tc>
      </w:tr>
    </w:tbl>
    <w:p>
      <w:r>
        <w:t>El porcentaje de estos registros es exacto para el archivo. Los intervalos ilustran incertidumbre bajo un modelo hipotético de muestreo independiente del proceso sintético; no estiman parámetros de una empresa real. Bajo los supuestos, el procedimiento del 95 % cubre el parámetro en aproximadamente el 95 % de repeticiones. No se interpreta como una probabilidad del 95 % de que un parámetro fijo esté en este intervalo ya calculado.</w:t>
      </w:r>
    </w:p>
    <w:p>
      <w:pPr>
        <w:pStyle w:val="Heading1"/>
      </w:pPr>
      <w:r>
        <w:t>4 Aplicación de una prueba de hipótesis</w:t>
      </w:r>
    </w:p>
    <w:p>
      <w:r>
        <w:t>Se contrastó la independencia entre OverTime y Attrition mediante chi-cuadrado de Pearson sin corrección de continuidad, con α = 0,05. H0: las variables son independientes bajo el modelo de análisis. H1: presentan asociación. Se asume independencia entre observaciones; la unicidad del identificador no basta para probarla.</w:t>
      </w:r>
    </w:p>
    <w:tbl>
      <w:tblPr>
        <w:tblW w:type="auto" w:w="0"/>
        <w:tblLayout w:type="fixed"/>
        <w:tblLook w:firstColumn="1" w:firstRow="1" w:lastColumn="0" w:lastRow="0" w:noHBand="0" w:noVBand="1" w:val="04A0"/>
      </w:tblPr>
      <w:tblGrid>
        <w:gridCol w:w="2268"/>
        <w:gridCol w:w="2268"/>
        <w:gridCol w:w="2268"/>
        <w:gridCol w:w="2268"/>
      </w:tblGrid>
      <w:tr>
        <w:trPr>
          <w:tblHeader/>
        </w:trPr>
        <w:tc>
          <w:tcPr>
            <w:tcW w:type="dxa" w:w="2016"/>
            <w:tcBorders>
              <w:top w:val="single" w:sz="4" w:color="D9D9D9"/>
              <w:left w:val="single" w:sz="4" w:color="D9D9D9"/>
              <w:bottom w:val="single" w:sz="4" w:color="D9D9D9"/>
              <w:right w:val="single" w:sz="4" w:color="D9D9D9"/>
            </w:tcBorders>
            <w:shd w:fill="E7E7E7"/>
          </w:tcPr>
          <w:p>
            <w:pPr>
              <w:spacing w:after="60" w:before="60"/>
            </w:pPr>
            <w:r>
              <w:rPr>
                <w:b/>
                <w:sz w:val="18"/>
              </w:rPr>
              <w:t>Horas extra</w:t>
            </w:r>
          </w:p>
        </w:tc>
        <w:tc>
          <w:tcPr>
            <w:tcW w:type="dxa" w:w="2016"/>
            <w:tcBorders>
              <w:top w:val="single" w:sz="4" w:color="D9D9D9"/>
              <w:left w:val="single" w:sz="4" w:color="D9D9D9"/>
              <w:bottom w:val="single" w:sz="4" w:color="D9D9D9"/>
              <w:right w:val="single" w:sz="4" w:color="D9D9D9"/>
            </w:tcBorders>
            <w:shd w:fill="E7E7E7"/>
          </w:tcPr>
          <w:p>
            <w:pPr>
              <w:spacing w:after="60" w:before="60"/>
            </w:pPr>
            <w:r>
              <w:rPr>
                <w:b/>
                <w:sz w:val="18"/>
              </w:rPr>
              <w:t>Permaneció</w:t>
            </w:r>
          </w:p>
        </w:tc>
        <w:tc>
          <w:tcPr>
            <w:tcW w:type="dxa" w:w="1728"/>
            <w:tcBorders>
              <w:top w:val="single" w:sz="4" w:color="D9D9D9"/>
              <w:left w:val="single" w:sz="4" w:color="D9D9D9"/>
              <w:bottom w:val="single" w:sz="4" w:color="D9D9D9"/>
              <w:right w:val="single" w:sz="4" w:color="D9D9D9"/>
            </w:tcBorders>
            <w:shd w:fill="E7E7E7"/>
          </w:tcPr>
          <w:p>
            <w:pPr>
              <w:spacing w:after="60" w:before="60"/>
            </w:pPr>
            <w:r>
              <w:rPr>
                <w:b/>
                <w:sz w:val="18"/>
              </w:rPr>
              <w:t>Salió</w:t>
            </w:r>
          </w:p>
        </w:tc>
        <w:tc>
          <w:tcPr>
            <w:tcW w:type="dxa" w:w="2880"/>
            <w:tcBorders>
              <w:top w:val="single" w:sz="4" w:color="D9D9D9"/>
              <w:left w:val="single" w:sz="4" w:color="D9D9D9"/>
              <w:bottom w:val="single" w:sz="4" w:color="D9D9D9"/>
              <w:right w:val="single" w:sz="4" w:color="D9D9D9"/>
            </w:tcBorders>
            <w:shd w:fill="E7E7E7"/>
          </w:tcPr>
          <w:p>
            <w:pPr>
              <w:spacing w:after="60" w:before="60"/>
            </w:pPr>
            <w:r>
              <w:rPr>
                <w:b/>
                <w:sz w:val="18"/>
              </w:rPr>
              <w:t>Salida en el grupo</w:t>
            </w:r>
          </w:p>
        </w:tc>
      </w:tr>
      <w:tr>
        <w:tc>
          <w:tcPr>
            <w:tcW w:type="dxa" w:w="2016"/>
            <w:tcBorders>
              <w:top w:val="single" w:sz="4" w:color="D9D9D9"/>
              <w:left w:val="single" w:sz="4" w:color="D9D9D9"/>
              <w:bottom w:val="single" w:sz="4" w:color="D9D9D9"/>
              <w:right w:val="single" w:sz="4" w:color="D9D9D9"/>
            </w:tcBorders>
          </w:tcPr>
          <w:p>
            <w:pPr>
              <w:spacing w:after="60" w:before="60"/>
            </w:pPr>
            <w:r>
              <w:rPr>
                <w:b w:val="0"/>
                <w:sz w:val="18"/>
              </w:rPr>
              <w:t>No</w:t>
            </w:r>
          </w:p>
        </w:tc>
        <w:tc>
          <w:tcPr>
            <w:tcW w:type="dxa" w:w="2016"/>
            <w:tcBorders>
              <w:top w:val="single" w:sz="4" w:color="D9D9D9"/>
              <w:left w:val="single" w:sz="4" w:color="D9D9D9"/>
              <w:bottom w:val="single" w:sz="4" w:color="D9D9D9"/>
              <w:right w:val="single" w:sz="4" w:color="D9D9D9"/>
            </w:tcBorders>
          </w:tcPr>
          <w:p>
            <w:pPr>
              <w:spacing w:after="60" w:before="60"/>
            </w:pPr>
            <w:r>
              <w:rPr>
                <w:b w:val="0"/>
                <w:sz w:val="18"/>
              </w:rPr>
              <w:t>944</w:t>
            </w:r>
          </w:p>
        </w:tc>
        <w:tc>
          <w:tcPr>
            <w:tcW w:type="dxa" w:w="1728"/>
            <w:tcBorders>
              <w:top w:val="single" w:sz="4" w:color="D9D9D9"/>
              <w:left w:val="single" w:sz="4" w:color="D9D9D9"/>
              <w:bottom w:val="single" w:sz="4" w:color="D9D9D9"/>
              <w:right w:val="single" w:sz="4" w:color="D9D9D9"/>
            </w:tcBorders>
          </w:tcPr>
          <w:p>
            <w:pPr>
              <w:spacing w:after="60" w:before="60"/>
            </w:pPr>
            <w:r>
              <w:rPr>
                <w:b w:val="0"/>
                <w:sz w:val="18"/>
              </w:rPr>
              <w:t>110</w:t>
            </w:r>
          </w:p>
        </w:tc>
        <w:tc>
          <w:tcPr>
            <w:tcW w:type="dxa" w:w="2880"/>
            <w:tcBorders>
              <w:top w:val="single" w:sz="4" w:color="D9D9D9"/>
              <w:left w:val="single" w:sz="4" w:color="D9D9D9"/>
              <w:bottom w:val="single" w:sz="4" w:color="D9D9D9"/>
              <w:right w:val="single" w:sz="4" w:color="D9D9D9"/>
            </w:tcBorders>
          </w:tcPr>
          <w:p>
            <w:pPr>
              <w:spacing w:after="60" w:before="60"/>
            </w:pPr>
            <w:r>
              <w:rPr>
                <w:b w:val="0"/>
                <w:sz w:val="18"/>
              </w:rPr>
              <w:t>10,44 %</w:t>
            </w:r>
          </w:p>
        </w:tc>
      </w:tr>
      <w:tr>
        <w:tc>
          <w:tcPr>
            <w:tcW w:type="dxa" w:w="2016"/>
            <w:tcBorders>
              <w:top w:val="single" w:sz="4" w:color="D9D9D9"/>
              <w:left w:val="single" w:sz="4" w:color="D9D9D9"/>
              <w:bottom w:val="single" w:sz="4" w:color="D9D9D9"/>
              <w:right w:val="single" w:sz="4" w:color="D9D9D9"/>
            </w:tcBorders>
          </w:tcPr>
          <w:p>
            <w:pPr>
              <w:spacing w:after="60" w:before="60"/>
            </w:pPr>
            <w:r>
              <w:rPr>
                <w:b w:val="0"/>
                <w:sz w:val="18"/>
              </w:rPr>
              <w:t>Yes</w:t>
            </w:r>
          </w:p>
        </w:tc>
        <w:tc>
          <w:tcPr>
            <w:tcW w:type="dxa" w:w="2016"/>
            <w:tcBorders>
              <w:top w:val="single" w:sz="4" w:color="D9D9D9"/>
              <w:left w:val="single" w:sz="4" w:color="D9D9D9"/>
              <w:bottom w:val="single" w:sz="4" w:color="D9D9D9"/>
              <w:right w:val="single" w:sz="4" w:color="D9D9D9"/>
            </w:tcBorders>
          </w:tcPr>
          <w:p>
            <w:pPr>
              <w:spacing w:after="60" w:before="60"/>
            </w:pPr>
            <w:r>
              <w:rPr>
                <w:b w:val="0"/>
                <w:sz w:val="18"/>
              </w:rPr>
              <w:t>289</w:t>
            </w:r>
          </w:p>
        </w:tc>
        <w:tc>
          <w:tcPr>
            <w:tcW w:type="dxa" w:w="1728"/>
            <w:tcBorders>
              <w:top w:val="single" w:sz="4" w:color="D9D9D9"/>
              <w:left w:val="single" w:sz="4" w:color="D9D9D9"/>
              <w:bottom w:val="single" w:sz="4" w:color="D9D9D9"/>
              <w:right w:val="single" w:sz="4" w:color="D9D9D9"/>
            </w:tcBorders>
          </w:tcPr>
          <w:p>
            <w:pPr>
              <w:spacing w:after="60" w:before="60"/>
            </w:pPr>
            <w:r>
              <w:rPr>
                <w:b w:val="0"/>
                <w:sz w:val="18"/>
              </w:rPr>
              <w:t>127</w:t>
            </w:r>
          </w:p>
        </w:tc>
        <w:tc>
          <w:tcPr>
            <w:tcW w:type="dxa" w:w="2880"/>
            <w:tcBorders>
              <w:top w:val="single" w:sz="4" w:color="D9D9D9"/>
              <w:left w:val="single" w:sz="4" w:color="D9D9D9"/>
              <w:bottom w:val="single" w:sz="4" w:color="D9D9D9"/>
              <w:right w:val="single" w:sz="4" w:color="D9D9D9"/>
            </w:tcBorders>
          </w:tcPr>
          <w:p>
            <w:pPr>
              <w:spacing w:after="60" w:before="60"/>
            </w:pPr>
            <w:r>
              <w:rPr>
                <w:b w:val="0"/>
                <w:sz w:val="18"/>
              </w:rPr>
              <w:t>30,53 %</w:t>
            </w:r>
          </w:p>
        </w:tc>
      </w:tr>
    </w:tbl>
    <w:p>
      <w:r>
        <w:t>Todas las frecuencias esperadas superan 5; la mínima es 67,07. El resultado es χ² = 89,0439; gl = 1; p = 3,86 × 10⁻²¹. Se rechaza H0. V de Cramér = 0,2461 cuantifica la intensidad de la asociación. La diferencia descriptiva es 20,09 puntos porcentuales; la significancia estadística no equivale por sí sola a importancia práctica.</w:t>
      </w:r>
    </w:p>
    <w:p>
      <w:r>
        <w:t>El análisis es bivariado y exploratorio: no controla cargo, antigüedad, ingreso u otras condiciones que podrían explicar parte del patrón. Los resultados no demuestran que las horas extra causen la salida.</w:t>
      </w:r>
    </w:p>
    <w:p>
      <w:r>
        <w:br w:type="page"/>
      </w:r>
    </w:p>
    <w:p>
      <w:pPr>
        <w:pStyle w:val="Heading1"/>
      </w:pPr>
      <w:r>
        <w:t>5 Documentación de procedimientos y resultados</w:t>
      </w:r>
    </w:p>
    <w:p>
      <w:r>
        <w:t>El análisis se reproduce con Formativa1_IBM_HR_Paso_a_Paso.ipynb y WA_Fn-UseC_-HR-Employee-Attrition.csv en la misma carpeta. El notebook se ejecuta secuencialmente y usa pandas, NumPy, SciPy, Matplotlib y seaborn. El archivo original se conserva intacto y los faltantes se generan desde una copia en cada ejecución, evitando acumulación.</w:t>
      </w:r>
    </w:p>
    <w:tbl>
      <w:tblPr>
        <w:tblW w:type="auto" w:w="0"/>
        <w:tblLayout w:type="fixed"/>
        <w:tblLook w:firstColumn="1" w:firstRow="1" w:lastColumn="0" w:lastRow="0" w:noHBand="0" w:noVBand="1" w:val="04A0"/>
      </w:tblPr>
      <w:tblGrid>
        <w:gridCol w:w="4536"/>
        <w:gridCol w:w="4536"/>
      </w:tblGrid>
      <w:tr>
        <w:trPr>
          <w:tblHeader/>
        </w:trPr>
        <w:tc>
          <w:tcPr>
            <w:tcW w:type="dxa" w:w="1872"/>
            <w:tcBorders>
              <w:top w:val="single" w:sz="4" w:color="D9D9D9"/>
              <w:left w:val="single" w:sz="4" w:color="D9D9D9"/>
              <w:bottom w:val="single" w:sz="4" w:color="D9D9D9"/>
              <w:right w:val="single" w:sz="4" w:color="D9D9D9"/>
            </w:tcBorders>
            <w:shd w:fill="E7E7E7"/>
          </w:tcPr>
          <w:p>
            <w:pPr>
              <w:spacing w:after="60" w:before="60"/>
            </w:pPr>
            <w:r>
              <w:rPr>
                <w:b/>
                <w:sz w:val="18"/>
              </w:rPr>
              <w:t>Etapa</w:t>
            </w:r>
          </w:p>
        </w:tc>
        <w:tc>
          <w:tcPr>
            <w:tcW w:type="dxa" w:w="6768"/>
            <w:tcBorders>
              <w:top w:val="single" w:sz="4" w:color="D9D9D9"/>
              <w:left w:val="single" w:sz="4" w:color="D9D9D9"/>
              <w:bottom w:val="single" w:sz="4" w:color="D9D9D9"/>
              <w:right w:val="single" w:sz="4" w:color="D9D9D9"/>
            </w:tcBorders>
            <w:shd w:fill="E7E7E7"/>
          </w:tcPr>
          <w:p>
            <w:pPr>
              <w:spacing w:after="60" w:before="60"/>
            </w:pPr>
            <w:r>
              <w:rPr>
                <w:b/>
                <w:sz w:val="18"/>
              </w:rPr>
              <w:t>Procedimiento</w:t>
            </w:r>
          </w:p>
        </w:tc>
      </w:tr>
      <w:tr>
        <w:tc>
          <w:tcPr>
            <w:tcW w:type="dxa" w:w="1872"/>
            <w:tcBorders>
              <w:top w:val="single" w:sz="4" w:color="D9D9D9"/>
              <w:left w:val="single" w:sz="4" w:color="D9D9D9"/>
              <w:bottom w:val="single" w:sz="4" w:color="D9D9D9"/>
              <w:right w:val="single" w:sz="4" w:color="D9D9D9"/>
            </w:tcBorders>
          </w:tcPr>
          <w:p>
            <w:pPr>
              <w:spacing w:after="60" w:before="60"/>
            </w:pPr>
            <w:r>
              <w:rPr>
                <w:b w:val="0"/>
                <w:sz w:val="18"/>
              </w:rPr>
              <w:t>Calidad</w:t>
            </w:r>
          </w:p>
        </w:tc>
        <w:tc>
          <w:tcPr>
            <w:tcW w:type="dxa" w:w="6768"/>
            <w:tcBorders>
              <w:top w:val="single" w:sz="4" w:color="D9D9D9"/>
              <w:left w:val="single" w:sz="4" w:color="D9D9D9"/>
              <w:bottom w:val="single" w:sz="4" w:color="D9D9D9"/>
              <w:right w:val="single" w:sz="4" w:color="D9D9D9"/>
            </w:tcBorders>
          </w:tcPr>
          <w:p>
            <w:pPr>
              <w:spacing w:after="60" w:before="60"/>
            </w:pPr>
            <w:r>
              <w:rPr>
                <w:b w:val="0"/>
                <w:sz w:val="18"/>
              </w:rPr>
              <w:t>shape, isna, duplicated, nunique y revisión del identificador</w:t>
            </w:r>
          </w:p>
        </w:tc>
      </w:tr>
      <w:tr>
        <w:tc>
          <w:tcPr>
            <w:tcW w:type="dxa" w:w="1872"/>
            <w:tcBorders>
              <w:top w:val="single" w:sz="4" w:color="D9D9D9"/>
              <w:left w:val="single" w:sz="4" w:color="D9D9D9"/>
              <w:bottom w:val="single" w:sz="4" w:color="D9D9D9"/>
              <w:right w:val="single" w:sz="4" w:color="D9D9D9"/>
            </w:tcBorders>
          </w:tcPr>
          <w:p>
            <w:pPr>
              <w:spacing w:after="60" w:before="60"/>
            </w:pPr>
            <w:r>
              <w:rPr>
                <w:b w:val="0"/>
                <w:sz w:val="18"/>
              </w:rPr>
              <w:t>Clasificación</w:t>
            </w:r>
          </w:p>
        </w:tc>
        <w:tc>
          <w:tcPr>
            <w:tcW w:type="dxa" w:w="6768"/>
            <w:tcBorders>
              <w:top w:val="single" w:sz="4" w:color="D9D9D9"/>
              <w:left w:val="single" w:sz="4" w:color="D9D9D9"/>
              <w:bottom w:val="single" w:sz="4" w:color="D9D9D9"/>
              <w:right w:val="single" w:sz="4" w:color="D9D9D9"/>
            </w:tcBorders>
          </w:tcPr>
          <w:p>
            <w:pPr>
              <w:spacing w:after="60" w:before="60"/>
            </w:pPr>
            <w:r>
              <w:rPr>
                <w:b w:val="0"/>
                <w:sz w:val="18"/>
              </w:rPr>
              <w:t>Separación de nominales, ordinales, cantidades e identificadores</w:t>
            </w:r>
          </w:p>
        </w:tc>
      </w:tr>
      <w:tr>
        <w:tc>
          <w:tcPr>
            <w:tcW w:type="dxa" w:w="1872"/>
            <w:tcBorders>
              <w:top w:val="single" w:sz="4" w:color="D9D9D9"/>
              <w:left w:val="single" w:sz="4" w:color="D9D9D9"/>
              <w:bottom w:val="single" w:sz="4" w:color="D9D9D9"/>
              <w:right w:val="single" w:sz="4" w:color="D9D9D9"/>
            </w:tcBorders>
          </w:tcPr>
          <w:p>
            <w:pPr>
              <w:spacing w:after="60" w:before="60"/>
            </w:pPr>
            <w:r>
              <w:rPr>
                <w:b w:val="0"/>
                <w:sz w:val="18"/>
              </w:rPr>
              <w:t>MCAR</w:t>
            </w:r>
          </w:p>
        </w:tc>
        <w:tc>
          <w:tcPr>
            <w:tcW w:type="dxa" w:w="6768"/>
            <w:tcBorders>
              <w:top w:val="single" w:sz="4" w:color="D9D9D9"/>
              <w:left w:val="single" w:sz="4" w:color="D9D9D9"/>
              <w:bottom w:val="single" w:sz="4" w:color="D9D9D9"/>
              <w:right w:val="single" w:sz="4" w:color="D9D9D9"/>
            </w:tcBorders>
          </w:tcPr>
          <w:p>
            <w:pPr>
              <w:spacing w:after="60" w:before="60"/>
            </w:pPr>
            <w:r>
              <w:rPr>
                <w:b w:val="0"/>
                <w:sz w:val="18"/>
              </w:rPr>
              <w:t>147 posiciones aleatorias por columna; semilla 42; originales reservados</w:t>
            </w:r>
          </w:p>
        </w:tc>
      </w:tr>
      <w:tr>
        <w:tc>
          <w:tcPr>
            <w:tcW w:type="dxa" w:w="1872"/>
            <w:tcBorders>
              <w:top w:val="single" w:sz="4" w:color="D9D9D9"/>
              <w:left w:val="single" w:sz="4" w:color="D9D9D9"/>
              <w:bottom w:val="single" w:sz="4" w:color="D9D9D9"/>
              <w:right w:val="single" w:sz="4" w:color="D9D9D9"/>
            </w:tcBorders>
          </w:tcPr>
          <w:p>
            <w:pPr>
              <w:spacing w:after="60" w:before="60"/>
            </w:pPr>
            <w:r>
              <w:rPr>
                <w:b w:val="0"/>
                <w:sz w:val="18"/>
              </w:rPr>
              <w:t>Descriptiva</w:t>
            </w:r>
          </w:p>
        </w:tc>
        <w:tc>
          <w:tcPr>
            <w:tcW w:type="dxa" w:w="6768"/>
            <w:tcBorders>
              <w:top w:val="single" w:sz="4" w:color="D9D9D9"/>
              <w:left w:val="single" w:sz="4" w:color="D9D9D9"/>
              <w:bottom w:val="single" w:sz="4" w:color="D9D9D9"/>
              <w:right w:val="single" w:sz="4" w:color="D9D9D9"/>
            </w:tcBorders>
          </w:tcPr>
          <w:p>
            <w:pPr>
              <w:spacing w:after="60" w:before="60"/>
            </w:pPr>
            <w:r>
              <w:rPr>
                <w:b w:val="0"/>
                <w:sz w:val="18"/>
              </w:rPr>
              <w:t>describe y agrupación por Attrition; n efectivo por variable</w:t>
            </w:r>
          </w:p>
        </w:tc>
      </w:tr>
      <w:tr>
        <w:tc>
          <w:tcPr>
            <w:tcW w:type="dxa" w:w="1872"/>
            <w:tcBorders>
              <w:top w:val="single" w:sz="4" w:color="D9D9D9"/>
              <w:left w:val="single" w:sz="4" w:color="D9D9D9"/>
              <w:bottom w:val="single" w:sz="4" w:color="D9D9D9"/>
              <w:right w:val="single" w:sz="4" w:color="D9D9D9"/>
            </w:tcBorders>
          </w:tcPr>
          <w:p>
            <w:pPr>
              <w:spacing w:after="60" w:before="60"/>
            </w:pPr>
            <w:r>
              <w:rPr>
                <w:b w:val="0"/>
                <w:sz w:val="18"/>
              </w:rPr>
              <w:t>Estimación</w:t>
            </w:r>
          </w:p>
        </w:tc>
        <w:tc>
          <w:tcPr>
            <w:tcW w:type="dxa" w:w="6768"/>
            <w:tcBorders>
              <w:top w:val="single" w:sz="4" w:color="D9D9D9"/>
              <w:left w:val="single" w:sz="4" w:color="D9D9D9"/>
              <w:bottom w:val="single" w:sz="4" w:color="D9D9D9"/>
              <w:right w:val="single" w:sz="4" w:color="D9D9D9"/>
            </w:tcBorders>
          </w:tcPr>
          <w:p>
            <w:pPr>
              <w:spacing w:after="60" w:before="60"/>
            </w:pPr>
            <w:r>
              <w:rPr>
                <w:b w:val="0"/>
                <w:sz w:val="18"/>
              </w:rPr>
              <w:t>Wilson para proporción; scipy.stats.t.interval para media</w:t>
            </w:r>
          </w:p>
        </w:tc>
      </w:tr>
      <w:tr>
        <w:tc>
          <w:tcPr>
            <w:tcW w:type="dxa" w:w="1872"/>
            <w:tcBorders>
              <w:top w:val="single" w:sz="4" w:color="D9D9D9"/>
              <w:left w:val="single" w:sz="4" w:color="D9D9D9"/>
              <w:bottom w:val="single" w:sz="4" w:color="D9D9D9"/>
              <w:right w:val="single" w:sz="4" w:color="D9D9D9"/>
            </w:tcBorders>
          </w:tcPr>
          <w:p>
            <w:pPr>
              <w:spacing w:after="60" w:before="60"/>
            </w:pPr>
            <w:r>
              <w:rPr>
                <w:b w:val="0"/>
                <w:sz w:val="18"/>
              </w:rPr>
              <w:t>Hipótesis</w:t>
            </w:r>
          </w:p>
        </w:tc>
        <w:tc>
          <w:tcPr>
            <w:tcW w:type="dxa" w:w="6768"/>
            <w:tcBorders>
              <w:top w:val="single" w:sz="4" w:color="D9D9D9"/>
              <w:left w:val="single" w:sz="4" w:color="D9D9D9"/>
              <w:bottom w:val="single" w:sz="4" w:color="D9D9D9"/>
              <w:right w:val="single" w:sz="4" w:color="D9D9D9"/>
            </w:tcBorders>
          </w:tcPr>
          <w:p>
            <w:pPr>
              <w:spacing w:after="60" w:before="60"/>
            </w:pPr>
            <w:r>
              <w:rPr>
                <w:b w:val="0"/>
                <w:sz w:val="18"/>
              </w:rPr>
              <w:t>crosstab y chi2_contingency con correction=False; V de Cramér</w:t>
            </w:r>
          </w:p>
        </w:tc>
      </w:tr>
    </w:tbl>
    <w:p>
      <w:r>
        <w:t>Para facilitar la trazabilidad, se debe conservar el notebook con sus resultados, registrar las versiones de Python y bibliotecas en el entorno del equipo y vincular el repositorio definitivo en la portada. La versión MCAR y los valores reservados pueden exportarse mediante la última celda opcional. Los valores originales retirados se reservan para evaluar imputación, sin utilizarlos para completar las medidas de esta entrega.</w:t>
      </w:r>
    </w:p>
    <w:p>
      <w:pPr>
        <w:pStyle w:val="Heading1"/>
      </w:pPr>
      <w:r>
        <w:t>6 Interpretación preliminar de resultados</w:t>
      </w:r>
    </w:p>
    <w:p>
      <w:r>
        <w:t>El patrón más claro es la mayor proporción de salida entre registros con horas extra: 30,53 % frente a 10,44 %. La prueba confirma asociación bajo los supuestos de análisis. Como orientación para una investigación posterior, conviene examinar carga laboral, distribución de horas extra y condiciones de los cargos antes de proponer intervenciones. No se recomienda una política empresarial definitiva a partir de datos sintéticos.</w:t>
      </w:r>
    </w:p>
    <w:p>
      <w:r>
        <w:t>El desbalance del objetivo será relevante en fases predictivas: una alta exactitud podría ocultar un desempeño bajo para la clase de salida. Las diferencias de ingreso deben leerse considerando asimetría, cargo y antigüedad. Los faltantes generados permiten estudiar imputación en etapas posteriores, pero reducen ahora la información disponible sobre ingreso y distancia.</w:t>
      </w:r>
    </w:p>
    <w:p>
      <w:r>
        <w:t>Las limitaciones centrales son la naturaleza sintética, ausencia de marco de muestreo y período definidos, asociación bivariada sin ajuste y falta de evidencia causal. El informe aporta una práctica de decisiones bajo incertidumbre, cuyo traslado a una organización exige datos reales y validación contextual.</w:t>
      </w:r>
    </w:p>
    <w:p>
      <w:r>
        <w:br w:type="page"/>
      </w:r>
    </w:p>
    <w:p>
      <w:pPr>
        <w:pStyle w:val="Heading1"/>
      </w:pPr>
      <w:r>
        <w:t>7 Presentación formal del informe</w:t>
      </w:r>
    </w:p>
    <w:p>
      <w:r>
        <w:t>El informe sigue las secciones de la plantilla del profesor e incorpora ficha de variables, tablas, gráficos y referencias. Los cálculos corresponden a la misma semilla y procedimientos del notebook. Antes de entregar deben completarse integrantes, docente y repositorio del equipo en portada, y verificar que las salidas locales coincidan. La entrega solicitada en Canvas es PDF, hasta el 25 de octubre de 2026 a las 23:59, con un intento.</w:t>
      </w:r>
    </w:p>
    <w:p>
      <w:pPr>
        <w:pStyle w:val="Heading1"/>
      </w:pPr>
      <w:r>
        <w:t>8 Participación en el foro</w:t>
      </w:r>
    </w:p>
    <w:p>
      <w:r>
        <w:t>La publicación y los dos comentarios a otros grupos permanecen pendientes. Los comentarios deben basarse en trabajos efectivamente leídos, identificando una observación estadística y una pregunta o sugerencia pertinente. No se presentan aquí comentarios ficticios como participación realizada.</w:t>
      </w:r>
    </w:p>
    <w:p>
      <w:pPr>
        <w:pStyle w:val="Heading2"/>
      </w:pPr>
      <w:r>
        <w:t>Texto propuesto para la publicación inicial</w:t>
      </w:r>
    </w:p>
    <w:p>
      <w:r>
        <w:t>Compartimos nuestro análisis del dataset sintético IBM HR Employee Attrition, con 1.470 registros y 35 variables. Exploramos la relación entre condiciones laborales y salida de empleados. La proporción de salida es 16,12 %. Observamos asociación entre horas extra y salida: 30,53 % de salida en el grupo con horas extra frente a 10,44 % sin ellas (χ² = 89,04; p &lt; 0,001; V de Cramér = 0,246). Generamos 10 % de faltantes MCAR en ingreso y distancia, conservando originales para estudiar imputación posteriormente. Reconocemos que la asociación no es causal y que los datos sintéticos limitan su aplicación a empresas reales. ¿Qué variables considerarían para examinar si esta relación se mantiene al comparar cargos y niveles de antigüedad?</w:t>
      </w:r>
    </w:p>
    <w:p>
      <w:pPr>
        <w:pStyle w:val="Heading1"/>
      </w:pPr>
      <w:r>
        <w:t>Referencias</w:t>
      </w:r>
    </w:p>
    <w:p>
      <w:r>
        <w:t>Maidana, J. P. (2026). Bases de datos disponibles para el proyecto del curso [Apunte]. Universidad Andrés Bello.</w:t>
      </w:r>
    </w:p>
    <w:p>
      <w:r>
        <w:t>Maidana, J. P. (2026, 6 de octubre). Semana 1 Inicio del Proyecto ABP [Diapositivas]. Universidad Andrés Bello.</w:t>
      </w:r>
    </w:p>
    <w:p>
      <w:r>
        <w:t>jpmaidana. (s. f.). MCDI501-202682 [Repositorio de materiales del curso]. GitHub. https://github.com/jpmaidana/MCDI501-202682</w:t>
      </w:r>
    </w:p>
    <w:p>
      <w:r>
        <w:t>pavansubhasht. (s. f.). IBM HR Analytics Employee Attrition &amp; Performance [Conjunto de datos]. Kaggle. https://www.kaggle.com/datasets/pavansubhasht/ibm-hr-analytics-attrition-dataset</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A5A5A"/>
        <w:sz w:val="16"/>
        <w:szCs w:val="16"/>
      </w:rPr>
      <w:t xml:space="preserve">Magíster en Ciencia de Datos e Inteligencia Artificial</w:t>
    </w:r>
    <w:r>
      <w:t xml:space="preserv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rFonts w:ascii="Calibri" w:hAnsi="Calibri"/>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0000"/>
      <w:sz w:val="28"/>
      <w:szCs w:val="28"/>
    </w:rPr>
  </w:style>
  <w:style w:type="paragraph" w:styleId="Heading2">
    <w:name w:val="Heading 2"/>
    <w:basedOn w:val="Normal"/>
    <w:next w:val="Normal"/>
    <w:qFormat/>
    <w:pPr>
      <w:spacing w:after="120" w:before="260"/>
      <w:outlineLvl w:val="1"/>
    </w:pPr>
    <w:rPr>
      <w:rFonts w:ascii="Calibri" w:cs="Calibri" w:eastAsia="Calibri" w:hAnsi="Calibri"/>
      <w:b/>
      <w:bCs/>
      <w:color w:val="000000"/>
      <w:sz w:val="24"/>
      <w:szCs w:val="24"/>
    </w:rPr>
  </w:style>
  <w:style w:type="paragraph" w:customStyle="1" w:styleId="Normal">
    <w:name w:val="Normal"/>
    <w:pPr>
      <w:spacing w:after="120" w:line="259" w:lineRule="auto"/>
    </w:pPr>
    <w:rPr>
      <w:rFonts w:ascii="Calibri" w:hAnsi="Calibri"/>
      <w:color w:val="000000"/>
      <w:sz w:val="20"/>
    </w:rPr>
  </w:style>
  <w:style w:type="paragraph" w:customStyle="1" w:styleId="Heading1">
    <w:name w:val="heading 1"/>
    <w:pPr>
      <w:spacing w:before="200" w:after="120"/>
    </w:pPr>
    <w:rPr>
      <w:rFonts w:ascii="Calibri" w:hAnsi="Calibri"/>
      <w:color w:val="000000"/>
      <w:sz w:val="28"/>
    </w:rPr>
  </w:style>
  <w:style w:type="paragraph" w:customStyle="1" w:styleId="Heading2">
    <w:name w:val="heading 2"/>
    <w:pPr>
      <w:spacing w:before="200" w:after="120"/>
    </w:pPr>
    <w:rPr>
      <w:rFonts w:ascii="Calibri" w:hAnsi="Calibri"/>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a9d4b85755b26c34cf374a1252d3d51c5da297.png"/><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2026-06-24T15:10:35.104Z</dcterms:created>
  <dcterms:modified xsi:type="dcterms:W3CDTF">2026-06-24T15:10:35.104Z</dcterms:modified>
</cp:coreProperties>
</file>

<file path=docProps/custom.xml><?xml version="1.0" encoding="utf-8"?>
<Properties xmlns="http://schemas.openxmlformats.org/officeDocument/2006/custom-properties" xmlns:vt="http://schemas.openxmlformats.org/officeDocument/2006/docPropsVTypes"/>
</file>