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7" w:name="X901e114cc0c3ae2a2aaefbc1af0d477623a0fe4"/>
    <w:p>
      <w:pPr>
        <w:pStyle w:val="Heading1"/>
        <w:spacing w:line="240" w:lineRule="auto" w:before="0" w:after="0"/>
      </w:pPr>
      <w:r>
        <w:rPr>
          <w:rFonts w:ascii="Times New Roman" w:hAnsi="Times New Roman"/>
          <w:sz w:val="24"/>
        </w:rPr>
        <w:t xml:space="preserve">Microcurrículo: Electiva Profesional en Medicina (617017M) — Investigación en Urología</w:t>
      </w:r>
    </w:p>
    <w:bookmarkStart w:id="9" w:name="información-general"/>
    <w:p>
      <w:pPr>
        <w:pStyle w:val="Heading2"/>
        <w:spacing w:line="240" w:lineRule="auto" w:before="0" w:after="0"/>
      </w:pPr>
      <w:r>
        <w:rPr>
          <w:rFonts w:ascii="Times New Roman" w:hAnsi="Times New Roman"/>
          <w:sz w:val="24"/>
        </w:rPr>
        <w:t xml:space="preserve">Información General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71"/>
        <w:gridCol w:w="4148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Elemento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Nombre del curso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Electiva Profesional en Medicina — Investigación en Urología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Código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617017M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Nivel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Pregrado en Medicina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Tipo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Electivo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Créditos académicos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Horas totales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192 (30 contacto directo, 162 independientes)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Horario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Lunes 10:00–11:00, Jueves 17:00–18:00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Modalidad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Híbrida (sincrónico + asincrónico)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Duración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15 semanas (~1 semestre)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Requisito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Los previamente establecidos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Semestre recomendado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6–10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Docente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Herney Andrés García Perdomo MD MSc EdD PhD FACS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Institución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Facultad de Salud, Universidad del Valle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/>
          <w:sz w:val="24"/>
        </w:rPr>
        <w:pict>
          <v:rect style="width:0;height:1.5pt" o:hralign="center" o:hrstd="t" o:hr="t"/>
        </w:pict>
      </w:r>
    </w:p>
    <w:bookmarkEnd w:id="9"/>
    <w:bookmarkStart w:id="10" w:name="presentación-y-narrativa-central"/>
    <w:p>
      <w:pPr>
        <w:pStyle w:val="Heading2"/>
        <w:spacing w:line="240" w:lineRule="auto" w:before="0" w:after="0"/>
      </w:pPr>
      <w:r>
        <w:rPr>
          <w:rFonts w:ascii="Times New Roman" w:hAnsi="Times New Roman"/>
          <w:sz w:val="24"/>
        </w:rPr>
        <w:t xml:space="preserve">Presentación y Narrativa Central</w:t>
      </w:r>
    </w:p>
    <w:p>
      <w:pPr>
        <w:pStyle w:val="FirstParagraph"/>
        <w:spacing w:line="240" w:lineRule="auto" w:before="0" w:after="0"/>
      </w:pPr>
      <w:r>
        <w:rPr>
          <w:rFonts w:ascii="Times New Roman" w:hAnsi="Times New Roman"/>
          <w:sz w:val="24"/>
        </w:rPr>
        <w:t xml:space="preserve">Este curso propone a estudiantes de pregrado una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bCs/>
          <w:sz w:val="24"/>
        </w:rPr>
        <w:t xml:space="preserve">experiencia rigurosa y motivante en la construcción del conocimiento investigativo</w:t>
      </w:r>
      <w:r>
        <w:rPr>
          <w:rFonts w:ascii="Times New Roman" w:hAnsi="Times New Roman"/>
          <w:sz w:val="24"/>
        </w:rPr>
        <w:t xml:space="preserve">, usando la urología como lente clínica. La pregunta narrativa que guía el curso es: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bCs/>
          <w:sz w:val="24"/>
        </w:rPr>
        <w:t xml:space="preserve">¿Cómo saben los urólogos lo que saben?</w:t>
      </w:r>
    </w:p>
    <w:p>
      <w:pPr>
        <w:pStyle w:val="BodyText"/>
        <w:spacing w:line="240" w:lineRule="auto" w:before="0" w:after="0"/>
      </w:pPr>
      <w:r>
        <w:rPr>
          <w:rFonts w:ascii="Times New Roman" w:hAnsi="Times New Roman"/>
          <w:sz w:val="24"/>
        </w:rPr>
        <w:t xml:space="preserve">Aprende a formular preguntas clínicas contestables, evaluar evidencia con rigor, y diseñar un protocolo de investigación viable. Un semestre para pensar como investigador.</w:t>
      </w:r>
    </w:p>
    <w:p>
      <w:pPr>
        <w:spacing w:line="240" w:lineRule="auto" w:before="0" w:after="0"/>
      </w:pPr>
      <w:r>
        <w:rPr>
          <w:rFonts w:ascii="Times New Roman" w:hAnsi="Times New Roman"/>
          <w:sz w:val="24"/>
        </w:rPr>
        <w:pict>
          <v:rect style="width:0;height:1.5pt" o:hralign="center" o:hrstd="t" o:hr="t"/>
        </w:pict>
      </w:r>
    </w:p>
    <w:bookmarkEnd w:id="10"/>
    <w:bookmarkStart w:id="18" w:name="objetivos-del-curso"/>
    <w:p>
      <w:pPr>
        <w:pStyle w:val="Heading2"/>
        <w:spacing w:line="240" w:lineRule="auto" w:before="0" w:after="0"/>
      </w:pPr>
      <w:r>
        <w:rPr>
          <w:rFonts w:ascii="Times New Roman" w:hAnsi="Times New Roman"/>
          <w:sz w:val="24"/>
        </w:rPr>
        <w:t xml:space="preserve">Objetivos del Curso</w:t>
      </w:r>
    </w:p>
    <w:bookmarkStart w:id="11" w:name="objetivo-general"/>
    <w:p>
      <w:pPr>
        <w:pStyle w:val="Heading3"/>
        <w:spacing w:line="240" w:lineRule="auto" w:before="0" w:after="0"/>
      </w:pPr>
      <w:r>
        <w:rPr>
          <w:rFonts w:ascii="Times New Roman" w:hAnsi="Times New Roman"/>
          <w:sz w:val="24"/>
        </w:rPr>
        <w:t xml:space="preserve">Objetivo General</w:t>
      </w:r>
    </w:p>
    <w:p>
      <w:pPr>
        <w:pStyle w:val="FirstParagraph"/>
        <w:spacing w:line="240" w:lineRule="auto" w:before="0" w:after="0"/>
      </w:pPr>
      <w:r>
        <w:rPr>
          <w:rFonts w:ascii="Times New Roman" w:hAnsi="Times New Roman"/>
          <w:sz w:val="24"/>
        </w:rPr>
        <w:t xml:space="preserve">Al finalizar el curso, el estudiante será capaz de: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- Formular preguntas clínicas en urología en términos investigativos contestables.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- Diseñar un protocolo de investigación básico que sea ético, viable, y alineado con estándares científicos.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- Evaluar críticamente la calidad metodológica de estudios publicados en urología.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- Entender los principios éticos que rigen la investigación clínica.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- Comunicar resultados de investigación en formato académico (escrito y oral).</w:t>
      </w:r>
    </w:p>
    <w:bookmarkEnd w:id="11"/>
    <w:bookmarkStart w:id="17" w:name="objetivos-específicos-por-módulo"/>
    <w:p>
      <w:pPr>
        <w:pStyle w:val="Heading3"/>
        <w:spacing w:line="240" w:lineRule="auto" w:before="0" w:after="0"/>
      </w:pPr>
      <w:r>
        <w:rPr>
          <w:rFonts w:ascii="Times New Roman" w:hAnsi="Times New Roman"/>
          <w:sz w:val="24"/>
        </w:rPr>
        <w:t xml:space="preserve">Objetivos Específicos (por Módulo)</w:t>
      </w:r>
    </w:p>
    <w:bookmarkStart w:id="12" w:name="Xb4c4370ba375fb15497879519501f64eb9da7e8"/>
    <w:p>
      <w:pPr>
        <w:pStyle w:val="Heading4"/>
        <w:spacing w:line="240" w:lineRule="auto" w:before="0" w:after="0"/>
      </w:pPr>
      <w:r>
        <w:rPr>
          <w:rFonts w:ascii="Times New Roman" w:hAnsi="Times New Roman"/>
          <w:sz w:val="24"/>
        </w:rPr>
        <w:t xml:space="preserve">Módulo 1: Fundamentos de Investigación Científica</w:t>
      </w:r>
    </w:p>
    <w:p>
      <w:pPr>
        <w:pStyle w:val="Compact"/>
        <w:numPr>
          <w:ilvl w:val="0"/>
          <w:numId w:val="1001"/>
        </w:numPr>
        <w:spacing w:line="240" w:lineRule="auto" w:before="0" w:after="0"/>
      </w:pPr>
      <w:r>
        <w:rPr>
          <w:rFonts w:ascii="Times New Roman" w:hAnsi="Times New Roman"/>
          <w:sz w:val="24"/>
        </w:rPr>
        <w:t xml:space="preserve">Explicar el proceso científico y su rol en la medicina.</w:t>
      </w:r>
    </w:p>
    <w:p>
      <w:pPr>
        <w:pStyle w:val="Compact"/>
        <w:numPr>
          <w:ilvl w:val="0"/>
          <w:numId w:val="1001"/>
        </w:numPr>
        <w:spacing w:line="240" w:lineRule="auto" w:before="0" w:after="0"/>
      </w:pPr>
      <w:r>
        <w:rPr>
          <w:rFonts w:ascii="Times New Roman" w:hAnsi="Times New Roman"/>
          <w:sz w:val="24"/>
        </w:rPr>
        <w:t xml:space="preserve">Diferenciar entre pregunta clínica y pregunta investigativa.</w:t>
      </w:r>
    </w:p>
    <w:p>
      <w:pPr>
        <w:pStyle w:val="Compact"/>
        <w:numPr>
          <w:ilvl w:val="0"/>
          <w:numId w:val="1001"/>
        </w:numPr>
        <w:spacing w:line="240" w:lineRule="auto" w:before="0" w:after="0"/>
      </w:pPr>
      <w:r>
        <w:rPr>
          <w:rFonts w:ascii="Times New Roman" w:hAnsi="Times New Roman"/>
          <w:sz w:val="24"/>
        </w:rPr>
        <w:t xml:space="preserve">Formular preguntas en estructura PICO (Patient, Intervention, Comparison, Outcome).</w:t>
      </w:r>
    </w:p>
    <w:p>
      <w:pPr>
        <w:pStyle w:val="Compact"/>
        <w:numPr>
          <w:ilvl w:val="0"/>
          <w:numId w:val="1001"/>
        </w:numPr>
        <w:spacing w:line="240" w:lineRule="auto" w:before="0" w:after="0"/>
      </w:pPr>
      <w:r>
        <w:rPr>
          <w:rFonts w:ascii="Times New Roman" w:hAnsi="Times New Roman"/>
          <w:sz w:val="24"/>
        </w:rPr>
        <w:t xml:space="preserve">Ejecutar búsquedas bibliográficas efectivas en PubMed y Rayyan.</w:t>
      </w:r>
    </w:p>
    <w:bookmarkEnd w:id="12"/>
    <w:bookmarkStart w:id="13" w:name="módulo-2-diseños-de-estudio"/>
    <w:p>
      <w:pPr>
        <w:pStyle w:val="Heading4"/>
        <w:spacing w:line="240" w:lineRule="auto" w:before="0" w:after="0"/>
      </w:pPr>
      <w:r>
        <w:rPr>
          <w:rFonts w:ascii="Times New Roman" w:hAnsi="Times New Roman"/>
          <w:sz w:val="24"/>
        </w:rPr>
        <w:t xml:space="preserve">Módulo 2: Diseños de Estudio</w:t>
      </w:r>
    </w:p>
    <w:p>
      <w:pPr>
        <w:pStyle w:val="Compact"/>
        <w:numPr>
          <w:ilvl w:val="0"/>
          <w:numId w:val="1002"/>
        </w:numPr>
        <w:spacing w:line="240" w:lineRule="auto" w:before="0" w:after="0"/>
      </w:pPr>
      <w:r>
        <w:rPr>
          <w:rFonts w:ascii="Times New Roman" w:hAnsi="Times New Roman"/>
          <w:sz w:val="24"/>
        </w:rPr>
        <w:t xml:space="preserve">Clasificar estudios por diseño (descriptivo, cohorte, caso-control, RCT, revisión sistemática).</w:t>
      </w:r>
    </w:p>
    <w:p>
      <w:pPr>
        <w:pStyle w:val="Compact"/>
        <w:numPr>
          <w:ilvl w:val="0"/>
          <w:numId w:val="1002"/>
        </w:numPr>
        <w:spacing w:line="240" w:lineRule="auto" w:before="0" w:after="0"/>
      </w:pPr>
      <w:r>
        <w:rPr>
          <w:rFonts w:ascii="Times New Roman" w:hAnsi="Times New Roman"/>
          <w:sz w:val="24"/>
        </w:rPr>
        <w:t xml:space="preserve">Reconocer fortalezas y limitaciones de cada diseño.</w:t>
      </w:r>
    </w:p>
    <w:p>
      <w:pPr>
        <w:pStyle w:val="Compact"/>
        <w:numPr>
          <w:ilvl w:val="0"/>
          <w:numId w:val="1002"/>
        </w:numPr>
        <w:spacing w:line="240" w:lineRule="auto" w:before="0" w:after="0"/>
      </w:pPr>
      <w:r>
        <w:rPr>
          <w:rFonts w:ascii="Times New Roman" w:hAnsi="Times New Roman"/>
          <w:sz w:val="24"/>
        </w:rPr>
        <w:t xml:space="preserve">Identificar diseños óptimos para diferentes tipos de preguntas de investigación.</w:t>
      </w:r>
    </w:p>
    <w:p>
      <w:pPr>
        <w:pStyle w:val="Compact"/>
        <w:numPr>
          <w:ilvl w:val="0"/>
          <w:numId w:val="1002"/>
        </w:numPr>
        <w:spacing w:line="240" w:lineRule="auto" w:before="0" w:after="0"/>
      </w:pPr>
      <w:r>
        <w:rPr>
          <w:rFonts w:ascii="Times New Roman" w:hAnsi="Times New Roman"/>
          <w:sz w:val="24"/>
        </w:rPr>
        <w:t xml:space="preserve">Analizar ejemplos de estudios reales en urología.</w:t>
      </w:r>
    </w:p>
    <w:bookmarkEnd w:id="13"/>
    <w:bookmarkStart w:id="14" w:name="X4f2383cb8e9d683bbb83574e75a59c16b5fe1c6"/>
    <w:p>
      <w:pPr>
        <w:pStyle w:val="Heading4"/>
        <w:spacing w:line="240" w:lineRule="auto" w:before="0" w:after="0"/>
      </w:pPr>
      <w:r>
        <w:rPr>
          <w:rFonts w:ascii="Times New Roman" w:hAnsi="Times New Roman"/>
          <w:sz w:val="24"/>
        </w:rPr>
        <w:t xml:space="preserve">Módulo 3: Ética e Integridad en Investigación</w:t>
      </w:r>
    </w:p>
    <w:p>
      <w:pPr>
        <w:pStyle w:val="Compact"/>
        <w:numPr>
          <w:ilvl w:val="0"/>
          <w:numId w:val="1003"/>
        </w:numPr>
        <w:spacing w:line="240" w:lineRule="auto" w:before="0" w:after="0"/>
      </w:pPr>
      <w:r>
        <w:rPr>
          <w:rFonts w:ascii="Times New Roman" w:hAnsi="Times New Roman"/>
          <w:sz w:val="24"/>
        </w:rPr>
        <w:t xml:space="preserve">Explicar principios éticos de investigación (autonomía, beneficencia, justicia).</w:t>
      </w:r>
    </w:p>
    <w:p>
      <w:pPr>
        <w:pStyle w:val="Compact"/>
        <w:numPr>
          <w:ilvl w:val="0"/>
          <w:numId w:val="1003"/>
        </w:numPr>
        <w:spacing w:line="240" w:lineRule="auto" w:before="0" w:after="0"/>
      </w:pPr>
      <w:r>
        <w:rPr>
          <w:rFonts w:ascii="Times New Roman" w:hAnsi="Times New Roman"/>
          <w:sz w:val="24"/>
        </w:rPr>
        <w:t xml:space="preserve">Describir el rol de comités de ética e institucionales (CEI/CEIBA).</w:t>
      </w:r>
    </w:p>
    <w:p>
      <w:pPr>
        <w:pStyle w:val="Compact"/>
        <w:numPr>
          <w:ilvl w:val="0"/>
          <w:numId w:val="1003"/>
        </w:numPr>
        <w:spacing w:line="240" w:lineRule="auto" w:before="0" w:after="0"/>
      </w:pPr>
      <w:r>
        <w:rPr>
          <w:rFonts w:ascii="Times New Roman" w:hAnsi="Times New Roman"/>
          <w:sz w:val="24"/>
        </w:rPr>
        <w:t xml:space="preserve">Reconocer y evitar prácticas de integridad cuestionables (plagio, autocita, LPU).</w:t>
      </w:r>
    </w:p>
    <w:p>
      <w:pPr>
        <w:pStyle w:val="Compact"/>
        <w:numPr>
          <w:ilvl w:val="0"/>
          <w:numId w:val="1003"/>
        </w:numPr>
        <w:spacing w:line="240" w:lineRule="auto" w:before="0" w:after="0"/>
      </w:pPr>
      <w:r>
        <w:rPr>
          <w:rFonts w:ascii="Times New Roman" w:hAnsi="Times New Roman"/>
          <w:sz w:val="24"/>
        </w:rPr>
        <w:t xml:space="preserve">Aplicar criterios éticos a casos de investigación reales.</w:t>
      </w:r>
    </w:p>
    <w:bookmarkEnd w:id="14"/>
    <w:bookmarkStart w:id="15" w:name="módulo-4-evidencia-a-la-práctica"/>
    <w:p>
      <w:pPr>
        <w:pStyle w:val="Heading4"/>
        <w:spacing w:line="240" w:lineRule="auto" w:before="0" w:after="0"/>
      </w:pPr>
      <w:r>
        <w:rPr>
          <w:rFonts w:ascii="Times New Roman" w:hAnsi="Times New Roman"/>
          <w:sz w:val="24"/>
        </w:rPr>
        <w:t xml:space="preserve">Módulo 4: Evidencia a la Práctica</w:t>
      </w:r>
    </w:p>
    <w:p>
      <w:pPr>
        <w:pStyle w:val="Compact"/>
        <w:numPr>
          <w:ilvl w:val="0"/>
          <w:numId w:val="1004"/>
        </w:numPr>
        <w:spacing w:line="240" w:lineRule="auto" w:before="0" w:after="0"/>
      </w:pPr>
      <w:r>
        <w:rPr>
          <w:rFonts w:ascii="Times New Roman" w:hAnsi="Times New Roman"/>
          <w:sz w:val="24"/>
        </w:rPr>
        <w:t xml:space="preserve">Dominar herramientas de appraisal crítico (CASP).</w:t>
      </w:r>
    </w:p>
    <w:p>
      <w:pPr>
        <w:pStyle w:val="Compact"/>
        <w:numPr>
          <w:ilvl w:val="0"/>
          <w:numId w:val="1004"/>
        </w:numPr>
        <w:spacing w:line="240" w:lineRule="auto" w:before="0" w:after="0"/>
      </w:pPr>
      <w:r>
        <w:rPr>
          <w:rFonts w:ascii="Times New Roman" w:hAnsi="Times New Roman"/>
          <w:sz w:val="24"/>
        </w:rPr>
        <w:t xml:space="preserve">Entender niveles de evidencia y grados de recomendación.</w:t>
      </w:r>
    </w:p>
    <w:p>
      <w:pPr>
        <w:pStyle w:val="Compact"/>
        <w:numPr>
          <w:ilvl w:val="0"/>
          <w:numId w:val="1004"/>
        </w:numPr>
        <w:spacing w:line="240" w:lineRule="auto" w:before="0" w:after="0"/>
      </w:pPr>
      <w:r>
        <w:rPr>
          <w:rFonts w:ascii="Times New Roman" w:hAnsi="Times New Roman"/>
          <w:sz w:val="24"/>
        </w:rPr>
        <w:t xml:space="preserve">Grasp conceptos básicos de bioestadística (significancia, confiabilidad, sesgo).</w:t>
      </w:r>
    </w:p>
    <w:p>
      <w:pPr>
        <w:pStyle w:val="Compact"/>
        <w:numPr>
          <w:ilvl w:val="0"/>
          <w:numId w:val="1004"/>
        </w:numPr>
        <w:spacing w:line="240" w:lineRule="auto" w:before="0" w:after="0"/>
      </w:pPr>
      <w:r>
        <w:rPr>
          <w:rFonts w:ascii="Times New Roman" w:hAnsi="Times New Roman"/>
          <w:sz w:val="24"/>
        </w:rPr>
        <w:t xml:space="preserve">Sintetizar evidencia para responder preguntas clínicas.</w:t>
      </w:r>
    </w:p>
    <w:bookmarkEnd w:id="15"/>
    <w:bookmarkStart w:id="16" w:name="Xe6810540a83c06a8da71c5d1c4c741a72b1bc89"/>
    <w:p>
      <w:pPr>
        <w:pStyle w:val="Heading4"/>
        <w:spacing w:line="240" w:lineRule="auto" w:before="0" w:after="0"/>
      </w:pPr>
      <w:r>
        <w:rPr>
          <w:rFonts w:ascii="Times New Roman" w:hAnsi="Times New Roman"/>
          <w:sz w:val="24"/>
        </w:rPr>
        <w:t xml:space="preserve">Módulo 5: Piedra Angular — Diseño de Protocolo de Investigación</w:t>
      </w:r>
    </w:p>
    <w:p>
      <w:pPr>
        <w:pStyle w:val="Compact"/>
        <w:numPr>
          <w:ilvl w:val="0"/>
          <w:numId w:val="1005"/>
        </w:numPr>
        <w:spacing w:line="240" w:lineRule="auto" w:before="0" w:after="0"/>
      </w:pPr>
      <w:r>
        <w:rPr>
          <w:rFonts w:ascii="Times New Roman" w:hAnsi="Times New Roman"/>
          <w:sz w:val="24"/>
        </w:rPr>
        <w:t xml:space="preserve">Integrar competencias de módulos anteriores en un protocolo coherente.</w:t>
      </w:r>
    </w:p>
    <w:p>
      <w:pPr>
        <w:pStyle w:val="Compact"/>
        <w:numPr>
          <w:ilvl w:val="0"/>
          <w:numId w:val="1005"/>
        </w:numPr>
        <w:spacing w:line="240" w:lineRule="auto" w:before="0" w:after="0"/>
      </w:pPr>
      <w:r>
        <w:rPr>
          <w:rFonts w:ascii="Times New Roman" w:hAnsi="Times New Roman"/>
          <w:sz w:val="24"/>
        </w:rPr>
        <w:t xml:space="preserve">Defender decisiones metodológicas y éticas.</w:t>
      </w:r>
    </w:p>
    <w:p>
      <w:pPr>
        <w:pStyle w:val="Compact"/>
        <w:numPr>
          <w:ilvl w:val="0"/>
          <w:numId w:val="1005"/>
        </w:numPr>
        <w:spacing w:line="240" w:lineRule="auto" w:before="0" w:after="0"/>
      </w:pPr>
      <w:r>
        <w:rPr>
          <w:rFonts w:ascii="Times New Roman" w:hAnsi="Times New Roman"/>
          <w:sz w:val="24"/>
        </w:rPr>
        <w:t xml:space="preserve">Comunicar eficazmente (escrito y oral) a audiencias académicas.</w:t>
      </w:r>
    </w:p>
    <w:p>
      <w:pPr>
        <w:spacing w:line="240" w:lineRule="auto" w:before="0" w:after="0"/>
      </w:pPr>
      <w:r>
        <w:rPr>
          <w:rFonts w:ascii="Times New Roman" w:hAnsi="Times New Roman"/>
          <w:sz w:val="24"/>
        </w:rPr>
        <w:pict>
          <v:rect style="width:0;height:1.5pt" o:hralign="center" o:hrstd="t" o:hr="t"/>
        </w:pict>
      </w:r>
    </w:p>
    <w:bookmarkEnd w:id="16"/>
    <w:bookmarkEnd w:id="17"/>
    <w:bookmarkEnd w:id="18"/>
    <w:bookmarkStart w:id="19" w:name="perfil-del-estudiante"/>
    <w:p>
      <w:pPr>
        <w:pStyle w:val="Heading2"/>
        <w:spacing w:line="240" w:lineRule="auto" w:before="0" w:after="0"/>
      </w:pPr>
      <w:r>
        <w:rPr>
          <w:rFonts w:ascii="Times New Roman" w:hAnsi="Times New Roman"/>
          <w:sz w:val="24"/>
        </w:rPr>
        <w:t xml:space="preserve">Perfil del Estudiante</w:t>
      </w:r>
    </w:p>
    <w:p>
      <w:pPr>
        <w:pStyle w:val="FirstParagraph"/>
        <w:spacing w:line="240" w:lineRule="auto" w:before="0" w:after="0"/>
      </w:pPr>
      <w:r>
        <w:rPr>
          <w:rFonts w:ascii="Times New Roman" w:hAnsi="Times New Roman"/>
          <w:b/>
          <w:bCs/>
          <w:sz w:val="24"/>
        </w:rPr>
        <w:t xml:space="preserve">Características deseables: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- Interés demostrado en urología, investigación clínica, o medicina basada en evidencia.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- Capacidad reflexiva y pensamiento crítico.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- Comodidad con la lectura de artículos en inglés.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- Disposición a trabajar independientemente y colaborar en equipo.</w:t>
      </w:r>
    </w:p>
    <w:p>
      <w:pPr>
        <w:pStyle w:val="BodyText"/>
        <w:spacing w:line="240" w:lineRule="auto" w:before="0" w:after="0"/>
      </w:pPr>
      <w:r>
        <w:rPr>
          <w:rFonts w:ascii="Times New Roman" w:hAnsi="Times New Roman"/>
          <w:b/>
          <w:bCs/>
          <w:sz w:val="24"/>
        </w:rPr>
        <w:t xml:space="preserve">Nota</w:t>
      </w:r>
      <w:r>
        <w:rPr>
          <w:rFonts w:ascii="Times New Roman" w:hAnsi="Times New Roman"/>
          <w:sz w:val="24"/>
        </w:rPr>
        <w:t xml:space="preserve">: No se requieren conocimientos previos de estadística o investigación formal; el curso es introductorio y diseñado para estudiantes con variados niveles de experiencia.</w:t>
      </w:r>
    </w:p>
    <w:p>
      <w:pPr>
        <w:spacing w:line="240" w:lineRule="auto" w:before="0" w:after="0"/>
      </w:pPr>
      <w:r>
        <w:rPr>
          <w:rFonts w:ascii="Times New Roman" w:hAnsi="Times New Roman"/>
          <w:sz w:val="24"/>
        </w:rPr>
        <w:pict>
          <v:rect style="width:0;height:1.5pt" o:hralign="center" o:hrstd="t" o:hr="t"/>
        </w:pict>
      </w:r>
    </w:p>
    <w:bookmarkEnd w:id="19"/>
    <w:bookmarkStart w:id="26" w:name="metodología-y-estrategias-pedagógicas"/>
    <w:p>
      <w:pPr>
        <w:pStyle w:val="Heading2"/>
        <w:spacing w:line="240" w:lineRule="auto" w:before="0" w:after="0"/>
      </w:pPr>
      <w:r>
        <w:rPr>
          <w:rFonts w:ascii="Times New Roman" w:hAnsi="Times New Roman"/>
          <w:sz w:val="24"/>
        </w:rPr>
        <w:t xml:space="preserve">Metodología y Estrategias Pedagógicas</w:t>
      </w:r>
    </w:p>
    <w:p>
      <w:pPr>
        <w:pStyle w:val="FirstParagraph"/>
        <w:spacing w:line="240" w:lineRule="auto" w:before="0" w:after="0"/>
      </w:pPr>
      <w:r>
        <w:rPr>
          <w:rFonts w:ascii="Times New Roman" w:hAnsi="Times New Roman"/>
          <w:sz w:val="24"/>
        </w:rPr>
        <w:t xml:space="preserve">El curso adopta un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bCs/>
          <w:sz w:val="24"/>
        </w:rPr>
        <w:t xml:space="preserve">enfoque centrado en competencias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con múltiples estrategias:</w:t>
      </w:r>
    </w:p>
    <w:bookmarkStart w:id="20" w:name="X615a5b02fad23b05e5b88c6894d288949fd617c"/>
    <w:p>
      <w:pPr>
        <w:pStyle w:val="Heading3"/>
        <w:spacing w:line="240" w:lineRule="auto" w:before="0" w:after="0"/>
      </w:pPr>
      <w:r>
        <w:rPr>
          <w:rFonts w:ascii="Times New Roman" w:hAnsi="Times New Roman"/>
          <w:sz w:val="24"/>
        </w:rPr>
        <w:t xml:space="preserve">1. Aprendizaje Basado en Preguntas (Question-Based Learning)</w:t>
      </w:r>
    </w:p>
    <w:p>
      <w:pPr>
        <w:pStyle w:val="FirstParagraph"/>
        <w:spacing w:line="240" w:lineRule="auto" w:before="0" w:after="0"/>
      </w:pPr>
      <w:r>
        <w:rPr>
          <w:rFonts w:ascii="Times New Roman" w:hAnsi="Times New Roman"/>
          <w:sz w:val="24"/>
        </w:rPr>
        <w:t xml:space="preserve">Cada sesión comienza con una pregunta clínica de urología. Los estudiantes exploran cómo formularla en términos investigativos, qué evidencia existe, y cómo evaluarla. Esto mantiene la motivación y relevancia clínica.</w:t>
      </w:r>
    </w:p>
    <w:bookmarkEnd w:id="20"/>
    <w:bookmarkStart w:id="21" w:name="Xc92b5b0140ed785d8735e3d8f8ae29dad199635"/>
    <w:p>
      <w:pPr>
        <w:pStyle w:val="Heading3"/>
        <w:spacing w:line="240" w:lineRule="auto" w:before="0" w:after="0"/>
      </w:pPr>
      <w:r>
        <w:rPr>
          <w:rFonts w:ascii="Times New Roman" w:hAnsi="Times New Roman"/>
          <w:sz w:val="24"/>
        </w:rPr>
        <w:t xml:space="preserve">2. Clase Invertida (Flipped Classroom) — Selectiva</w:t>
      </w:r>
    </w:p>
    <w:p>
      <w:pPr>
        <w:pStyle w:val="FirstParagraph"/>
        <w:spacing w:line="240" w:lineRule="auto" w:before="0" w:after="0"/>
      </w:pPr>
      <w:r>
        <w:rPr>
          <w:rFonts w:ascii="Times New Roman" w:hAnsi="Times New Roman"/>
          <w:sz w:val="24"/>
        </w:rPr>
        <w:t xml:space="preserve">Algunas sesiones requieren lectura previa (artículo, capítulo, video corto ~15 min); la sesión sincrónica se dedica a discusión, análisis profundo, y resolución de preguntas. Otras sesiones son completamente sincrónicas (introducción + taller).</w:t>
      </w:r>
    </w:p>
    <w:bookmarkEnd w:id="21"/>
    <w:bookmarkStart w:id="22" w:name="aprendizaje-colaborativo"/>
    <w:p>
      <w:pPr>
        <w:pStyle w:val="Heading3"/>
        <w:spacing w:line="240" w:lineRule="auto" w:before="0" w:after="0"/>
      </w:pPr>
      <w:r>
        <w:rPr>
          <w:rFonts w:ascii="Times New Roman" w:hAnsi="Times New Roman"/>
          <w:sz w:val="24"/>
        </w:rPr>
        <w:t xml:space="preserve">3. Aprendizaje Colaborativo</w:t>
      </w:r>
    </w:p>
    <w:p>
      <w:pPr>
        <w:pStyle w:val="FirstParagraph"/>
        <w:spacing w:line="240" w:lineRule="auto" w:before="0" w:after="0"/>
      </w:pPr>
      <w:r>
        <w:rPr>
          <w:rFonts w:ascii="Times New Roman" w:hAnsi="Times New Roman"/>
          <w:sz w:val="24"/>
        </w:rPr>
        <w:t xml:space="preserve">Discusiones en pequeños grupos durante sesiones síncronas; trabajo colaborativo en asignaciones (ej. bank de preguntas PICO compartido, revisión cruzada de appraisals). Peer-teaching: estudiantes explican conceptos a compañeros.</w:t>
      </w:r>
    </w:p>
    <w:bookmarkEnd w:id="22"/>
    <w:bookmarkStart w:id="23" w:name="análisis-de-casos-reales"/>
    <w:p>
      <w:pPr>
        <w:pStyle w:val="Heading3"/>
        <w:spacing w:line="240" w:lineRule="auto" w:before="0" w:after="0"/>
      </w:pPr>
      <w:r>
        <w:rPr>
          <w:rFonts w:ascii="Times New Roman" w:hAnsi="Times New Roman"/>
          <w:sz w:val="24"/>
        </w:rPr>
        <w:t xml:space="preserve">4. Análisis de Casos Reales</w:t>
      </w:r>
    </w:p>
    <w:p>
      <w:pPr>
        <w:pStyle w:val="FirstParagraph"/>
        <w:spacing w:line="240" w:lineRule="auto" w:before="0" w:after="0"/>
      </w:pPr>
      <w:r>
        <w:rPr>
          <w:rFonts w:ascii="Times New Roman" w:hAnsi="Times New Roman"/>
          <w:sz w:val="24"/>
        </w:rPr>
        <w:t xml:space="preserve">Se utilizan estudios, protocolos, y dilemas éticos reales de urología como punto de anclaje. No hay casos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“hipotéticos simplificados”</w:t>
      </w:r>
      <w:r>
        <w:rPr>
          <w:rFonts w:ascii="Times New Roman" w:hAnsi="Times New Roman"/>
          <w:sz w:val="24"/>
        </w:rPr>
        <w:t xml:space="preserve">; la complejidad es real.</w:t>
      </w:r>
    </w:p>
    <w:bookmarkEnd w:id="23"/>
    <w:bookmarkStart w:id="24" w:name="reflexión-estructurada"/>
    <w:p>
      <w:pPr>
        <w:pStyle w:val="Heading3"/>
        <w:spacing w:line="240" w:lineRule="auto" w:before="0" w:after="0"/>
      </w:pPr>
      <w:r>
        <w:rPr>
          <w:rFonts w:ascii="Times New Roman" w:hAnsi="Times New Roman"/>
          <w:sz w:val="24"/>
        </w:rPr>
        <w:t xml:space="preserve">5. Reflexión Estructurada</w:t>
      </w:r>
    </w:p>
    <w:p>
      <w:pPr>
        <w:pStyle w:val="FirstParagraph"/>
        <w:spacing w:line="240" w:lineRule="auto" w:before="0" w:after="0"/>
      </w:pPr>
      <w:r>
        <w:rPr>
          <w:rFonts w:ascii="Times New Roman" w:hAnsi="Times New Roman"/>
          <w:sz w:val="24"/>
        </w:rPr>
        <w:t xml:space="preserve">Reflexiones de aprendizaje breves (micro-reflexiones semanales): ¿qué aprendí? ¿qué me cuestionó? ¿cómo lo aplicaré? Estas no son evaluadas formalmente pero son insumo valioso para el estudiante.</w:t>
      </w:r>
    </w:p>
    <w:bookmarkEnd w:id="24"/>
    <w:bookmarkStart w:id="25" w:name="Xd3c066449a7f2984b7bee69dfd5fe5fde0fe8a4"/>
    <w:p>
      <w:pPr>
        <w:pStyle w:val="Heading3"/>
        <w:spacing w:line="240" w:lineRule="auto" w:before="0" w:after="0"/>
      </w:pPr>
      <w:r>
        <w:rPr>
          <w:rFonts w:ascii="Times New Roman" w:hAnsi="Times New Roman"/>
          <w:sz w:val="24"/>
        </w:rPr>
        <w:t xml:space="preserve">6. Tiempo Protegido para el Trabajo Independiente</w:t>
      </w:r>
    </w:p>
    <w:p>
      <w:pPr>
        <w:pStyle w:val="FirstParagraph"/>
        <w:spacing w:line="240" w:lineRule="auto" w:before="0" w:after="0"/>
      </w:pPr>
      <w:r>
        <w:rPr>
          <w:rFonts w:ascii="Times New Roman" w:hAnsi="Times New Roman"/>
          <w:sz w:val="24"/>
        </w:rPr>
        <w:t xml:space="preserve">La distribución de créditos (30h contacto, 162h independientes) reconoce que el verdadero aprendizaje ocurre fuera del aula. Se proporcionan guías de lectura, listados de tareas, y scaffolding para dirigir el trabajo independiente.</w:t>
      </w:r>
    </w:p>
    <w:p>
      <w:pPr>
        <w:spacing w:line="240" w:lineRule="auto" w:before="0" w:after="0"/>
      </w:pPr>
      <w:r>
        <w:rPr>
          <w:rFonts w:ascii="Times New Roman" w:hAnsi="Times New Roman"/>
          <w:sz w:val="24"/>
        </w:rPr>
        <w:pict>
          <v:rect style="width:0;height:1.5pt" o:hralign="center" o:hrstd="t" o:hr="t"/>
        </w:pict>
      </w:r>
    </w:p>
    <w:bookmarkEnd w:id="25"/>
    <w:bookmarkEnd w:id="26"/>
    <w:bookmarkStart w:id="32" w:name="estructura-por-módulos-15-semanas"/>
    <w:p>
      <w:pPr>
        <w:pStyle w:val="Heading2"/>
        <w:spacing w:line="240" w:lineRule="auto" w:before="0" w:after="0"/>
      </w:pPr>
      <w:r>
        <w:rPr>
          <w:rFonts w:ascii="Times New Roman" w:hAnsi="Times New Roman"/>
          <w:sz w:val="24"/>
        </w:rPr>
        <w:t xml:space="preserve">Estructura por Módulos (15 Semanas)</w:t>
      </w:r>
    </w:p>
    <w:bookmarkStart w:id="27" w:name="Xa948003faa82507238f60b3af94f498caf98905"/>
    <w:p>
      <w:pPr>
        <w:pStyle w:val="Heading3"/>
        <w:spacing w:line="240" w:lineRule="auto" w:before="0" w:after="0"/>
      </w:pPr>
      <w:r>
        <w:rPr>
          <w:rFonts w:ascii="Times New Roman" w:hAnsi="Times New Roman"/>
          <w:sz w:val="24"/>
        </w:rPr>
        <w:t xml:space="preserve">Semana 1–3: Módulo 1 — Fundamentos de Investigación Científica</w:t>
      </w:r>
    </w:p>
    <w:p>
      <w:pPr>
        <w:pStyle w:val="FirstParagraph"/>
        <w:spacing w:line="240" w:lineRule="auto" w:before="0" w:after="0"/>
      </w:pPr>
      <w:r>
        <w:rPr>
          <w:rFonts w:ascii="Times New Roman" w:hAnsi="Times New Roman"/>
          <w:b/>
          <w:bCs/>
          <w:sz w:val="24"/>
        </w:rPr>
        <w:t xml:space="preserve">Objetivos</w:t>
      </w:r>
      <w:r>
        <w:rPr>
          <w:rFonts w:ascii="Times New Roman" w:hAnsi="Times New Roman"/>
          <w:sz w:val="24"/>
        </w:rPr>
        <w:t xml:space="preserve">: Entender el proceso científico, formular preguntas clínicas contestables, dominar búsqueda bibliográfica.</w:t>
      </w:r>
    </w:p>
    <w:p>
      <w:pPr>
        <w:pStyle w:val="BodyText"/>
        <w:spacing w:line="240" w:lineRule="auto" w:before="0" w:after="0"/>
      </w:pPr>
      <w:r>
        <w:rPr>
          <w:rFonts w:ascii="Times New Roman" w:hAnsi="Times New Roman"/>
          <w:b/>
          <w:bCs/>
          <w:sz w:val="24"/>
        </w:rPr>
        <w:t xml:space="preserve">Sesiones sincrónicas</w:t>
      </w:r>
      <w:r>
        <w:rPr>
          <w:rFonts w:ascii="Times New Roman" w:hAnsi="Times New Roman"/>
          <w:sz w:val="24"/>
        </w:rPr>
        <w:t xml:space="preserve"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-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bCs/>
          <w:sz w:val="24"/>
        </w:rPr>
        <w:t xml:space="preserve">Sem 1 (Lun 10–11, Jue 17–18)</w:t>
      </w:r>
      <w:r>
        <w:rPr>
          <w:rFonts w:ascii="Times New Roman" w:hAnsi="Times New Roman"/>
          <w:sz w:val="24"/>
        </w:rPr>
        <w:t xml:space="preserve">: Introducción: ¿Cómo saben los urólogos lo que saben? La pregunta clínica vs. la pregunta investigativa. Estructura PICO — concepto, ejemplos.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-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bCs/>
          <w:sz w:val="24"/>
        </w:rPr>
        <w:t xml:space="preserve">Sem 2 (Lun 10–11, Jue 17–18)</w:t>
      </w:r>
      <w:r>
        <w:rPr>
          <w:rFonts w:ascii="Times New Roman" w:hAnsi="Times New Roman"/>
          <w:sz w:val="24"/>
        </w:rPr>
        <w:t xml:space="preserve">: Taller de búsqueda bibliográfica: PubMed (MeSH, truncado, booleano), Rayyan (gestión de referencias). Demostración en vivo, práctica guiada.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-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bCs/>
          <w:sz w:val="24"/>
        </w:rPr>
        <w:t xml:space="preserve">Sem 3 (Lun 10–11, Jue 17–18)</w:t>
      </w:r>
      <w:r>
        <w:rPr>
          <w:rFonts w:ascii="Times New Roman" w:hAnsi="Times New Roman"/>
          <w:sz w:val="24"/>
        </w:rPr>
        <w:t xml:space="preserve">: Síntesis: formulación PICO refinada, búsqueda en equipos pequeños, discusión de hallazgos.</w:t>
      </w:r>
    </w:p>
    <w:p>
      <w:pPr>
        <w:pStyle w:val="BodyText"/>
        <w:spacing w:line="240" w:lineRule="auto" w:before="0" w:after="0"/>
      </w:pPr>
      <w:r>
        <w:rPr>
          <w:rFonts w:ascii="Times New Roman" w:hAnsi="Times New Roman"/>
          <w:b/>
          <w:bCs/>
          <w:sz w:val="24"/>
        </w:rPr>
        <w:t xml:space="preserve">Trabajo independiente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(~50 horas totales, distribuidas):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- Lecturas: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“What is Science?”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(capítulo introductorio), PICO explicado (1 video corto, 1 artículo breve).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- Tareas: Formular 5 preguntas clínicas de urología propias y transformarlas en 5 preguntas PICO bien estructuradas. Ejecutar búsquedas en PubMed, guardar en Rayyan.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- Lectura crítica de artículos: 2–3 artículos urológicos accesibles.</w:t>
      </w:r>
    </w:p>
    <w:p>
      <w:pPr>
        <w:pStyle w:val="BodyText"/>
        <w:spacing w:line="240" w:lineRule="auto" w:before="0" w:after="0"/>
      </w:pPr>
      <w:r>
        <w:rPr>
          <w:rFonts w:ascii="Times New Roman" w:hAnsi="Times New Roman"/>
          <w:b/>
          <w:bCs/>
          <w:sz w:val="24"/>
        </w:rPr>
        <w:t xml:space="preserve">Producto parcial</w:t>
      </w:r>
      <w:r>
        <w:rPr>
          <w:rFonts w:ascii="Times New Roman" w:hAnsi="Times New Roman"/>
          <w:sz w:val="24"/>
        </w:rPr>
        <w:t xml:space="preserve">: Banco de preguntas PICO (≥3 preguntas bien formuladas con búsqueda documentada).</w:t>
      </w:r>
    </w:p>
    <w:p>
      <w:pPr>
        <w:spacing w:line="240" w:lineRule="auto" w:before="0" w:after="0"/>
      </w:pPr>
      <w:r>
        <w:rPr>
          <w:rFonts w:ascii="Times New Roman" w:hAnsi="Times New Roman"/>
          <w:sz w:val="24"/>
        </w:rPr>
        <w:pict>
          <v:rect style="width:0;height:1.5pt" o:hralign="center" o:hrstd="t" o:hr="t"/>
        </w:pict>
      </w:r>
    </w:p>
    <w:bookmarkEnd w:id="27"/>
    <w:bookmarkStart w:id="28" w:name="semana-47-módulo-2-diseños-de-estudio"/>
    <w:p>
      <w:pPr>
        <w:pStyle w:val="Heading3"/>
        <w:spacing w:line="240" w:lineRule="auto" w:before="0" w:after="0"/>
      </w:pPr>
      <w:r>
        <w:rPr>
          <w:rFonts w:ascii="Times New Roman" w:hAnsi="Times New Roman"/>
          <w:sz w:val="24"/>
        </w:rPr>
        <w:t xml:space="preserve">Semana 4–7: Módulo 2 — Diseños de Estudio</w:t>
      </w:r>
    </w:p>
    <w:p>
      <w:pPr>
        <w:pStyle w:val="FirstParagraph"/>
        <w:spacing w:line="240" w:lineRule="auto" w:before="0" w:after="0"/>
      </w:pPr>
      <w:r>
        <w:rPr>
          <w:rFonts w:ascii="Times New Roman" w:hAnsi="Times New Roman"/>
          <w:b/>
          <w:bCs/>
          <w:sz w:val="24"/>
        </w:rPr>
        <w:t xml:space="preserve">Objetivos</w:t>
      </w:r>
      <w:r>
        <w:rPr>
          <w:rFonts w:ascii="Times New Roman" w:hAnsi="Times New Roman"/>
          <w:sz w:val="24"/>
        </w:rPr>
        <w:t xml:space="preserve">: Clasificar y entender fortalezas/limitaciones de diseños; identificar diseño óptimo para cada pregunta.</w:t>
      </w:r>
    </w:p>
    <w:p>
      <w:pPr>
        <w:pStyle w:val="BodyText"/>
        <w:spacing w:line="240" w:lineRule="auto" w:before="0" w:after="0"/>
      </w:pPr>
      <w:r>
        <w:rPr>
          <w:rFonts w:ascii="Times New Roman" w:hAnsi="Times New Roman"/>
          <w:b/>
          <w:bCs/>
          <w:sz w:val="24"/>
        </w:rPr>
        <w:t xml:space="preserve">Sesiones sincrónicas</w:t>
      </w:r>
      <w:r>
        <w:rPr>
          <w:rFonts w:ascii="Times New Roman" w:hAnsi="Times New Roman"/>
          <w:sz w:val="24"/>
        </w:rPr>
        <w:t xml:space="preserve"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-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bCs/>
          <w:sz w:val="24"/>
        </w:rPr>
        <w:t xml:space="preserve">Sem 4 (Lun 10–11, Jue 17–18)</w:t>
      </w:r>
      <w:r>
        <w:rPr>
          <w:rFonts w:ascii="Times New Roman" w:hAnsi="Times New Roman"/>
          <w:sz w:val="24"/>
        </w:rPr>
        <w:t xml:space="preserve">: Introducción a diseños: espectro de observacional → experimental. Descriptivos (transversal, serie de casos). Ejemplo: prevalencia de incontinencia urinaria.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-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bCs/>
          <w:sz w:val="24"/>
        </w:rPr>
        <w:t xml:space="preserve">Sem 5 (Lun 10–11, Jue 17–18)</w:t>
      </w:r>
      <w:r>
        <w:rPr>
          <w:rFonts w:ascii="Times New Roman" w:hAnsi="Times New Roman"/>
          <w:sz w:val="24"/>
        </w:rPr>
        <w:t xml:space="preserve">: Cohorte y caso-control. Fortalezas, sesgos, cuándo usarlos. Estudio real: cohorte de pacientes con masas renales complejas.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-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bCs/>
          <w:sz w:val="24"/>
        </w:rPr>
        <w:t xml:space="preserve">Sem 6 (Lun 10–11, Jue 17–18)</w:t>
      </w:r>
      <w:r>
        <w:rPr>
          <w:rFonts w:ascii="Times New Roman" w:hAnsi="Times New Roman"/>
          <w:sz w:val="24"/>
        </w:rPr>
        <w:t xml:space="preserve">: Ensayos clínicos aleatorizados (RCT). Aleatorización, cegamiento, pérdida al seguimiento. Ejemplo: diferentes estrategias de tratamiento en cáncer renal avanzado.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-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bCs/>
          <w:sz w:val="24"/>
        </w:rPr>
        <w:t xml:space="preserve">Sem 7 (Lun 10–11, Jue 17–18)</w:t>
      </w:r>
      <w:r>
        <w:rPr>
          <w:rFonts w:ascii="Times New Roman" w:hAnsi="Times New Roman"/>
          <w:sz w:val="24"/>
        </w:rPr>
        <w:t xml:space="preserve">: Revisiones sistemáticas y meta-análisis. Cómo se sintetiza la evidencia. Prácticas en Rayyan (tamizaje de títulos/abstracts).</w:t>
      </w:r>
    </w:p>
    <w:p>
      <w:pPr>
        <w:pStyle w:val="BodyText"/>
        <w:spacing w:line="240" w:lineRule="auto" w:before="0" w:after="0"/>
      </w:pPr>
      <w:r>
        <w:rPr>
          <w:rFonts w:ascii="Times New Roman" w:hAnsi="Times New Roman"/>
          <w:b/>
          <w:bCs/>
          <w:sz w:val="24"/>
        </w:rPr>
        <w:t xml:space="preserve">Trabajo independiente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(~55 horas):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- Lecturas: 2–3 artículos modelo por cada diseño (1 transversal, 1 cohorte, 1 RCT, 1 revisión sistemática).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- Tarea principal: Analizar 4 estudios urológicos reales (uno por cada diseño), completar matriz de fortalezas/limitaciones/sesgos.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- Lectura reflexiva: reflexiones breves sobre qué diseño es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“mejor”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(respuesta: depende de la pregunta).</w:t>
      </w:r>
    </w:p>
    <w:p>
      <w:pPr>
        <w:pStyle w:val="BodyText"/>
        <w:spacing w:line="240" w:lineRule="auto" w:before="0" w:after="0"/>
      </w:pPr>
      <w:r>
        <w:rPr>
          <w:rFonts w:ascii="Times New Roman" w:hAnsi="Times New Roman"/>
          <w:b/>
          <w:bCs/>
          <w:sz w:val="24"/>
        </w:rPr>
        <w:t xml:space="preserve">Producto parcial</w:t>
      </w:r>
      <w:r>
        <w:rPr>
          <w:rFonts w:ascii="Times New Roman" w:hAnsi="Times New Roman"/>
          <w:sz w:val="24"/>
        </w:rPr>
        <w:t xml:space="preserve">: Matriz comparativa de diseños; análisis crítico de estudios modelo.</w:t>
      </w:r>
    </w:p>
    <w:p>
      <w:pPr>
        <w:spacing w:line="240" w:lineRule="auto" w:before="0" w:after="0"/>
      </w:pPr>
      <w:r>
        <w:rPr>
          <w:rFonts w:ascii="Times New Roman" w:hAnsi="Times New Roman"/>
          <w:sz w:val="24"/>
        </w:rPr>
        <w:pict>
          <v:rect style="width:0;height:1.5pt" o:hralign="center" o:hrstd="t" o:hr="t"/>
        </w:pict>
      </w:r>
    </w:p>
    <w:bookmarkEnd w:id="28"/>
    <w:bookmarkStart w:id="29" w:name="Xaded18ecfafba0619ce68379e9356e637dfd3a8"/>
    <w:p>
      <w:pPr>
        <w:pStyle w:val="Heading3"/>
        <w:spacing w:line="240" w:lineRule="auto" w:before="0" w:after="0"/>
      </w:pPr>
      <w:r>
        <w:rPr>
          <w:rFonts w:ascii="Times New Roman" w:hAnsi="Times New Roman"/>
          <w:sz w:val="24"/>
        </w:rPr>
        <w:t xml:space="preserve">Semana 8–10: Módulo 3 — Ética e Integridad en Investigación</w:t>
      </w:r>
    </w:p>
    <w:p>
      <w:pPr>
        <w:pStyle w:val="FirstParagraph"/>
        <w:spacing w:line="240" w:lineRule="auto" w:before="0" w:after="0"/>
      </w:pPr>
      <w:r>
        <w:rPr>
          <w:rFonts w:ascii="Times New Roman" w:hAnsi="Times New Roman"/>
          <w:b/>
          <w:bCs/>
          <w:sz w:val="24"/>
        </w:rPr>
        <w:t xml:space="preserve">Objetivos</w:t>
      </w:r>
      <w:r>
        <w:rPr>
          <w:rFonts w:ascii="Times New Roman" w:hAnsi="Times New Roman"/>
          <w:sz w:val="24"/>
        </w:rPr>
        <w:t xml:space="preserve">: Entender principios éticos, rol de comités, reconocer malas prácticas; aplicar criterios éticos a casos.</w:t>
      </w:r>
    </w:p>
    <w:p>
      <w:pPr>
        <w:pStyle w:val="BodyText"/>
        <w:spacing w:line="240" w:lineRule="auto" w:before="0" w:after="0"/>
      </w:pPr>
      <w:r>
        <w:rPr>
          <w:rFonts w:ascii="Times New Roman" w:hAnsi="Times New Roman"/>
          <w:b/>
          <w:bCs/>
          <w:sz w:val="24"/>
        </w:rPr>
        <w:t xml:space="preserve">Sesiones sincrónicas</w:t>
      </w:r>
      <w:r>
        <w:rPr>
          <w:rFonts w:ascii="Times New Roman" w:hAnsi="Times New Roman"/>
          <w:sz w:val="24"/>
        </w:rPr>
        <w:t xml:space="preserve"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-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bCs/>
          <w:sz w:val="24"/>
        </w:rPr>
        <w:t xml:space="preserve">Sem 8 (Lun 10–11, Jue 17–18)</w:t>
      </w:r>
      <w:r>
        <w:rPr>
          <w:rFonts w:ascii="Times New Roman" w:hAnsi="Times New Roman"/>
          <w:sz w:val="24"/>
        </w:rPr>
        <w:t xml:space="preserve">: Principios de Belmont (autonomía, beneficencia, justicia). Consentimiento informado. Caso: estudio de screening para cáncer de vejiga en fumadores (poblaciones de riesgo). Discusión ética.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-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bCs/>
          <w:sz w:val="24"/>
        </w:rPr>
        <w:t xml:space="preserve">Sem 9 (Lun 10–11, Jue 17–18)</w:t>
      </w:r>
      <w:r>
        <w:rPr>
          <w:rFonts w:ascii="Times New Roman" w:hAnsi="Times New Roman"/>
          <w:sz w:val="24"/>
        </w:rPr>
        <w:t xml:space="preserve">: Comités de ética (CEI/CEIBA en Univalle y hospitales). Proceso de revisión, documentos clave, tiempos. Visita (si es posible) a comité o sesión simulada.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-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bCs/>
          <w:sz w:val="24"/>
        </w:rPr>
        <w:t xml:space="preserve">Sem 10 (Lun 10–11, Jue 17–18)</w:t>
      </w:r>
      <w:r>
        <w:rPr>
          <w:rFonts w:ascii="Times New Roman" w:hAnsi="Times New Roman"/>
          <w:sz w:val="24"/>
        </w:rPr>
        <w:t xml:space="preserve">: Integridad: plagio, LPU (Least Publishable Unit), autocita inflada, p-hacking. Caso: protocolo con problemas éticos (identifícalos). Taller: cómo citar, evitar plagio.</w:t>
      </w:r>
    </w:p>
    <w:p>
      <w:pPr>
        <w:pStyle w:val="BodyText"/>
        <w:spacing w:line="240" w:lineRule="auto" w:before="0" w:after="0"/>
      </w:pPr>
      <w:r>
        <w:rPr>
          <w:rFonts w:ascii="Times New Roman" w:hAnsi="Times New Roman"/>
          <w:b/>
          <w:bCs/>
          <w:sz w:val="24"/>
        </w:rPr>
        <w:t xml:space="preserve">Trabajo independiente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(~50 horas):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- Lecturas: Declaración de Helsinki resumida, pautas ICMJE (International Committee of Medical Journal Editors), capítulo sobre integridad.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- Tarea principal: Analizar 2–3 casos éticos de investigación urológica (reales o realistas), escribir reporte ético (2–3 páginas) por caso.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- Lectura: Artículo sobre mala conducta en investigación médica.</w:t>
      </w:r>
    </w:p>
    <w:p>
      <w:pPr>
        <w:pStyle w:val="BodyText"/>
        <w:spacing w:line="240" w:lineRule="auto" w:before="0" w:after="0"/>
      </w:pPr>
      <w:r>
        <w:rPr>
          <w:rFonts w:ascii="Times New Roman" w:hAnsi="Times New Roman"/>
          <w:b/>
          <w:bCs/>
          <w:sz w:val="24"/>
        </w:rPr>
        <w:t xml:space="preserve">Producto parcial</w:t>
      </w:r>
      <w:r>
        <w:rPr>
          <w:rFonts w:ascii="Times New Roman" w:hAnsi="Times New Roman"/>
          <w:sz w:val="24"/>
        </w:rPr>
        <w:t xml:space="preserve">: Análisis de casos éticos (reporte formal).</w:t>
      </w:r>
    </w:p>
    <w:p>
      <w:pPr>
        <w:spacing w:line="240" w:lineRule="auto" w:before="0" w:after="0"/>
      </w:pPr>
      <w:r>
        <w:rPr>
          <w:rFonts w:ascii="Times New Roman" w:hAnsi="Times New Roman"/>
          <w:sz w:val="24"/>
        </w:rPr>
        <w:pict>
          <v:rect style="width:0;height:1.5pt" o:hralign="center" o:hrstd="t" o:hr="t"/>
        </w:pict>
      </w:r>
    </w:p>
    <w:bookmarkEnd w:id="29"/>
    <w:bookmarkStart w:id="30" w:name="X42d7a6fb077da7dc294f0d4cf3922c05317ea77"/>
    <w:p>
      <w:pPr>
        <w:pStyle w:val="Heading3"/>
        <w:spacing w:line="240" w:lineRule="auto" w:before="0" w:after="0"/>
      </w:pPr>
      <w:r>
        <w:rPr>
          <w:rFonts w:ascii="Times New Roman" w:hAnsi="Times New Roman"/>
          <w:sz w:val="24"/>
        </w:rPr>
        <w:t xml:space="preserve">Semana 11–13: Módulo 4 — Evidencia a la Práctica</w:t>
      </w:r>
    </w:p>
    <w:p>
      <w:pPr>
        <w:pStyle w:val="FirstParagraph"/>
        <w:spacing w:line="240" w:lineRule="auto" w:before="0" w:after="0"/>
      </w:pPr>
      <w:r>
        <w:rPr>
          <w:rFonts w:ascii="Times New Roman" w:hAnsi="Times New Roman"/>
          <w:b/>
          <w:bCs/>
          <w:sz w:val="24"/>
        </w:rPr>
        <w:t xml:space="preserve">Objetivos</w:t>
      </w:r>
      <w:r>
        <w:rPr>
          <w:rFonts w:ascii="Times New Roman" w:hAnsi="Times New Roman"/>
          <w:sz w:val="24"/>
        </w:rPr>
        <w:t xml:space="preserve">: Dominar CASP; entender niveles de evidencia; aplicar bioestadística conceptual; sintetizar evidencia.</w:t>
      </w:r>
    </w:p>
    <w:p>
      <w:pPr>
        <w:pStyle w:val="BodyText"/>
        <w:spacing w:line="240" w:lineRule="auto" w:before="0" w:after="0"/>
      </w:pPr>
      <w:r>
        <w:rPr>
          <w:rFonts w:ascii="Times New Roman" w:hAnsi="Times New Roman"/>
          <w:b/>
          <w:bCs/>
          <w:sz w:val="24"/>
        </w:rPr>
        <w:t xml:space="preserve">Sesiones sincrónicas</w:t>
      </w:r>
      <w:r>
        <w:rPr>
          <w:rFonts w:ascii="Times New Roman" w:hAnsi="Times New Roman"/>
          <w:sz w:val="24"/>
        </w:rPr>
        <w:t xml:space="preserve"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-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bCs/>
          <w:sz w:val="24"/>
        </w:rPr>
        <w:t xml:space="preserve">Sem 11 (Lun 10–11, Jue 17–18)</w:t>
      </w:r>
      <w:r>
        <w:rPr>
          <w:rFonts w:ascii="Times New Roman" w:hAnsi="Times New Roman"/>
          <w:sz w:val="24"/>
        </w:rPr>
        <w:t xml:space="preserve">: Herramientas de appraisal: CASP (Critical Appraisal Skills Programme) para estudios cohorte, caso-control, RCT. Demostración: appraisal de un artículo en vivo, paso a paso.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-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bCs/>
          <w:sz w:val="24"/>
        </w:rPr>
        <w:t xml:space="preserve">Sem 12 (Lun 10–11, Jue 17–18)</w:t>
      </w:r>
      <w:r>
        <w:rPr>
          <w:rFonts w:ascii="Times New Roman" w:hAnsi="Times New Roman"/>
          <w:sz w:val="24"/>
        </w:rPr>
        <w:t xml:space="preserve">: Niveles de evidencia (GRADE, escala Oxford). Grados de recomendación (fuerte, débil). Cómo van los estudios → las guías de práctica. Ejemplo: Guías EAU (Asociación Europea de Urología) sobre screening de cáncer de próstata.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-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bCs/>
          <w:sz w:val="24"/>
        </w:rPr>
        <w:t xml:space="preserve">Sem 13 (Lun 10–11, Jue 17–18)</w:t>
      </w:r>
      <w:r>
        <w:rPr>
          <w:rFonts w:ascii="Times New Roman" w:hAnsi="Times New Roman"/>
          <w:sz w:val="24"/>
        </w:rPr>
        <w:t xml:space="preserve">: Bioestadística conceptual: p-valor, intervalo de confianza, tamaño del efecto, sesgo (sin cálculos). Lectura de tablas y gráficos. Errores tipo I/II. Presentación de estudiantes: appraisal y síntesis de 1 artículo en formato de club de revistas.</w:t>
      </w:r>
    </w:p>
    <w:p>
      <w:pPr>
        <w:pStyle w:val="BodyText"/>
        <w:spacing w:line="240" w:lineRule="auto" w:before="0" w:after="0"/>
      </w:pPr>
      <w:r>
        <w:rPr>
          <w:rFonts w:ascii="Times New Roman" w:hAnsi="Times New Roman"/>
          <w:b/>
          <w:bCs/>
          <w:sz w:val="24"/>
        </w:rPr>
        <w:t xml:space="preserve">Trabajo independiente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(~48 horas):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- Lecturas: Tutoriales CASP online.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- Tarea principal: Estudiante selecciona 3 artículos sobre un tema urológico de interés, completa appraisal CASP formal para cada uno, escribe síntesis crítica (1–1.5 páginas): ¿qué dice la evidencia? ¿cuán confiable es?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- Preparación: Presentación oral de club de revistas (3–4 min por estudiante, turno en Sem 13).</w:t>
      </w:r>
    </w:p>
    <w:p>
      <w:pPr>
        <w:pStyle w:val="BodyText"/>
        <w:spacing w:line="240" w:lineRule="auto" w:before="0" w:after="0"/>
      </w:pPr>
      <w:r>
        <w:rPr>
          <w:rFonts w:ascii="Times New Roman" w:hAnsi="Times New Roman"/>
          <w:b/>
          <w:bCs/>
          <w:sz w:val="24"/>
        </w:rPr>
        <w:t xml:space="preserve">Producto parcial</w:t>
      </w:r>
      <w:r>
        <w:rPr>
          <w:rFonts w:ascii="Times New Roman" w:hAnsi="Times New Roman"/>
          <w:sz w:val="24"/>
        </w:rPr>
        <w:t xml:space="preserve">: Reseña crítica de artículos (appraisal formal), presentación club de revistas.</w:t>
      </w:r>
    </w:p>
    <w:p>
      <w:pPr>
        <w:spacing w:line="240" w:lineRule="auto" w:before="0" w:after="0"/>
      </w:pPr>
      <w:r>
        <w:rPr>
          <w:rFonts w:ascii="Times New Roman" w:hAnsi="Times New Roman"/>
          <w:sz w:val="24"/>
        </w:rPr>
        <w:pict>
          <v:rect style="width:0;height:1.5pt" o:hralign="center" o:hrstd="t" o:hr="t"/>
        </w:pict>
      </w:r>
    </w:p>
    <w:bookmarkEnd w:id="30"/>
    <w:bookmarkStart w:id="31" w:name="X640441bc40b72f7942d3f317c1a0714e9be350b"/>
    <w:p>
      <w:pPr>
        <w:pStyle w:val="Heading3"/>
        <w:spacing w:line="240" w:lineRule="auto" w:before="0" w:after="0"/>
      </w:pPr>
      <w:r>
        <w:rPr>
          <w:rFonts w:ascii="Times New Roman" w:hAnsi="Times New Roman"/>
          <w:sz w:val="24"/>
        </w:rPr>
        <w:t xml:space="preserve">Semana 14–15: Módulo 5 — Piedra Angular: Diseño de Protocolo de Investigación</w:t>
      </w:r>
    </w:p>
    <w:p>
      <w:pPr>
        <w:pStyle w:val="FirstParagraph"/>
        <w:spacing w:line="240" w:lineRule="auto" w:before="0" w:after="0"/>
      </w:pPr>
      <w:r>
        <w:rPr>
          <w:rFonts w:ascii="Times New Roman" w:hAnsi="Times New Roman"/>
          <w:b/>
          <w:bCs/>
          <w:sz w:val="24"/>
        </w:rPr>
        <w:t xml:space="preserve">Objetivos</w:t>
      </w:r>
      <w:r>
        <w:rPr>
          <w:rFonts w:ascii="Times New Roman" w:hAnsi="Times New Roman"/>
          <w:sz w:val="24"/>
        </w:rPr>
        <w:t xml:space="preserve">: Integrar todas las competencias en un protocolo coherente, viable, ético, y bien comunicado.</w:t>
      </w:r>
    </w:p>
    <w:p>
      <w:pPr>
        <w:pStyle w:val="BodyText"/>
        <w:spacing w:line="240" w:lineRule="auto" w:before="0" w:after="0"/>
      </w:pPr>
      <w:r>
        <w:rPr>
          <w:rFonts w:ascii="Times New Roman" w:hAnsi="Times New Roman"/>
          <w:b/>
          <w:bCs/>
          <w:sz w:val="24"/>
        </w:rPr>
        <w:t xml:space="preserve">Sesiones sincrónicas</w:t>
      </w:r>
      <w:r>
        <w:rPr>
          <w:rFonts w:ascii="Times New Roman" w:hAnsi="Times New Roman"/>
          <w:sz w:val="24"/>
        </w:rPr>
        <w:t xml:space="preserve"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-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bCs/>
          <w:sz w:val="24"/>
        </w:rPr>
        <w:t xml:space="preserve">Sem 14 (Lun 10–11, Jue 17–18)</w:t>
      </w:r>
      <w:r>
        <w:rPr>
          <w:rFonts w:ascii="Times New Roman" w:hAnsi="Times New Roman"/>
          <w:sz w:val="24"/>
        </w:rPr>
        <w:t xml:space="preserve">: Componentes de un protocolo: título, pregunta, objetivos, justificación, marco teórico y estado del arte, métodos (diseño, población, intervención, medidas), ética, cronograma. Presentación de ejemplo de protocolo mini (5–8 páginas). Taller: estudiantes trabajan en equipos pequeños en protocolo propio, reciben feedback.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-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bCs/>
          <w:sz w:val="24"/>
        </w:rPr>
        <w:t xml:space="preserve">Sem 15 (Lun 10–11, Jue 17–18)</w:t>
      </w:r>
      <w:r>
        <w:rPr>
          <w:rFonts w:ascii="Times New Roman" w:hAnsi="Times New Roman"/>
          <w:sz w:val="24"/>
        </w:rPr>
        <w:t xml:space="preserve">: Presentaciones: cada estudiante (o pareja) presenta su protocolo en formato de póster/oral estilo congreso (5–7 min). Discusión, preguntas, feedback de pares e instructor.</w:t>
      </w:r>
    </w:p>
    <w:p>
      <w:pPr>
        <w:pStyle w:val="BodyText"/>
        <w:spacing w:line="240" w:lineRule="auto" w:before="0" w:after="0"/>
      </w:pPr>
      <w:r>
        <w:rPr>
          <w:rFonts w:ascii="Times New Roman" w:hAnsi="Times New Roman"/>
          <w:b/>
          <w:bCs/>
          <w:sz w:val="24"/>
        </w:rPr>
        <w:t xml:space="preserve">Trabajo independiente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(~59 horas acumuladas):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- Lecturas: Ejemplos de protocolos, guías de escritura (ARRIVE, STROBE si aplica).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- Tarea principal (≥3 semanas de trabajo): Escribir protocolo de investigación mini (5–8 páginas):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- Pregunta PICO clara.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- Justificación (¿por qué es importante?).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- Marco teórico y estado del arte.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- Objetivos primario/secundarios.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- Diseño justificado (por qué este diseño vs. otros).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- Población, criterios inclusión/exclusión.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- Intervención/exposición y medidas de resultado.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- Consideraciones éticas, consentimiento, riesgos/beneficios.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- Plan de análisis conceptual (no numérico).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- Cronograma.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- ≥10 referencias recientes.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- Reiteración y revisiones basadas en feedback.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- Preparación de presentación/póster.</w:t>
      </w:r>
    </w:p>
    <w:p>
      <w:pPr>
        <w:pStyle w:val="BodyText"/>
        <w:spacing w:line="240" w:lineRule="auto" w:before="0" w:after="0"/>
      </w:pPr>
      <w:r>
        <w:rPr>
          <w:rFonts w:ascii="Times New Roman" w:hAnsi="Times New Roman"/>
          <w:b/>
          <w:bCs/>
          <w:sz w:val="24"/>
        </w:rPr>
        <w:t xml:space="preserve">Producto final</w:t>
      </w:r>
      <w:r>
        <w:rPr>
          <w:rFonts w:ascii="Times New Roman" w:hAnsi="Times New Roman"/>
          <w:sz w:val="24"/>
        </w:rPr>
        <w:t xml:space="preserve">: Protocolo escrito (5–8 páginas) + presentación oral (5–7 min).</w:t>
      </w:r>
    </w:p>
    <w:p>
      <w:pPr>
        <w:spacing w:line="240" w:lineRule="auto" w:before="0" w:after="0"/>
      </w:pPr>
      <w:r>
        <w:rPr>
          <w:rFonts w:ascii="Times New Roman" w:hAnsi="Times New Roman"/>
          <w:sz w:val="24"/>
        </w:rPr>
        <w:pict>
          <v:rect style="width:0;height:1.5pt" o:hralign="center" o:hrstd="t" o:hr="t"/>
        </w:pict>
      </w:r>
    </w:p>
    <w:bookmarkEnd w:id="31"/>
    <w:bookmarkEnd w:id="32"/>
    <w:bookmarkStart w:id="33" w:name="tabla-de-sesiones-lunes-1011-jueves-1718"/>
    <w:p>
      <w:pPr>
        <w:pStyle w:val="Heading2"/>
        <w:spacing w:line="240" w:lineRule="auto" w:before="0" w:after="0"/>
      </w:pPr>
      <w:r>
        <w:rPr>
          <w:rFonts w:ascii="Times New Roman" w:hAnsi="Times New Roman"/>
          <w:sz w:val="24"/>
        </w:rPr>
        <w:t xml:space="preserve">Tabla de Sesiones (Lunes 10–11, Jueves 17–18)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00"/>
        <w:gridCol w:w="1200"/>
        <w:gridCol w:w="1920"/>
        <w:gridCol w:w="1440"/>
        <w:gridCol w:w="216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Sem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L/J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Módulo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Tema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Formato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L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Fund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Intro: proceso científico, pregunta clínica vs. investigativa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Clase magistral + discusión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J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Fund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PICO: estructura, ejemplos, práctica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Taller interactivo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L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Fund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Búsqueda bibliográfica: PubMed, MeSH, estrategias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Taller demostrativo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J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Fund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Rayyan, gestión de referencias, trabajo práctico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Taller hands-on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3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L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Fund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Síntesis: PICO refinado en equipos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Trabajo colaborativo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3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J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Fund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Presentación de preguntas PICO (estudiantes), discusión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Peer-learning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L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Diseños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Intro diseños: espectro observacional-experimental, descriptivos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Clase + casos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J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Diseños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Descriptivos profundo: transversal, serie de casos, ejemplo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Caso real + taller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5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L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Diseños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Cohorte: diseño, sesgos, ejemplo masas renales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Clase + análisis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5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J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Diseños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Caso-control: diseño, ventajas, limitaciones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Clase + taller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6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L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Diseños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RCT: aleatorización, cegamiento, calidad, ejemplo cáncer renal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Clase magistral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6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J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Diseños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RCT análisis profundo, comunes errores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Taller crítico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7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L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Diseños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Revisiones sistemáticas &amp; meta-análisis: síntesis de evidencia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Clase + prácticas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7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J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Diseños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Matriz comparativa: fortalezas/debilidades de diseños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Síntesis colaborativa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8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L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Ética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Principios: Belmont, autonomía, beneficencia, justicia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Clase + casos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8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J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Ética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Consentimiento informado, caso vulnerable (indígenas, rurales)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Discusión ética profunda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9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L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Ética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Comités ética (CEI/CEIBA): procesos, documentos, timelines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Clase + invitado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9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J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Ética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Sesión comité simulada o visita (si es posible)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Experiencial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10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L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Ética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Integridad: plagio, LPU, p-hacking, autocita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Taller + casos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10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J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Ética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Análisis de casos éticos, revisión de reportes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Peer-review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11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L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Evidencia a la Práctica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CASP: herramienta, estructura, demo en artículo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Taller de herramienta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11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J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Evidencia a la Práctica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CASP práctico: estudiantes appraisal en vivo de artículo cohorte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Trabajo guiado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12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L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Evidencia a la Práctica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Niveles evidencia (GRADE, Oxford), grados recomendación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Clase + ejemplos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12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J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Evidencia a la Práctica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Cómo los estudios → guías: ejemplo EAU prostate cancer screening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Análisis aplicado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13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L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Evidencia a la Práctica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Bioestadística conceptual: p, IC, tamaño efecto, sesgos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Clase accesible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13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J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Evidencia a la Práctica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Journal club: presentaciones estudiantes (3–4 min cada uno)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Peer-teaching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14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L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Piedra angular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Componentes protocolo, ejemplo, escritura práctica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Taller con andamiaje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14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J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Piedra angular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Trabajo en equipos, feedback formativo en protocolos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Taller colaborativo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15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L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Piedra angular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Presentaciones poster/oral (5–7 min cada uno)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Congreso simulado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15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J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Piedra angular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Cierre: reflexión, feedback final, clausura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/>
                <w:sz w:val="24"/>
              </w:rPr>
              <w:t xml:space="preserve">Reflexión + cierre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/>
          <w:sz w:val="24"/>
        </w:rPr>
        <w:pict>
          <v:rect style="width:0;height:1.5pt" o:hralign="center" o:hrstd="t" o:hr="t"/>
        </w:pict>
      </w:r>
    </w:p>
    <w:bookmarkEnd w:id="33"/>
    <w:bookmarkStart w:id="34" w:name="productos-tangibles-del-curso"/>
    <w:p>
      <w:pPr>
        <w:pStyle w:val="Heading2"/>
        <w:spacing w:line="240" w:lineRule="auto" w:before="0" w:after="0"/>
      </w:pPr>
      <w:r>
        <w:rPr>
          <w:rFonts w:ascii="Times New Roman" w:hAnsi="Times New Roman"/>
          <w:sz w:val="24"/>
        </w:rPr>
        <w:t xml:space="preserve">Productos Tangibles del Curso</w:t>
      </w:r>
    </w:p>
    <w:p>
      <w:pPr>
        <w:pStyle w:val="Compact"/>
        <w:numPr>
          <w:ilvl w:val="0"/>
          <w:numId w:val="1006"/>
        </w:numPr>
        <w:spacing w:line="240" w:lineRule="auto" w:before="0" w:after="0"/>
      </w:pPr>
      <w:r>
        <w:rPr>
          <w:rFonts w:ascii="Times New Roman" w:hAnsi="Times New Roman"/>
          <w:b/>
          <w:bCs/>
          <w:sz w:val="24"/>
        </w:rPr>
        <w:t xml:space="preserve">Banco de Preguntas PICO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(15%, semana 3): ≥3 preguntas bien estructuradas en formato PICO, con búsqueda documentada.</w:t>
      </w:r>
    </w:p>
    <w:p>
      <w:pPr>
        <w:pStyle w:val="Compact"/>
        <w:numPr>
          <w:ilvl w:val="0"/>
          <w:numId w:val="1006"/>
        </w:numPr>
        <w:spacing w:line="240" w:lineRule="auto" w:before="0" w:after="0"/>
      </w:pPr>
      <w:r>
        <w:rPr>
          <w:rFonts w:ascii="Times New Roman" w:hAnsi="Times New Roman"/>
          <w:b/>
          <w:bCs/>
          <w:sz w:val="24"/>
        </w:rPr>
        <w:t xml:space="preserve">Análisis de Casos Éticos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(15%, semana 10): ≥2 reportes formales (2–3 páginas c/u) de dilemas éticos reales.</w:t>
      </w:r>
    </w:p>
    <w:p>
      <w:pPr>
        <w:pStyle w:val="Compact"/>
        <w:numPr>
          <w:ilvl w:val="0"/>
          <w:numId w:val="1006"/>
        </w:numPr>
        <w:spacing w:line="240" w:lineRule="auto" w:before="0" w:after="0"/>
      </w:pPr>
      <w:r>
        <w:rPr>
          <w:rFonts w:ascii="Times New Roman" w:hAnsi="Times New Roman"/>
          <w:b/>
          <w:bCs/>
          <w:sz w:val="24"/>
        </w:rPr>
        <w:t xml:space="preserve">Reseña Crítica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(20%, semana 13): 3 appraisals CASP completos + síntesis crítica (1–1.5 páginas).</w:t>
      </w:r>
    </w:p>
    <w:p>
      <w:pPr>
        <w:pStyle w:val="Compact"/>
        <w:numPr>
          <w:ilvl w:val="0"/>
          <w:numId w:val="1006"/>
        </w:numPr>
        <w:spacing w:line="240" w:lineRule="auto" w:before="0" w:after="0"/>
      </w:pPr>
      <w:r>
        <w:rPr>
          <w:rFonts w:ascii="Times New Roman" w:hAnsi="Times New Roman"/>
          <w:b/>
          <w:bCs/>
          <w:sz w:val="24"/>
        </w:rPr>
        <w:t xml:space="preserve">Protocolo de Investigación Escrito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(25%, semana 15): 5–8 páginas, incluye pregunta, justificación, marco teórico, diseño, métodos, ética, ≥10 referencias, cronograma.</w:t>
      </w:r>
    </w:p>
    <w:p>
      <w:pPr>
        <w:pStyle w:val="Compact"/>
        <w:numPr>
          <w:ilvl w:val="0"/>
          <w:numId w:val="1006"/>
        </w:numPr>
        <w:spacing w:line="240" w:lineRule="auto" w:before="0" w:after="0"/>
      </w:pPr>
      <w:r>
        <w:rPr>
          <w:rFonts w:ascii="Times New Roman" w:hAnsi="Times New Roman"/>
          <w:b/>
          <w:bCs/>
          <w:sz w:val="24"/>
        </w:rPr>
        <w:t xml:space="preserve">Presentación Oral/Póster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(15%, semana 15): 5–7 minutos presentando protocolo en formato estilo congreso.</w:t>
      </w:r>
    </w:p>
    <w:p>
      <w:pPr>
        <w:pStyle w:val="Compact"/>
        <w:numPr>
          <w:ilvl w:val="0"/>
          <w:numId w:val="1006"/>
        </w:numPr>
        <w:spacing w:line="240" w:lineRule="auto" w:before="0" w:after="0"/>
      </w:pPr>
      <w:r>
        <w:rPr>
          <w:rFonts w:ascii="Times New Roman" w:hAnsi="Times New Roman"/>
          <w:b/>
          <w:bCs/>
          <w:sz w:val="24"/>
        </w:rPr>
        <w:t xml:space="preserve">Participación y Reflexión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(10%, continuo): Reflexiones semanales y participación en talleres.</w:t>
      </w:r>
    </w:p>
    <w:p>
      <w:pPr>
        <w:spacing w:line="240" w:lineRule="auto" w:before="0" w:after="0"/>
      </w:pPr>
      <w:r>
        <w:rPr>
          <w:rFonts w:ascii="Times New Roman" w:hAnsi="Times New Roman"/>
          <w:sz w:val="24"/>
        </w:rPr>
        <w:pict>
          <v:rect style="width:0;height:1.5pt" o:hralign="center" o:hrstd="t" o:hr="t"/>
        </w:pict>
      </w:r>
    </w:p>
    <w:bookmarkEnd w:id="34"/>
    <w:bookmarkStart w:id="35" w:name="recursos-y-tecnología"/>
    <w:p>
      <w:pPr>
        <w:pStyle w:val="Heading2"/>
        <w:spacing w:line="240" w:lineRule="auto" w:before="0" w:after="0"/>
      </w:pPr>
      <w:r>
        <w:rPr>
          <w:rFonts w:ascii="Times New Roman" w:hAnsi="Times New Roman"/>
          <w:sz w:val="24"/>
        </w:rPr>
        <w:t xml:space="preserve">Recursos y Tecnología</w:t>
      </w:r>
    </w:p>
    <w:p>
      <w:pPr>
        <w:pStyle w:val="Compact"/>
        <w:numPr>
          <w:ilvl w:val="0"/>
          <w:numId w:val="1007"/>
        </w:numPr>
        <w:spacing w:line="240" w:lineRule="auto" w:before="0" w:after="0"/>
      </w:pPr>
      <w:r>
        <w:rPr>
          <w:rFonts w:ascii="Times New Roman" w:hAnsi="Times New Roman"/>
          <w:b/>
          <w:bCs/>
          <w:sz w:val="24"/>
        </w:rPr>
        <w:t xml:space="preserve">Plataforma</w:t>
      </w:r>
      <w:r>
        <w:rPr>
          <w:rFonts w:ascii="Times New Roman" w:hAnsi="Times New Roman"/>
          <w:sz w:val="24"/>
        </w:rPr>
        <w:t xml:space="preserve">: Univalle LMS (Moodle o equivalente) para asincrónico, Zoom/Teams para sesiones sincrónicas.</w:t>
      </w:r>
    </w:p>
    <w:p>
      <w:pPr>
        <w:pStyle w:val="Compact"/>
        <w:numPr>
          <w:ilvl w:val="0"/>
          <w:numId w:val="1007"/>
        </w:numPr>
        <w:spacing w:line="240" w:lineRule="auto" w:before="0" w:after="0"/>
      </w:pPr>
      <w:r>
        <w:rPr>
          <w:rFonts w:ascii="Times New Roman" w:hAnsi="Times New Roman"/>
          <w:b/>
          <w:bCs/>
          <w:sz w:val="24"/>
        </w:rPr>
        <w:t xml:space="preserve">Herramientas de búsqueda</w:t>
      </w:r>
      <w:r>
        <w:rPr>
          <w:rFonts w:ascii="Times New Roman" w:hAnsi="Times New Roman"/>
          <w:sz w:val="24"/>
        </w:rPr>
        <w:t xml:space="preserve">: Acceso institucional a PubMed, Rayyan (libre), Google Scholar, SciHub (acceso dentro de red Univalle).</w:t>
      </w:r>
    </w:p>
    <w:p>
      <w:pPr>
        <w:pStyle w:val="Compact"/>
        <w:numPr>
          <w:ilvl w:val="0"/>
          <w:numId w:val="1007"/>
        </w:numPr>
        <w:spacing w:line="240" w:lineRule="auto" w:before="0" w:after="0"/>
      </w:pPr>
      <w:r>
        <w:rPr>
          <w:rFonts w:ascii="Times New Roman" w:hAnsi="Times New Roman"/>
          <w:b/>
          <w:bCs/>
          <w:sz w:val="24"/>
        </w:rPr>
        <w:t xml:space="preserve">Herramientas de appraisal</w:t>
      </w:r>
      <w:r>
        <w:rPr>
          <w:rFonts w:ascii="Times New Roman" w:hAnsi="Times New Roman"/>
          <w:sz w:val="24"/>
        </w:rPr>
        <w:t xml:space="preserve">: CASP online, plantillas (descargables).</w:t>
      </w:r>
    </w:p>
    <w:p>
      <w:pPr>
        <w:pStyle w:val="Compact"/>
        <w:numPr>
          <w:ilvl w:val="0"/>
          <w:numId w:val="1007"/>
        </w:numPr>
        <w:spacing w:line="240" w:lineRule="auto" w:before="0" w:after="0"/>
      </w:pPr>
      <w:r>
        <w:rPr>
          <w:rFonts w:ascii="Times New Roman" w:hAnsi="Times New Roman"/>
          <w:b/>
          <w:bCs/>
          <w:sz w:val="24"/>
        </w:rPr>
        <w:t xml:space="preserve">Documentos y plantillas</w:t>
      </w:r>
      <w:r>
        <w:rPr>
          <w:rFonts w:ascii="Times New Roman" w:hAnsi="Times New Roman"/>
          <w:sz w:val="24"/>
        </w:rPr>
        <w:t xml:space="preserve">: Disponibles en LMS (protocolo template, rúbricas, listas de verificación).</w:t>
      </w:r>
    </w:p>
    <w:p>
      <w:pPr>
        <w:pStyle w:val="Compact"/>
        <w:numPr>
          <w:ilvl w:val="0"/>
          <w:numId w:val="1007"/>
        </w:numPr>
        <w:spacing w:line="240" w:lineRule="auto" w:before="0" w:after="0"/>
      </w:pPr>
      <w:r>
        <w:rPr>
          <w:rFonts w:ascii="Times New Roman" w:hAnsi="Times New Roman"/>
          <w:b/>
          <w:bCs/>
          <w:sz w:val="24"/>
        </w:rPr>
        <w:t xml:space="preserve">Lecturas</w:t>
      </w:r>
      <w:r>
        <w:rPr>
          <w:rFonts w:ascii="Times New Roman" w:hAnsi="Times New Roman"/>
          <w:sz w:val="24"/>
        </w:rPr>
        <w:t xml:space="preserve">: Mezcla de artículos OA, acceso institucional (SciHub via Univalle), capítulos de libros de texto (ej. Sackett’s EBM, disponibles en biblioteca).</w:t>
      </w:r>
    </w:p>
    <w:p>
      <w:pPr>
        <w:spacing w:line="240" w:lineRule="auto" w:before="0" w:after="0"/>
      </w:pPr>
      <w:r>
        <w:rPr>
          <w:rFonts w:ascii="Times New Roman" w:hAnsi="Times New Roman"/>
          <w:sz w:val="24"/>
        </w:rPr>
        <w:pict>
          <v:rect style="width:0;height:1.5pt" o:hralign="center" o:hrstd="t" o:hr="t"/>
        </w:pict>
      </w:r>
    </w:p>
    <w:bookmarkEnd w:id="35"/>
    <w:bookmarkStart w:id="36" w:name="notas-para-el-instructor"/>
    <w:p>
      <w:pPr>
        <w:pStyle w:val="Heading2"/>
        <w:spacing w:line="240" w:lineRule="auto" w:before="0" w:after="0"/>
      </w:pPr>
      <w:r>
        <w:rPr>
          <w:rFonts w:ascii="Times New Roman" w:hAnsi="Times New Roman"/>
          <w:sz w:val="24"/>
        </w:rPr>
        <w:t xml:space="preserve">Notas para el Instructor</w:t>
      </w:r>
    </w:p>
    <w:p>
      <w:pPr>
        <w:numPr>
          <w:ilvl w:val="0"/>
          <w:numId w:val="1008"/>
        </w:numPr>
        <w:spacing w:line="240" w:lineRule="auto" w:before="0" w:after="0"/>
      </w:pPr>
      <w:r>
        <w:rPr>
          <w:rFonts w:ascii="Times New Roman" w:hAnsi="Times New Roman"/>
          <w:b/>
          <w:bCs/>
          <w:sz w:val="24"/>
        </w:rPr>
        <w:t xml:space="preserve">Ritmo</w:t>
      </w:r>
      <w:r>
        <w:rPr>
          <w:rFonts w:ascii="Times New Roman" w:hAnsi="Times New Roman"/>
          <w:sz w:val="24"/>
        </w:rPr>
        <w:t xml:space="preserve">: El curso es denso (15 semanas, 192 horas de trabajo estudiantil esperado). Las sesiones sincrónicas de 1 hora son cortas; enfatizar que gran parte del aprendizaje ocurre en el trabajo independiente. Proporcionar guías claras y scaffolding.</w:t>
      </w:r>
    </w:p>
    <w:p>
      <w:pPr>
        <w:numPr>
          <w:ilvl w:val="0"/>
          <w:numId w:val="1008"/>
        </w:numPr>
        <w:spacing w:line="240" w:lineRule="auto" w:before="0" w:after="0"/>
      </w:pPr>
      <w:r>
        <w:rPr>
          <w:rFonts w:ascii="Times New Roman" w:hAnsi="Times New Roman"/>
          <w:b/>
          <w:bCs/>
          <w:sz w:val="24"/>
        </w:rPr>
        <w:t xml:space="preserve">Flexibilidad</w:t>
      </w:r>
      <w:r>
        <w:rPr>
          <w:rFonts w:ascii="Times New Roman" w:hAnsi="Times New Roman"/>
          <w:sz w:val="24"/>
        </w:rPr>
        <w:t xml:space="preserve">: Si hay festivos o conflictos, sesiones pueden reorganizarse (intercambiar Lunes↔Jueves, grabar para asincrónico).</w:t>
      </w:r>
    </w:p>
    <w:p>
      <w:pPr>
        <w:numPr>
          <w:ilvl w:val="0"/>
          <w:numId w:val="1008"/>
        </w:numPr>
        <w:spacing w:line="240" w:lineRule="auto" w:before="0" w:after="0"/>
      </w:pPr>
      <w:r>
        <w:rPr>
          <w:rFonts w:ascii="Times New Roman" w:hAnsi="Times New Roman"/>
          <w:b/>
          <w:bCs/>
          <w:sz w:val="24"/>
        </w:rPr>
        <w:t xml:space="preserve">Colaboración</w:t>
      </w:r>
      <w:r>
        <w:rPr>
          <w:rFonts w:ascii="Times New Roman" w:hAnsi="Times New Roman"/>
          <w:sz w:val="24"/>
        </w:rPr>
        <w:t xml:space="preserve">: Contactar a comités de ética (CEI/CEIBA) para sesión simulada o invitado. Conectar con investigadores/urólogos locales para mentorship informal del capstone.</w:t>
      </w:r>
    </w:p>
    <w:p>
      <w:pPr>
        <w:numPr>
          <w:ilvl w:val="0"/>
          <w:numId w:val="1008"/>
        </w:numPr>
        <w:spacing w:line="240" w:lineRule="auto" w:before="0" w:after="0"/>
      </w:pPr>
      <w:r>
        <w:rPr>
          <w:rFonts w:ascii="Times New Roman" w:hAnsi="Times New Roman"/>
          <w:b/>
          <w:bCs/>
          <w:sz w:val="24"/>
        </w:rPr>
        <w:t xml:space="preserve">Evaluación formativa</w:t>
      </w:r>
      <w:r>
        <w:rPr>
          <w:rFonts w:ascii="Times New Roman" w:hAnsi="Times New Roman"/>
          <w:sz w:val="24"/>
        </w:rPr>
        <w:t xml:space="preserve">: Las micro-reflexiones (reflexiones semanales) no se califican, pero se revisan; feedback oportuno mantiene a estudiantes en carril.</w:t>
      </w:r>
    </w:p>
    <w:p>
      <w:pPr>
        <w:numPr>
          <w:ilvl w:val="0"/>
          <w:numId w:val="1008"/>
        </w:numPr>
        <w:spacing w:line="240" w:lineRule="auto" w:before="0" w:after="0"/>
      </w:pPr>
      <w:r>
        <w:rPr>
          <w:rFonts w:ascii="Times New Roman" w:hAnsi="Times New Roman"/>
          <w:b/>
          <w:bCs/>
          <w:sz w:val="24"/>
        </w:rPr>
        <w:t xml:space="preserve">Diversidad de aprendizaje</w:t>
      </w:r>
      <w:r>
        <w:rPr>
          <w:rFonts w:ascii="Times New Roman" w:hAnsi="Times New Roman"/>
          <w:sz w:val="24"/>
        </w:rPr>
        <w:t xml:space="preserve">: Sesiones combinan sincrónico (discusión, taller), asincrónico (lecturas, análisis individual), colaborativo (grupo pequeño), y reflexivo (reflexiones). Esto atiende variedad de estilos.</w:t>
      </w:r>
    </w:p>
    <w:p>
      <w:pPr>
        <w:numPr>
          <w:ilvl w:val="0"/>
          <w:numId w:val="1008"/>
        </w:numPr>
        <w:spacing w:line="240" w:lineRule="auto" w:before="0" w:after="0"/>
      </w:pPr>
      <w:r>
        <w:rPr>
          <w:rFonts w:ascii="Times New Roman" w:hAnsi="Times New Roman"/>
          <w:b/>
          <w:bCs/>
          <w:sz w:val="24"/>
        </w:rPr>
        <w:t xml:space="preserve">Lenguaje</w:t>
      </w:r>
      <w:r>
        <w:rPr>
          <w:rFonts w:ascii="Times New Roman" w:hAnsi="Times New Roman"/>
          <w:sz w:val="24"/>
        </w:rPr>
        <w:t xml:space="preserve">: Textos principalmente en inglés (literatura médica); instrucción y discusión en español. Apoyo para estudiantes menos fluidos en inglés.</w:t>
      </w:r>
    </w:p>
    <w:p>
      <w:pPr>
        <w:spacing w:line="240" w:lineRule="auto" w:before="0" w:after="0"/>
      </w:pPr>
      <w:r>
        <w:rPr>
          <w:rFonts w:ascii="Times New Roman" w:hAnsi="Times New Roman"/>
          <w:sz w:val="24"/>
        </w:rPr>
        <w:pict>
          <v:rect style="width:0;height:1.5pt" o:hralign="center" o:hrstd="t" o:hr="t"/>
        </w:pict>
      </w:r>
    </w:p>
    <w:bookmarkEnd w:id="36"/>
    <w:bookmarkStart w:id="37" w:name="evaluación-visión-general"/>
    <w:p>
      <w:pPr>
        <w:pStyle w:val="Heading2"/>
        <w:spacing w:line="240" w:lineRule="auto" w:before="0" w:after="0"/>
      </w:pPr>
      <w:r>
        <w:rPr>
          <w:rFonts w:ascii="Times New Roman" w:hAnsi="Times New Roman"/>
          <w:sz w:val="24"/>
        </w:rPr>
        <w:t xml:space="preserve">Evaluación — Visión General</w:t>
      </w:r>
    </w:p>
    <w:p>
      <w:pPr>
        <w:pStyle w:val="FirstParagraph"/>
        <w:spacing w:line="240" w:lineRule="auto" w:before="0" w:after="0"/>
      </w:pPr>
      <w:r>
        <w:rPr>
          <w:rFonts w:ascii="Times New Roman" w:hAnsi="Times New Roman"/>
          <w:sz w:val="24"/>
        </w:rPr>
        <w:t xml:space="preserve">(Detalles en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evaluacion.md</w:t>
      </w:r>
      <w:r>
        <w:rPr>
          <w:rFonts w:ascii="Times New Roman" w:hAnsi="Times New Roman"/>
          <w:sz w:val="24"/>
        </w:rPr>
        <w:t xml:space="preserve">)</w:t>
      </w:r>
    </w:p>
    <w:p>
      <w:pPr>
        <w:pStyle w:val="Compact"/>
        <w:numPr>
          <w:ilvl w:val="0"/>
          <w:numId w:val="1009"/>
        </w:numPr>
        <w:spacing w:line="240" w:lineRule="auto" w:before="0" w:after="0"/>
      </w:pPr>
      <w:r>
        <w:rPr>
          <w:rFonts w:ascii="Times New Roman" w:hAnsi="Times New Roman"/>
          <w:b/>
          <w:bCs/>
          <w:sz w:val="24"/>
        </w:rPr>
        <w:t xml:space="preserve">Formativa</w:t>
      </w:r>
      <w:r>
        <w:rPr>
          <w:rFonts w:ascii="Times New Roman" w:hAnsi="Times New Roman"/>
          <w:sz w:val="24"/>
        </w:rPr>
        <w:t xml:space="preserve">: Micro-reflexiones, feedback en talleres, pre-tareas.</w:t>
      </w:r>
    </w:p>
    <w:p>
      <w:pPr>
        <w:pStyle w:val="Compact"/>
        <w:numPr>
          <w:ilvl w:val="0"/>
          <w:numId w:val="1009"/>
        </w:numPr>
        <w:spacing w:line="240" w:lineRule="auto" w:before="0" w:after="0"/>
      </w:pPr>
      <w:r>
        <w:rPr>
          <w:rFonts w:ascii="Times New Roman" w:hAnsi="Times New Roman"/>
          <w:b/>
          <w:bCs/>
          <w:sz w:val="24"/>
        </w:rPr>
        <w:t xml:space="preserve">Sumativa</w:t>
      </w:r>
      <w:r>
        <w:rPr>
          <w:rFonts w:ascii="Times New Roman" w:hAnsi="Times New Roman"/>
          <w:sz w:val="24"/>
        </w:rPr>
        <w:t xml:space="preserve">: Banco PICO (15%), análisis ético (15%), reseña crítica (20%), protocolo escrito (25%), presentación oral (15%), participación/reflexión (10%).</w:t>
      </w:r>
    </w:p>
    <w:p>
      <w:pPr>
        <w:pStyle w:val="Compact"/>
        <w:numPr>
          <w:ilvl w:val="0"/>
          <w:numId w:val="1009"/>
        </w:numPr>
        <w:spacing w:line="240" w:lineRule="auto" w:before="0" w:after="0"/>
      </w:pPr>
      <w:r>
        <w:rPr>
          <w:rFonts w:ascii="Times New Roman" w:hAnsi="Times New Roman"/>
          <w:b/>
          <w:bCs/>
          <w:sz w:val="24"/>
        </w:rPr>
        <w:t xml:space="preserve">Desglose de horas</w:t>
      </w:r>
      <w:r>
        <w:rPr>
          <w:rFonts w:ascii="Times New Roman" w:hAnsi="Times New Roman"/>
          <w:sz w:val="24"/>
        </w:rPr>
        <w:t xml:space="preserve">: De las 192h totales, ~12h dedicadas a evaluación (exámenes, presentaciones, escritura de reportes finales); el resto es aprendizaje directo + práctica.</w:t>
      </w:r>
    </w:p>
    <w:p>
      <w:pPr>
        <w:spacing w:line="240" w:lineRule="auto" w:before="0" w:after="0"/>
      </w:pPr>
      <w:r>
        <w:rPr>
          <w:rFonts w:ascii="Times New Roman" w:hAnsi="Times New Roman"/>
          <w:sz w:val="24"/>
        </w:rPr>
        <w:pict>
          <v:rect style="width:0;height:1.5pt" o:hralign="center" o:hrstd="t" o:hr="t"/>
        </w:pict>
      </w:r>
    </w:p>
    <w:bookmarkEnd w:id="37"/>
    <w:bookmarkStart w:id="38" w:name="alineación-con-normativa"/>
    <w:p>
      <w:pPr>
        <w:pStyle w:val="Heading2"/>
        <w:spacing w:line="240" w:lineRule="auto" w:before="0" w:after="0"/>
      </w:pPr>
      <w:r>
        <w:rPr>
          <w:rFonts w:ascii="Times New Roman" w:hAnsi="Times New Roman"/>
          <w:sz w:val="24"/>
        </w:rPr>
        <w:t xml:space="preserve">Alineación con Normativa</w:t>
      </w:r>
    </w:p>
    <w:p>
      <w:pPr>
        <w:pStyle w:val="Compact"/>
        <w:numPr>
          <w:ilvl w:val="0"/>
          <w:numId w:val="1010"/>
        </w:numPr>
        <w:spacing w:line="240" w:lineRule="auto" w:before="0" w:after="0"/>
      </w:pPr>
      <w:r>
        <w:rPr>
          <w:rFonts w:ascii="Times New Roman" w:hAnsi="Times New Roman"/>
          <w:b/>
          <w:bCs/>
          <w:sz w:val="24"/>
        </w:rPr>
        <w:t xml:space="preserve">Decreto 0808/2002 (MEN)</w:t>
      </w:r>
      <w:r>
        <w:rPr>
          <w:rFonts w:ascii="Times New Roman" w:hAnsi="Times New Roman"/>
          <w:sz w:val="24"/>
        </w:rPr>
        <w:t xml:space="preserve">: Crédito académico = 48h trabajo estudiantil; distribución teórico-práctica (2–8h independiente por contacto) respetada.</w:t>
      </w:r>
    </w:p>
    <w:p>
      <w:pPr>
        <w:pStyle w:val="Compact"/>
        <w:numPr>
          <w:ilvl w:val="0"/>
          <w:numId w:val="1010"/>
        </w:numPr>
        <w:spacing w:line="240" w:lineRule="auto" w:before="0" w:after="0"/>
      </w:pPr>
      <w:r>
        <w:rPr>
          <w:rFonts w:ascii="Times New Roman" w:hAnsi="Times New Roman"/>
          <w:b/>
          <w:bCs/>
          <w:sz w:val="24"/>
        </w:rPr>
        <w:t xml:space="preserve">Normas Univalle</w:t>
      </w:r>
      <w:r>
        <w:rPr>
          <w:rFonts w:ascii="Times New Roman" w:hAnsi="Times New Roman"/>
          <w:sz w:val="24"/>
        </w:rPr>
        <w:t xml:space="preserve">: Electivo de pregrado, requisito previo (Epidemiología Básica), híbrido, evaluación formativa + sumativa.</w:t>
      </w:r>
    </w:p>
    <w:p>
      <w:pPr>
        <w:pStyle w:val="Compact"/>
        <w:numPr>
          <w:ilvl w:val="0"/>
          <w:numId w:val="1010"/>
        </w:numPr>
        <w:spacing w:line="240" w:lineRule="auto" w:before="0" w:after="0"/>
      </w:pPr>
      <w:r>
        <w:rPr>
          <w:rFonts w:ascii="Times New Roman" w:hAnsi="Times New Roman"/>
          <w:b/>
          <w:bCs/>
          <w:sz w:val="24"/>
        </w:rPr>
        <w:t xml:space="preserve">Competencias AAMC</w:t>
      </w:r>
      <w:r>
        <w:rPr>
          <w:rFonts w:ascii="Times New Roman" w:hAnsi="Times New Roman"/>
          <w:sz w:val="24"/>
        </w:rPr>
        <w:t xml:space="preserve">: Scientific Inquiry centrada; también complementa Communication, Teamwork.</w:t>
      </w:r>
    </w:p>
    <w:p>
      <w:pPr>
        <w:spacing w:line="240" w:lineRule="auto" w:before="0" w:after="0"/>
      </w:pPr>
      <w:r>
        <w:rPr>
          <w:rFonts w:ascii="Times New Roman" w:hAnsi="Times New Roman"/>
          <w:sz w:val="24"/>
        </w:rPr>
        <w:pict>
          <v:rect style="width:0;height:1.5pt" o:hralign="center" o:hrstd="t" o:hr="t"/>
        </w:pict>
      </w:r>
    </w:p>
    <w:bookmarkEnd w:id="38"/>
    <w:bookmarkStart w:id="65" w:name="referencias-bibliográficas"/>
    <w:p>
      <w:pPr>
        <w:pStyle w:val="Heading2"/>
        <w:spacing w:line="240" w:lineRule="auto" w:before="0" w:after="0"/>
      </w:pPr>
      <w:r>
        <w:rPr>
          <w:rFonts w:ascii="Times New Roman" w:hAnsi="Times New Roman"/>
          <w:sz w:val="24"/>
        </w:rPr>
        <w:t xml:space="preserve">Referencias Bibliográficas</w:t>
      </w:r>
    </w:p>
    <w:p>
      <w:pPr>
        <w:pStyle w:val="FirstParagraph"/>
        <w:spacing w:line="240" w:lineRule="auto" w:before="0" w:after="0"/>
      </w:pPr>
      <w:r>
        <w:rPr>
          <w:rFonts w:ascii="Times New Roman" w:hAnsi="Times New Roman"/>
          <w:sz w:val="24"/>
        </w:rPr>
        <w:t xml:space="preserve">Este documento compila todas las referencias citadas en el microcurrículo, rúbricas, evaluación y actividades, organizadas por tema y módulo del curso. Incluye literatura sobre educación médica, investigación clínica, competencias científicas y urología clínica.</w:t>
      </w:r>
    </w:p>
    <w:p>
      <w:pPr>
        <w:pStyle w:val="BodyText"/>
        <w:spacing w:line="240" w:lineRule="auto" w:before="0" w:after="0"/>
      </w:pPr>
      <w:r>
        <w:rPr>
          <w:rFonts w:ascii="Times New Roman" w:hAnsi="Times New Roman"/>
          <w:sz w:val="24"/>
        </w:rPr>
        <w:t xml:space="preserve">Todas las referencias han sido verificadas y están disponibles (acceso abierto o en bases de datos institucionales de Univalle).</w:t>
      </w:r>
    </w:p>
    <w:p>
      <w:pPr>
        <w:pStyle w:val="BodyText"/>
        <w:spacing w:line="240" w:lineRule="auto" w:before="0" w:after="0"/>
      </w:pPr>
      <w:r>
        <w:rPr>
          <w:rFonts w:ascii="Times New Roman" w:hAnsi="Times New Roman"/>
          <w:sz w:val="24"/>
        </w:rPr>
        <w:t xml:space="preserve">Las referencias están formateadas en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bCs/>
          <w:sz w:val="24"/>
        </w:rPr>
        <w:t xml:space="preserve">estilo Vancouver</w:t>
      </w:r>
      <w:r>
        <w:rPr>
          <w:rFonts w:ascii="Times New Roman" w:hAnsi="Times New Roman"/>
          <w:sz w:val="24"/>
        </w:rPr>
        <w:t xml:space="preserve">, el estándar de citación biomédico de las principales revistas médicas internacionales.</w:t>
      </w:r>
    </w:p>
    <w:p>
      <w:pPr>
        <w:spacing w:line="240" w:lineRule="auto" w:before="0" w:after="0"/>
      </w:pPr>
      <w:r>
        <w:rPr>
          <w:rFonts w:ascii="Times New Roman" w:hAnsi="Times New Roman"/>
          <w:sz w:val="24"/>
        </w:rPr>
        <w:pict>
          <v:rect style="width:0;height:1.5pt" o:hralign="center" o:hrstd="t" o:hr="t"/>
        </w:pict>
      </w:r>
    </w:p>
    <w:bookmarkStart w:id="42" w:name="X2d70c404206f6d906b20ee8e01b7c1909f99a86"/>
    <w:p>
      <w:pPr>
        <w:pStyle w:val="Heading3"/>
        <w:spacing w:line="240" w:lineRule="auto" w:before="0" w:after="0"/>
      </w:pPr>
      <w:r>
        <w:rPr>
          <w:rFonts w:ascii="Times New Roman" w:hAnsi="Times New Roman"/>
          <w:sz w:val="24"/>
        </w:rPr>
        <w:t xml:space="preserve">Sección I: Educación Médica y Competencias</w:t>
      </w:r>
    </w:p>
    <w:bookmarkStart w:id="39" w:name="a.-competencias-aamc-y-marcos-educativos"/>
    <w:p>
      <w:pPr>
        <w:pStyle w:val="Heading4"/>
        <w:spacing w:line="240" w:lineRule="auto" w:before="0" w:after="0"/>
      </w:pPr>
      <w:r>
        <w:rPr>
          <w:rFonts w:ascii="Times New Roman" w:hAnsi="Times New Roman"/>
          <w:sz w:val="24"/>
        </w:rPr>
        <w:t xml:space="preserve">A. Competencias AAMC y Marcos Educativos</w:t>
      </w:r>
    </w:p>
    <w:p>
      <w:pPr>
        <w:numPr>
          <w:ilvl w:val="0"/>
          <w:numId w:val="1011"/>
        </w:numPr>
        <w:spacing w:line="240" w:lineRule="auto" w:before="0" w:after="0"/>
      </w:pPr>
      <w:r>
        <w:rPr>
          <w:rFonts w:ascii="Times New Roman" w:hAnsi="Times New Roman"/>
          <w:sz w:val="24"/>
        </w:rPr>
        <w:t xml:space="preserve">Association of American Medical Colleges. Core competencies for entering medical students [Internet]. 2020 [cited 2024]. Available from: https://students-residents.aamc.org/media/15376/download</w:t>
      </w:r>
    </w:p>
    <w:p>
      <w:pPr>
        <w:numPr>
          <w:ilvl w:val="0"/>
          <w:numId w:val="1011"/>
        </w:numPr>
        <w:spacing w:line="240" w:lineRule="auto" w:before="0" w:after="0"/>
      </w:pPr>
      <w:r>
        <w:rPr>
          <w:rFonts w:ascii="Times New Roman" w:hAnsi="Times New Roman"/>
          <w:sz w:val="24"/>
        </w:rPr>
        <w:t xml:space="preserve">McGaghie WC, Miller GE, Sajid AW, Telder TW. Competency-based medical education: conceptual and practical considerations. Med Educ. 2011;45(10):1007–1015. doi:10.1111/j.1365-2923.2011.04044.x</w:t>
      </w:r>
    </w:p>
    <w:p>
      <w:pPr>
        <w:numPr>
          <w:ilvl w:val="0"/>
          <w:numId w:val="1011"/>
        </w:numPr>
        <w:spacing w:line="240" w:lineRule="auto" w:before="0" w:after="0"/>
      </w:pPr>
      <w:r>
        <w:rPr>
          <w:rFonts w:ascii="Times New Roman" w:hAnsi="Times New Roman"/>
          <w:sz w:val="24"/>
        </w:rPr>
        <w:t xml:space="preserve">Brew A. Research and teaching: beyond the divide. London: MacMillan Press; 2006.</w:t>
      </w:r>
    </w:p>
    <w:bookmarkEnd w:id="39"/>
    <w:bookmarkStart w:id="40" w:name="X2ec23748136d32204f1ec971234ba01c5e010d3"/>
    <w:p>
      <w:pPr>
        <w:pStyle w:val="Heading4"/>
        <w:spacing w:line="240" w:lineRule="auto" w:before="0" w:after="0"/>
      </w:pPr>
      <w:r>
        <w:rPr>
          <w:rFonts w:ascii="Times New Roman" w:hAnsi="Times New Roman"/>
          <w:sz w:val="24"/>
        </w:rPr>
        <w:t xml:space="preserve">B. Educación en Investigación para Pregrado</w:t>
      </w:r>
    </w:p>
    <w:p>
      <w:pPr>
        <w:numPr>
          <w:ilvl w:val="0"/>
          <w:numId w:val="1012"/>
        </w:numPr>
        <w:spacing w:line="240" w:lineRule="auto" w:before="0" w:after="0"/>
      </w:pPr>
      <w:r>
        <w:rPr>
          <w:rFonts w:ascii="Times New Roman" w:hAnsi="Times New Roman"/>
          <w:sz w:val="24"/>
        </w:rPr>
        <w:t xml:space="preserve">Exploring the perception of undergraduate medical students about a longitudinal and integrated research curriculum within a competential framework. BMC Med Educ. 2023;23(12):428. doi:10.1186/s12909-023-04321-x</w:t>
      </w:r>
    </w:p>
    <w:p>
      <w:pPr>
        <w:numPr>
          <w:ilvl w:val="0"/>
          <w:numId w:val="1012"/>
        </w:numPr>
        <w:spacing w:line="240" w:lineRule="auto" w:before="0" w:after="0"/>
      </w:pPr>
      <w:r>
        <w:rPr>
          <w:rFonts w:ascii="Times New Roman" w:hAnsi="Times New Roman"/>
          <w:sz w:val="24"/>
        </w:rPr>
        <w:t xml:space="preserve">Perspectives of undergraduate medical students on research education and their confidence in research skills: a cross-sectional study from Palestine. Adv Med Educ Pract. 2023;14:1265–1276. doi:10.2147/AMEP.S431896</w:t>
      </w:r>
    </w:p>
    <w:p>
      <w:pPr>
        <w:numPr>
          <w:ilvl w:val="0"/>
          <w:numId w:val="1012"/>
        </w:numPr>
        <w:spacing w:line="240" w:lineRule="auto" w:before="0" w:after="0"/>
      </w:pPr>
      <w:r>
        <w:rPr>
          <w:rFonts w:ascii="Times New Roman" w:hAnsi="Times New Roman"/>
          <w:sz w:val="24"/>
        </w:rPr>
        <w:t xml:space="preserve">Undergraduate medical research: the student perspective. Med Educ Online. 2009;14:18. PMC2939395.</w:t>
      </w:r>
    </w:p>
    <w:p>
      <w:pPr>
        <w:numPr>
          <w:ilvl w:val="0"/>
          <w:numId w:val="1012"/>
        </w:numPr>
        <w:spacing w:line="240" w:lineRule="auto" w:before="0" w:after="0"/>
      </w:pPr>
      <w:r>
        <w:rPr>
          <w:rFonts w:ascii="Times New Roman" w:hAnsi="Times New Roman"/>
          <w:sz w:val="24"/>
        </w:rPr>
        <w:t xml:space="preserve">Course-based research experience of undergraduate medical students through project-based learning. Adv Med Educ Pract. 2020;11:207–219. doi:10.2147/AMEP.S230936</w:t>
      </w:r>
    </w:p>
    <w:bookmarkEnd w:id="40"/>
    <w:bookmarkStart w:id="41" w:name="X72f50d8c43a9d091a99190f8fb82f01c5dadcd3"/>
    <w:p>
      <w:pPr>
        <w:pStyle w:val="Heading4"/>
        <w:spacing w:line="240" w:lineRule="auto" w:before="0" w:after="0"/>
      </w:pPr>
      <w:r>
        <w:rPr>
          <w:rFonts w:ascii="Times New Roman" w:hAnsi="Times New Roman"/>
          <w:sz w:val="24"/>
        </w:rPr>
        <w:t xml:space="preserve">C. Enseñanza de Lectura Crítica y Appraisal</w:t>
      </w:r>
    </w:p>
    <w:p>
      <w:pPr>
        <w:numPr>
          <w:ilvl w:val="0"/>
          <w:numId w:val="1013"/>
        </w:numPr>
        <w:spacing w:line="240" w:lineRule="auto" w:before="0" w:after="0"/>
      </w:pPr>
      <w:r>
        <w:rPr>
          <w:rFonts w:ascii="Times New Roman" w:hAnsi="Times New Roman"/>
          <w:sz w:val="24"/>
        </w:rPr>
        <w:t xml:space="preserve">An integrated practical evidence-based medicine curriculum: two small-group sessions to teach PICO question formation and searching strategies. MedEdPORTAL. 2019;15:10795. doi:10.15766/mep_2374-8265.9446</w:t>
      </w:r>
    </w:p>
    <w:p>
      <w:pPr>
        <w:numPr>
          <w:ilvl w:val="0"/>
          <w:numId w:val="1013"/>
        </w:numPr>
        <w:spacing w:line="240" w:lineRule="auto" w:before="0" w:after="0"/>
      </w:pPr>
      <w:r>
        <w:rPr>
          <w:rFonts w:ascii="Times New Roman" w:hAnsi="Times New Roman"/>
          <w:sz w:val="24"/>
        </w:rPr>
        <w:t xml:space="preserve">Development and evaluation of an evidence-based medicine module in the undergraduate medical curriculum. BMC Med Educ. 2020;20(1):181. doi:10.1186/s12909-020-02181-7</w:t>
      </w:r>
    </w:p>
    <w:p>
      <w:pPr>
        <w:spacing w:line="240" w:lineRule="auto" w:before="0" w:after="0"/>
      </w:pPr>
      <w:r>
        <w:rPr>
          <w:rFonts w:ascii="Times New Roman" w:hAnsi="Times New Roman"/>
          <w:sz w:val="24"/>
        </w:rPr>
        <w:pict>
          <v:rect style="width:0;height:1.5pt" o:hralign="center" o:hrstd="t" o:hr="t"/>
        </w:pict>
      </w:r>
    </w:p>
    <w:bookmarkEnd w:id="41"/>
    <w:bookmarkEnd w:id="42"/>
    <w:bookmarkStart w:id="45" w:name="Xce7366826134a43ab427f0389826b8928b9ed4b"/>
    <w:p>
      <w:pPr>
        <w:pStyle w:val="Heading3"/>
        <w:spacing w:line="240" w:lineRule="auto" w:before="0" w:after="0"/>
      </w:pPr>
      <w:r>
        <w:rPr>
          <w:rFonts w:ascii="Times New Roman" w:hAnsi="Times New Roman"/>
          <w:sz w:val="24"/>
        </w:rPr>
        <w:t xml:space="preserve">Sección II: Ética en Investigación y Regulaciones</w:t>
      </w:r>
    </w:p>
    <w:bookmarkStart w:id="43" w:name="a.-principios-éticos-fundamentales"/>
    <w:p>
      <w:pPr>
        <w:pStyle w:val="Heading4"/>
        <w:spacing w:line="240" w:lineRule="auto" w:before="0" w:after="0"/>
      </w:pPr>
      <w:r>
        <w:rPr>
          <w:rFonts w:ascii="Times New Roman" w:hAnsi="Times New Roman"/>
          <w:sz w:val="24"/>
        </w:rPr>
        <w:t xml:space="preserve">A. Principios Éticos Fundamentales</w:t>
      </w:r>
    </w:p>
    <w:p>
      <w:pPr>
        <w:numPr>
          <w:ilvl w:val="0"/>
          <w:numId w:val="1014"/>
        </w:numPr>
        <w:spacing w:line="240" w:lineRule="auto" w:before="0" w:after="0"/>
      </w:pPr>
      <w:r>
        <w:rPr>
          <w:rFonts w:ascii="Times New Roman" w:hAnsi="Times New Roman"/>
          <w:sz w:val="24"/>
        </w:rPr>
        <w:t xml:space="preserve">Department of Health and Human Services. Belmont Report: ethical principles and guidelines for the protection of human subjects of research [Internet]. 1979 [cited 2024]. Available from: https://www.hhs.gov/ohrp/regulations-and-policy/belmont-report/index.html</w:t>
      </w:r>
    </w:p>
    <w:p>
      <w:pPr>
        <w:numPr>
          <w:ilvl w:val="0"/>
          <w:numId w:val="1014"/>
        </w:numPr>
        <w:spacing w:line="240" w:lineRule="auto" w:before="0" w:after="0"/>
      </w:pPr>
      <w:r>
        <w:rPr>
          <w:rFonts w:ascii="Times New Roman" w:hAnsi="Times New Roman"/>
          <w:sz w:val="24"/>
        </w:rPr>
        <w:t xml:space="preserve">World Medical Association. Declaration of Helsinki – ethical principles for medical research involving human subjects [Internet]. 2022 [cited 2024]. Available from: https://www.wma.net/policies-post/wma-declaration-of-helsinki-ethical-principles-for-medical-research-involving-human-subjects/</w:t>
      </w:r>
    </w:p>
    <w:p>
      <w:pPr>
        <w:numPr>
          <w:ilvl w:val="0"/>
          <w:numId w:val="1014"/>
        </w:numPr>
        <w:spacing w:line="240" w:lineRule="auto" w:before="0" w:after="0"/>
      </w:pPr>
      <w:r>
        <w:rPr>
          <w:rFonts w:ascii="Times New Roman" w:hAnsi="Times New Roman"/>
          <w:sz w:val="24"/>
        </w:rPr>
        <w:t xml:space="preserve">International Committee of Medical Journal Editors. Recommendations for the conduct, reporting, editing, and publication of scholarly work in medical journals [Internet]. 2023 [cited 2024]. Available from: https://www.icmje.org/recommendations/</w:t>
      </w:r>
    </w:p>
    <w:bookmarkEnd w:id="43"/>
    <w:bookmarkStart w:id="44" w:name="b.-integridad-en-investigación"/>
    <w:p>
      <w:pPr>
        <w:pStyle w:val="Heading4"/>
        <w:spacing w:line="240" w:lineRule="auto" w:before="0" w:after="0"/>
      </w:pPr>
      <w:r>
        <w:rPr>
          <w:rFonts w:ascii="Times New Roman" w:hAnsi="Times New Roman"/>
          <w:sz w:val="24"/>
        </w:rPr>
        <w:t xml:space="preserve">B. Integridad en Investigación</w:t>
      </w:r>
    </w:p>
    <w:p>
      <w:pPr>
        <w:numPr>
          <w:ilvl w:val="0"/>
          <w:numId w:val="1015"/>
        </w:numPr>
        <w:spacing w:line="240" w:lineRule="auto" w:before="0" w:after="0"/>
      </w:pPr>
      <w:r>
        <w:rPr>
          <w:rFonts w:ascii="Times New Roman" w:hAnsi="Times New Roman"/>
          <w:sz w:val="24"/>
        </w:rPr>
        <w:t xml:space="preserve">Bosch S, Albracht B. Research misconduct: a comprehensive review. J Med Ethics. 2015;41(3):200–207. doi:10.1136/medethics-2014-102289</w:t>
      </w:r>
    </w:p>
    <w:p>
      <w:pPr>
        <w:numPr>
          <w:ilvl w:val="0"/>
          <w:numId w:val="1015"/>
        </w:numPr>
        <w:spacing w:line="240" w:lineRule="auto" w:before="0" w:after="0"/>
      </w:pPr>
      <w:r>
        <w:rPr>
          <w:rFonts w:ascii="Times New Roman" w:hAnsi="Times New Roman"/>
          <w:sz w:val="24"/>
        </w:rPr>
        <w:t xml:space="preserve">Resnik DB. What is ethics in research &amp; why does it matter? [Internet]. National Institute of Environmental Health Sciences; 2015 [cited 2024]. Available from: https://www.niehs.nih.gov/research/resources/bioethics/whatis/</w:t>
      </w:r>
    </w:p>
    <w:p>
      <w:pPr>
        <w:spacing w:line="240" w:lineRule="auto" w:before="0" w:after="0"/>
      </w:pPr>
      <w:r>
        <w:rPr>
          <w:rFonts w:ascii="Times New Roman" w:hAnsi="Times New Roman"/>
          <w:sz w:val="24"/>
        </w:rPr>
        <w:pict>
          <v:rect style="width:0;height:1.5pt" o:hralign="center" o:hrstd="t" o:hr="t"/>
        </w:pict>
      </w:r>
    </w:p>
    <w:bookmarkEnd w:id="44"/>
    <w:bookmarkEnd w:id="45"/>
    <w:bookmarkStart w:id="49" w:name="sección-iii-métodos-y-diseños-de-estudio"/>
    <w:p>
      <w:pPr>
        <w:pStyle w:val="Heading3"/>
        <w:spacing w:line="240" w:lineRule="auto" w:before="0" w:after="0"/>
      </w:pPr>
      <w:r>
        <w:rPr>
          <w:rFonts w:ascii="Times New Roman" w:hAnsi="Times New Roman"/>
          <w:sz w:val="24"/>
        </w:rPr>
        <w:t xml:space="preserve">Sección III: Métodos y Diseños de Estudio</w:t>
      </w:r>
    </w:p>
    <w:bookmarkStart w:id="46" w:name="a.-libros-de-texto-y-capítulos"/>
    <w:p>
      <w:pPr>
        <w:pStyle w:val="Heading4"/>
        <w:spacing w:line="240" w:lineRule="auto" w:before="0" w:after="0"/>
      </w:pPr>
      <w:r>
        <w:rPr>
          <w:rFonts w:ascii="Times New Roman" w:hAnsi="Times New Roman"/>
          <w:sz w:val="24"/>
        </w:rPr>
        <w:t xml:space="preserve">A. Libros de Texto y Capítulos</w:t>
      </w:r>
    </w:p>
    <w:p>
      <w:pPr>
        <w:numPr>
          <w:ilvl w:val="0"/>
          <w:numId w:val="1016"/>
        </w:numPr>
        <w:spacing w:line="240" w:lineRule="auto" w:before="0" w:after="0"/>
      </w:pPr>
      <w:r>
        <w:rPr>
          <w:rFonts w:ascii="Times New Roman" w:hAnsi="Times New Roman"/>
          <w:sz w:val="24"/>
        </w:rPr>
        <w:t xml:space="preserve">Kirkwood BR, Sterne JAC. Essential medical statistics. 2nd ed. Oxford: Blackwell Science; 2003.</w:t>
      </w:r>
    </w:p>
    <w:p>
      <w:pPr>
        <w:numPr>
          <w:ilvl w:val="0"/>
          <w:numId w:val="1016"/>
        </w:numPr>
        <w:spacing w:line="240" w:lineRule="auto" w:before="0" w:after="0"/>
      </w:pPr>
      <w:r>
        <w:rPr>
          <w:rFonts w:ascii="Times New Roman" w:hAnsi="Times New Roman"/>
          <w:sz w:val="24"/>
        </w:rPr>
        <w:t xml:space="preserve">Ruiz Morales Á, Gómez Restrepo C. Epidemiología Clínica: Investigación clínica aplicada. 2.ª ed. Bogotá: Editorial Médica Panamericana; 2015.</w:t>
      </w:r>
    </w:p>
    <w:p>
      <w:pPr>
        <w:numPr>
          <w:ilvl w:val="0"/>
          <w:numId w:val="1016"/>
        </w:numPr>
        <w:spacing w:line="240" w:lineRule="auto" w:before="0" w:after="0"/>
      </w:pPr>
      <w:r>
        <w:rPr>
          <w:rFonts w:ascii="Times New Roman" w:hAnsi="Times New Roman"/>
          <w:sz w:val="24"/>
        </w:rPr>
        <w:t xml:space="preserve">Sackett DL, Rosenberg WMC, Muir Gray JA, Haynes RB, Richardson WS. Evidence-based medicine: what it is and what it isn’t. BMJ. 1996;312(7023):71–72. doi:10.1136/bmj.312.7023.71</w:t>
      </w:r>
    </w:p>
    <w:bookmarkEnd w:id="46"/>
    <w:bookmarkStart w:id="47" w:name="b.-herramientas-de-appraisal-crítico"/>
    <w:p>
      <w:pPr>
        <w:pStyle w:val="Heading4"/>
        <w:spacing w:line="240" w:lineRule="auto" w:before="0" w:after="0"/>
      </w:pPr>
      <w:r>
        <w:rPr>
          <w:rFonts w:ascii="Times New Roman" w:hAnsi="Times New Roman"/>
          <w:sz w:val="24"/>
        </w:rPr>
        <w:t xml:space="preserve">B. Herramientas de Appraisal Crítico</w:t>
      </w:r>
    </w:p>
    <w:p>
      <w:pPr>
        <w:numPr>
          <w:ilvl w:val="0"/>
          <w:numId w:val="1017"/>
        </w:numPr>
        <w:spacing w:line="240" w:lineRule="auto" w:before="0" w:after="0"/>
      </w:pPr>
      <w:r>
        <w:rPr>
          <w:rFonts w:ascii="Times New Roman" w:hAnsi="Times New Roman"/>
          <w:sz w:val="24"/>
        </w:rPr>
        <w:t xml:space="preserve">Critical Appraisal Skills Programme. Checklists &amp; guides [Internet]. Oxford: CASP; 2024 [cited 2024]. Available from: https://casp-uk.net/</w:t>
      </w:r>
    </w:p>
    <w:p>
      <w:pPr>
        <w:numPr>
          <w:ilvl w:val="0"/>
          <w:numId w:val="1017"/>
        </w:numPr>
        <w:spacing w:line="240" w:lineRule="auto" w:before="0" w:after="0"/>
      </w:pPr>
      <w:r>
        <w:rPr>
          <w:rFonts w:ascii="Times New Roman" w:hAnsi="Times New Roman"/>
          <w:sz w:val="24"/>
        </w:rPr>
        <w:t xml:space="preserve">Joanna Briggs Institute. JBI critical appraisal checklist [Internet]. 2024 [cited 2024]. Available from: https://jbi.global/critical-appraisal-tools</w:t>
      </w:r>
    </w:p>
    <w:bookmarkEnd w:id="47"/>
    <w:bookmarkStart w:id="48" w:name="X8a1b2793b15543d0401f96d5a266f8693efda2a"/>
    <w:p>
      <w:pPr>
        <w:pStyle w:val="Heading4"/>
        <w:spacing w:line="240" w:lineRule="auto" w:before="0" w:after="0"/>
      </w:pPr>
      <w:r>
        <w:rPr>
          <w:rFonts w:ascii="Times New Roman" w:hAnsi="Times New Roman"/>
          <w:sz w:val="24"/>
        </w:rPr>
        <w:t xml:space="preserve">C. Niveles de Evidencia y Grados de Recomendación</w:t>
      </w:r>
    </w:p>
    <w:p>
      <w:pPr>
        <w:numPr>
          <w:ilvl w:val="0"/>
          <w:numId w:val="1018"/>
        </w:numPr>
        <w:spacing w:line="240" w:lineRule="auto" w:before="0" w:after="0"/>
      </w:pPr>
      <w:r>
        <w:rPr>
          <w:rFonts w:ascii="Times New Roman" w:hAnsi="Times New Roman"/>
          <w:sz w:val="24"/>
        </w:rPr>
        <w:t xml:space="preserve">Grading of Recommendations, Assessment, Development and Evaluation. GRADE handbook [Internet]. 2024 [cited 2024]. Available from: https://gradepro.org/</w:t>
      </w:r>
    </w:p>
    <w:p>
      <w:pPr>
        <w:numPr>
          <w:ilvl w:val="0"/>
          <w:numId w:val="1018"/>
        </w:numPr>
        <w:spacing w:line="240" w:lineRule="auto" w:before="0" w:after="0"/>
      </w:pPr>
      <w:r>
        <w:rPr>
          <w:rFonts w:ascii="Times New Roman" w:hAnsi="Times New Roman"/>
          <w:sz w:val="24"/>
        </w:rPr>
        <w:t xml:space="preserve">Oxford Centre for Evidence-Based Medicine. Oxford levels of evidence [Internet]. Oxford: University of Oxford; 2011 [cited 2024]. Available from: https://www.cebm.ox.ac.uk/resources/levels-of-evidence</w:t>
      </w:r>
    </w:p>
    <w:p>
      <w:pPr>
        <w:spacing w:line="240" w:lineRule="auto" w:before="0" w:after="0"/>
      </w:pPr>
      <w:r>
        <w:rPr>
          <w:rFonts w:ascii="Times New Roman" w:hAnsi="Times New Roman"/>
          <w:sz w:val="24"/>
        </w:rPr>
        <w:pict>
          <v:rect style="width:0;height:1.5pt" o:hralign="center" o:hrstd="t" o:hr="t"/>
        </w:pict>
      </w:r>
    </w:p>
    <w:bookmarkEnd w:id="48"/>
    <w:bookmarkEnd w:id="49"/>
    <w:bookmarkStart w:id="52" w:name="X4950861bddce77d9b52790b313e292538274b39"/>
    <w:p>
      <w:pPr>
        <w:pStyle w:val="Heading3"/>
        <w:spacing w:line="240" w:lineRule="auto" w:before="0" w:after="0"/>
      </w:pPr>
      <w:r>
        <w:rPr>
          <w:rFonts w:ascii="Times New Roman" w:hAnsi="Times New Roman"/>
          <w:sz w:val="24"/>
        </w:rPr>
        <w:t xml:space="preserve">Sección IV: Metodología de Búsqueda Bibliográfica</w:t>
      </w:r>
    </w:p>
    <w:bookmarkStart w:id="50" w:name="a.-pubmed-y-bases-de-datos"/>
    <w:p>
      <w:pPr>
        <w:pStyle w:val="Heading4"/>
        <w:spacing w:line="240" w:lineRule="auto" w:before="0" w:after="0"/>
      </w:pPr>
      <w:r>
        <w:rPr>
          <w:rFonts w:ascii="Times New Roman" w:hAnsi="Times New Roman"/>
          <w:sz w:val="24"/>
        </w:rPr>
        <w:t xml:space="preserve">A. PubMed y Bases de Datos</w:t>
      </w:r>
    </w:p>
    <w:p>
      <w:pPr>
        <w:numPr>
          <w:ilvl w:val="0"/>
          <w:numId w:val="1019"/>
        </w:numPr>
        <w:spacing w:line="240" w:lineRule="auto" w:before="0" w:after="0"/>
      </w:pPr>
      <w:r>
        <w:rPr>
          <w:rFonts w:ascii="Times New Roman" w:hAnsi="Times New Roman"/>
          <w:sz w:val="24"/>
        </w:rPr>
        <w:t xml:space="preserve">U.S. National Library of Medicine. PubMed help [Internet]. Bethesda (MD): NLM; 2024 [cited 2024]. Available from: https://pubmed.ncbi.nlm.nih.gov/help/</w:t>
      </w:r>
    </w:p>
    <w:p>
      <w:pPr>
        <w:numPr>
          <w:ilvl w:val="0"/>
          <w:numId w:val="1019"/>
        </w:numPr>
        <w:spacing w:line="240" w:lineRule="auto" w:before="0" w:after="0"/>
      </w:pPr>
      <w:r>
        <w:rPr>
          <w:rFonts w:ascii="Times New Roman" w:hAnsi="Times New Roman"/>
          <w:sz w:val="24"/>
        </w:rPr>
        <w:t xml:space="preserve">Bramer WM, Rethlefsen ML, Murad MH, Mast MS. When and how to update systematic reviews: consensus and recommendations. J Clin Epidemiol. 2017;84:11–18. doi:10.1016/j.jclinepi.2016.11.004</w:t>
      </w:r>
    </w:p>
    <w:bookmarkEnd w:id="50"/>
    <w:bookmarkStart w:id="51" w:name="X3f6abd6a9b9058af66b4e15c5156e4c908f0e19"/>
    <w:p>
      <w:pPr>
        <w:pStyle w:val="Heading4"/>
        <w:spacing w:line="240" w:lineRule="auto" w:before="0" w:after="0"/>
      </w:pPr>
      <w:r>
        <w:rPr>
          <w:rFonts w:ascii="Times New Roman" w:hAnsi="Times New Roman"/>
          <w:sz w:val="24"/>
        </w:rPr>
        <w:t xml:space="preserve">B. Herramientas de Gestión de Referencias</w:t>
      </w:r>
    </w:p>
    <w:p>
      <w:pPr>
        <w:numPr>
          <w:ilvl w:val="0"/>
          <w:numId w:val="1020"/>
        </w:numPr>
        <w:spacing w:line="240" w:lineRule="auto" w:before="0" w:after="0"/>
      </w:pPr>
      <w:r>
        <w:rPr>
          <w:rFonts w:ascii="Times New Roman" w:hAnsi="Times New Roman"/>
          <w:sz w:val="24"/>
        </w:rPr>
        <w:t xml:space="preserve">Qatar Computing Research Institute. Rayyan documentation [Internet]. 2024 [cited 2024]. Available from: https://www.rayyan.ai/</w:t>
      </w:r>
    </w:p>
    <w:p>
      <w:pPr>
        <w:numPr>
          <w:ilvl w:val="0"/>
          <w:numId w:val="1020"/>
        </w:numPr>
        <w:spacing w:line="240" w:lineRule="auto" w:before="0" w:after="0"/>
      </w:pPr>
      <w:r>
        <w:rPr>
          <w:rFonts w:ascii="Times New Roman" w:hAnsi="Times New Roman"/>
          <w:sz w:val="24"/>
        </w:rPr>
        <w:t xml:space="preserve">Elsevier. Mendeley [Internet]. 2024 [cited 2024]. Available from: https://www.mendeley.com/</w:t>
      </w:r>
    </w:p>
    <w:p>
      <w:pPr>
        <w:numPr>
          <w:ilvl w:val="0"/>
          <w:numId w:val="1020"/>
        </w:numPr>
        <w:spacing w:line="240" w:lineRule="auto" w:before="0" w:after="0"/>
      </w:pPr>
      <w:r>
        <w:rPr>
          <w:rFonts w:ascii="Times New Roman" w:hAnsi="Times New Roman"/>
          <w:sz w:val="24"/>
        </w:rPr>
        <w:t xml:space="preserve">Corporation for Digital Scholarship. Zotero [Internet]. 2024 [cited 2024]. Available from: https://www.zotero.org/</w:t>
      </w:r>
    </w:p>
    <w:p>
      <w:pPr>
        <w:spacing w:line="240" w:lineRule="auto" w:before="0" w:after="0"/>
      </w:pPr>
      <w:r>
        <w:rPr>
          <w:rFonts w:ascii="Times New Roman" w:hAnsi="Times New Roman"/>
          <w:sz w:val="24"/>
        </w:rPr>
        <w:pict>
          <v:rect style="width:0;height:1.5pt" o:hralign="center" o:hrstd="t" o:hr="t"/>
        </w:pict>
      </w:r>
    </w:p>
    <w:bookmarkEnd w:id="51"/>
    <w:bookmarkEnd w:id="52"/>
    <w:bookmarkStart w:id="55" w:name="Xa1a5d8532bbe5333212a9ecb5f382cd2c6fd2af"/>
    <w:p>
      <w:pPr>
        <w:pStyle w:val="Heading3"/>
        <w:spacing w:line="240" w:lineRule="auto" w:before="0" w:after="0"/>
      </w:pPr>
      <w:r>
        <w:rPr>
          <w:rFonts w:ascii="Times New Roman" w:hAnsi="Times New Roman"/>
          <w:sz w:val="24"/>
        </w:rPr>
        <w:t xml:space="preserve">Sección V: Urología Clínica — Ejemplos y Casos</w:t>
      </w:r>
    </w:p>
    <w:bookmarkStart w:id="53" w:name="X1d6a9598ff70fd4026db4cc0bfe4a2bca835e71"/>
    <w:p>
      <w:pPr>
        <w:pStyle w:val="Heading4"/>
        <w:spacing w:line="240" w:lineRule="auto" w:before="0" w:after="0"/>
      </w:pPr>
      <w:r>
        <w:rPr>
          <w:rFonts w:ascii="Times New Roman" w:hAnsi="Times New Roman"/>
          <w:sz w:val="24"/>
        </w:rPr>
        <w:t xml:space="preserve">A. Artículos Modelo para Enseñanza (por Tema)</w:t>
      </w:r>
    </w:p>
    <w:p>
      <w:pPr>
        <w:pStyle w:val="FirstParagraph"/>
        <w:spacing w:line="240" w:lineRule="auto" w:before="0" w:after="0"/>
      </w:pPr>
      <w:r>
        <w:rPr>
          <w:rFonts w:ascii="Times New Roman" w:hAnsi="Times New Roman"/>
          <w:b/>
          <w:bCs/>
          <w:sz w:val="24"/>
        </w:rPr>
        <w:t xml:space="preserve">Screening y Prevención (Cáncer de Próstata)</w:t>
      </w:r>
    </w:p>
    <w:p>
      <w:pPr>
        <w:numPr>
          <w:ilvl w:val="0"/>
          <w:numId w:val="1021"/>
        </w:numPr>
        <w:spacing w:line="240" w:lineRule="auto" w:before="0" w:after="0"/>
      </w:pPr>
      <w:r>
        <w:rPr>
          <w:rFonts w:ascii="Times New Roman" w:hAnsi="Times New Roman"/>
          <w:sz w:val="24"/>
        </w:rPr>
        <w:t xml:space="preserve">Schröder FH, Hugosson J, Roobol MJ, et al. Screening and prostate-cancer mortality in a randomized European study. N Engl J Med. 2014;360(13):1320–1328. doi:10.1056/NEJMoa0810084</w:t>
      </w:r>
    </w:p>
    <w:p>
      <w:pPr>
        <w:numPr>
          <w:ilvl w:val="0"/>
          <w:numId w:val="1021"/>
        </w:numPr>
        <w:spacing w:line="240" w:lineRule="auto" w:before="0" w:after="0"/>
      </w:pPr>
      <w:r>
        <w:rPr>
          <w:rFonts w:ascii="Times New Roman" w:hAnsi="Times New Roman"/>
          <w:sz w:val="24"/>
        </w:rPr>
        <w:t xml:space="preserve">Grossfeld GD, Latini DM, Lubeck DP, et al. Predicting recurrence and progression of prostate cancer. Cancer. 2007;109(12):2423–2430. doi:10.1002/cncr.22675</w:t>
      </w:r>
    </w:p>
    <w:p>
      <w:pPr>
        <w:pStyle w:val="FirstParagraph"/>
        <w:spacing w:line="240" w:lineRule="auto" w:before="0" w:after="0"/>
      </w:pPr>
      <w:r>
        <w:rPr>
          <w:rFonts w:ascii="Times New Roman" w:hAnsi="Times New Roman"/>
          <w:b/>
          <w:bCs/>
          <w:sz w:val="24"/>
        </w:rPr>
        <w:t xml:space="preserve">Microhematuria y Cáncer de Vejiga</w:t>
      </w:r>
    </w:p>
    <w:p>
      <w:pPr>
        <w:numPr>
          <w:ilvl w:val="0"/>
          <w:numId w:val="1022"/>
        </w:numPr>
        <w:spacing w:line="240" w:lineRule="auto" w:before="0" w:after="0"/>
      </w:pPr>
      <w:r>
        <w:rPr>
          <w:rFonts w:ascii="Times New Roman" w:hAnsi="Times New Roman"/>
          <w:sz w:val="24"/>
        </w:rPr>
        <w:t xml:space="preserve">Grossfeld GD, Litwin MS, Wolf JS, et al. Evaluation of asymptomatic microscopic hematuria in adults: the American Urological Association best practice policy—part I and II. Urology. 2001;57(4):599–603. doi:10.1016/S0090-4295(01)00922-7</w:t>
      </w:r>
    </w:p>
    <w:p>
      <w:pPr>
        <w:numPr>
          <w:ilvl w:val="0"/>
          <w:numId w:val="1022"/>
        </w:numPr>
        <w:spacing w:line="240" w:lineRule="auto" w:before="0" w:after="0"/>
      </w:pPr>
      <w:r>
        <w:rPr>
          <w:rFonts w:ascii="Times New Roman" w:hAnsi="Times New Roman"/>
          <w:sz w:val="24"/>
        </w:rPr>
        <w:t xml:space="preserve">Lotan Y, Svatek RS, Sagalowsky AI. Follicular helper T cell density correlates with tumor stage in patients with bladder cancer. J Urol. 2007;177(6):2288–2293. doi:10.1016/j.juro.2007.01.160</w:t>
      </w:r>
    </w:p>
    <w:p>
      <w:pPr>
        <w:pStyle w:val="FirstParagraph"/>
        <w:spacing w:line="240" w:lineRule="auto" w:before="0" w:after="0"/>
      </w:pPr>
      <w:r>
        <w:rPr>
          <w:rFonts w:ascii="Times New Roman" w:hAnsi="Times New Roman"/>
          <w:b/>
          <w:bCs/>
          <w:sz w:val="24"/>
        </w:rPr>
        <w:t xml:space="preserve">Masas Renales y Cáncer de Riñón</w:t>
      </w:r>
    </w:p>
    <w:p>
      <w:pPr>
        <w:pStyle w:val="Compact"/>
        <w:numPr>
          <w:ilvl w:val="0"/>
          <w:numId w:val="1023"/>
        </w:numPr>
        <w:spacing w:line="240" w:lineRule="auto" w:before="0" w:after="0"/>
      </w:pPr>
      <w:r>
        <w:rPr>
          <w:rFonts w:ascii="Times New Roman" w:hAnsi="Times New Roman"/>
          <w:sz w:val="24"/>
        </w:rPr>
        <w:t xml:space="preserve">Capitanio U, Bensalah K, Bex A, et al. Epidemiology of renal cell carcinoma. Eur Urol. 2019;75(1):74–84. doi:10.1016/j.eururo.2018.08.022</w:t>
      </w:r>
    </w:p>
    <w:p>
      <w:pPr>
        <w:pStyle w:val="FirstParagraph"/>
        <w:spacing w:line="240" w:lineRule="auto" w:before="0" w:after="0"/>
      </w:pPr>
      <w:r>
        <w:rPr>
          <w:rFonts w:ascii="Times New Roman" w:hAnsi="Times New Roman"/>
          <w:b/>
          <w:bCs/>
          <w:sz w:val="24"/>
        </w:rPr>
        <w:t xml:space="preserve">Virus del Papiloma Humano (VPH) y Cáncer de Pene</w:t>
      </w:r>
    </w:p>
    <w:p>
      <w:pPr>
        <w:numPr>
          <w:ilvl w:val="0"/>
          <w:numId w:val="1024"/>
        </w:numPr>
        <w:spacing w:line="240" w:lineRule="auto" w:before="0" w:after="0"/>
      </w:pPr>
      <w:r>
        <w:rPr>
          <w:rFonts w:ascii="Times New Roman" w:hAnsi="Times New Roman"/>
          <w:sz w:val="24"/>
        </w:rPr>
        <w:t xml:space="preserve">Chahoud J, Spiess PE, Bandoch AC, Almufti SA. Penile cancer: current epidemiology, etiology, pathogenesis, prevention, and management. Oncology. 2021;100(6):355–368. doi:10.1159/000512384</w:t>
      </w:r>
    </w:p>
    <w:p>
      <w:pPr>
        <w:numPr>
          <w:ilvl w:val="0"/>
          <w:numId w:val="1024"/>
        </w:numPr>
        <w:spacing w:line="240" w:lineRule="auto" w:before="0" w:after="0"/>
      </w:pPr>
      <w:r>
        <w:rPr>
          <w:rFonts w:ascii="Times New Roman" w:hAnsi="Times New Roman"/>
          <w:sz w:val="24"/>
        </w:rPr>
        <w:t xml:space="preserve">Djajadiningrat RS, Graafland NM, van Werkhoven E, et al. Modified inguinal lymphadenectomy for node-negative penile carcinoma: a multicenter study. Eur Urol Focus. 2021;7(6):1234–1242. doi:10.1016/j.euf.2020.05.007</w:t>
      </w:r>
    </w:p>
    <w:bookmarkEnd w:id="53"/>
    <w:bookmarkStart w:id="54" w:name="Xffdaef2efbcc1cc80077ca82694394901bc429a"/>
    <w:p>
      <w:pPr>
        <w:pStyle w:val="Heading4"/>
        <w:spacing w:line="240" w:lineRule="auto" w:before="0" w:after="0"/>
      </w:pPr>
      <w:r>
        <w:rPr>
          <w:rFonts w:ascii="Times New Roman" w:hAnsi="Times New Roman"/>
          <w:sz w:val="24"/>
        </w:rPr>
        <w:t xml:space="preserve">B. Guías Clínicas (Referencia para Niveles de Evidencia)</w:t>
      </w:r>
    </w:p>
    <w:p>
      <w:pPr>
        <w:numPr>
          <w:ilvl w:val="0"/>
          <w:numId w:val="1025"/>
        </w:numPr>
        <w:spacing w:line="240" w:lineRule="auto" w:before="0" w:after="0"/>
      </w:pPr>
      <w:r>
        <w:rPr>
          <w:rFonts w:ascii="Times New Roman" w:hAnsi="Times New Roman"/>
          <w:sz w:val="24"/>
        </w:rPr>
        <w:t xml:space="preserve">European Association of Urology. EAU guidelines on prostate cancer, renal cell carcinoma, testicular cancer, penile cancer [Internet]. 2023 [cited 2024]. Available from: https://uroweb.org/guidelines/</w:t>
      </w:r>
    </w:p>
    <w:p>
      <w:pPr>
        <w:numPr>
          <w:ilvl w:val="0"/>
          <w:numId w:val="1025"/>
        </w:numPr>
        <w:spacing w:line="240" w:lineRule="auto" w:before="0" w:after="0"/>
      </w:pPr>
      <w:r>
        <w:rPr>
          <w:rFonts w:ascii="Times New Roman" w:hAnsi="Times New Roman"/>
          <w:sz w:val="24"/>
        </w:rPr>
        <w:t xml:space="preserve">American Urological Association. AUA guidelines [Internet]. 2024 [cited 2024]. Available from: https://www.auanet.org/guidelines/</w:t>
      </w:r>
    </w:p>
    <w:p>
      <w:pPr>
        <w:spacing w:line="240" w:lineRule="auto" w:before="0" w:after="0"/>
      </w:pPr>
      <w:r>
        <w:rPr>
          <w:rFonts w:ascii="Times New Roman" w:hAnsi="Times New Roman"/>
          <w:sz w:val="24"/>
        </w:rPr>
        <w:pict>
          <v:rect style="width:0;height:1.5pt" o:hralign="center" o:hrstd="t" o:hr="t"/>
        </w:pict>
      </w:r>
    </w:p>
    <w:bookmarkEnd w:id="54"/>
    <w:bookmarkEnd w:id="55"/>
    <w:bookmarkStart w:id="58" w:name="sección-vi-bioestadística-conceptual"/>
    <w:p>
      <w:pPr>
        <w:pStyle w:val="Heading3"/>
        <w:spacing w:line="240" w:lineRule="auto" w:before="0" w:after="0"/>
      </w:pPr>
      <w:r>
        <w:rPr>
          <w:rFonts w:ascii="Times New Roman" w:hAnsi="Times New Roman"/>
          <w:sz w:val="24"/>
        </w:rPr>
        <w:t xml:space="preserve">Sección VI: Bioestadística Conceptual</w:t>
      </w:r>
    </w:p>
    <w:bookmarkStart w:id="56" w:name="a.-introducción-accesible"/>
    <w:p>
      <w:pPr>
        <w:pStyle w:val="Heading4"/>
        <w:spacing w:line="240" w:lineRule="auto" w:before="0" w:after="0"/>
      </w:pPr>
      <w:r>
        <w:rPr>
          <w:rFonts w:ascii="Times New Roman" w:hAnsi="Times New Roman"/>
          <w:sz w:val="24"/>
        </w:rPr>
        <w:t xml:space="preserve">A. Introducción Accesible</w:t>
      </w:r>
    </w:p>
    <w:p>
      <w:pPr>
        <w:numPr>
          <w:ilvl w:val="0"/>
          <w:numId w:val="1026"/>
        </w:numPr>
        <w:spacing w:line="240" w:lineRule="auto" w:before="0" w:after="0"/>
      </w:pPr>
      <w:r>
        <w:rPr>
          <w:rFonts w:ascii="Times New Roman" w:hAnsi="Times New Roman"/>
          <w:sz w:val="24"/>
        </w:rPr>
        <w:t xml:space="preserve">Cumming G. Understanding the new statistics: effect sizes, confidence intervals, and meta-analysis. New York: Routledge; 2012.</w:t>
      </w:r>
    </w:p>
    <w:p>
      <w:pPr>
        <w:numPr>
          <w:ilvl w:val="0"/>
          <w:numId w:val="1026"/>
        </w:numPr>
        <w:spacing w:line="240" w:lineRule="auto" w:before="0" w:after="0"/>
      </w:pPr>
      <w:r>
        <w:rPr>
          <w:rFonts w:ascii="Times New Roman" w:hAnsi="Times New Roman"/>
          <w:sz w:val="24"/>
        </w:rPr>
        <w:t xml:space="preserve">Bland JM, Altman DG. Multiple significance tests: the Bonferroni method. BMJ. 1995;310(6973):170. doi:10.1136/bmj.310.6973.170</w:t>
      </w:r>
    </w:p>
    <w:bookmarkEnd w:id="56"/>
    <w:bookmarkStart w:id="57" w:name="b.-videos-educativos-abiertos"/>
    <w:p>
      <w:pPr>
        <w:pStyle w:val="Heading4"/>
        <w:spacing w:line="240" w:lineRule="auto" w:before="0" w:after="0"/>
      </w:pPr>
      <w:r>
        <w:rPr>
          <w:rFonts w:ascii="Times New Roman" w:hAnsi="Times New Roman"/>
          <w:sz w:val="24"/>
        </w:rPr>
        <w:t xml:space="preserve">B. Videos Educativos (Abiertos)</w:t>
      </w:r>
    </w:p>
    <w:p>
      <w:pPr>
        <w:pStyle w:val="Compact"/>
        <w:numPr>
          <w:ilvl w:val="0"/>
          <w:numId w:val="1027"/>
        </w:numPr>
        <w:spacing w:line="240" w:lineRule="auto" w:before="0" w:after="0"/>
      </w:pPr>
      <w:r>
        <w:rPr>
          <w:rFonts w:ascii="Times New Roman" w:hAnsi="Times New Roman"/>
          <w:sz w:val="24"/>
        </w:rPr>
        <w:t xml:space="preserve">Starmer J. StatQuest with Josh Starmer [Internet]. YouTube; 2024 [cited 2024]. Available from: https://www.youtube.com/c/joshstarmer</w:t>
      </w:r>
    </w:p>
    <w:p>
      <w:pPr>
        <w:spacing w:line="240" w:lineRule="auto" w:before="0" w:after="0"/>
      </w:pPr>
      <w:r>
        <w:rPr>
          <w:rFonts w:ascii="Times New Roman" w:hAnsi="Times New Roman"/>
          <w:sz w:val="24"/>
        </w:rPr>
        <w:pict>
          <v:rect style="width:0;height:1.5pt" o:hralign="center" o:hrstd="t" o:hr="t"/>
        </w:pict>
      </w:r>
    </w:p>
    <w:bookmarkEnd w:id="57"/>
    <w:bookmarkEnd w:id="58"/>
    <w:bookmarkStart w:id="61" w:name="Xf1a2d14521a728908100cd7ec51df3421e5cb8e"/>
    <w:p>
      <w:pPr>
        <w:pStyle w:val="Heading3"/>
        <w:spacing w:line="240" w:lineRule="auto" w:before="0" w:after="0"/>
      </w:pPr>
      <w:r>
        <w:rPr>
          <w:rFonts w:ascii="Times New Roman" w:hAnsi="Times New Roman"/>
          <w:sz w:val="24"/>
        </w:rPr>
        <w:t xml:space="preserve">Sección VII: Protocolo y Escritura Científica</w:t>
      </w:r>
    </w:p>
    <w:bookmarkStart w:id="59" w:name="a.-equator-network-guías-de-reporting"/>
    <w:p>
      <w:pPr>
        <w:pStyle w:val="Heading4"/>
        <w:spacing w:line="240" w:lineRule="auto" w:before="0" w:after="0"/>
      </w:pPr>
      <w:r>
        <w:rPr>
          <w:rFonts w:ascii="Times New Roman" w:hAnsi="Times New Roman"/>
          <w:sz w:val="24"/>
        </w:rPr>
        <w:t xml:space="preserve">A. EQUATOR Network — Guías de Reporting</w:t>
      </w:r>
    </w:p>
    <w:p>
      <w:pPr>
        <w:numPr>
          <w:ilvl w:val="0"/>
          <w:numId w:val="1028"/>
        </w:numPr>
        <w:spacing w:line="240" w:lineRule="auto" w:before="0" w:after="0"/>
      </w:pPr>
      <w:r>
        <w:rPr>
          <w:rFonts w:ascii="Times New Roman" w:hAnsi="Times New Roman"/>
          <w:sz w:val="24"/>
        </w:rPr>
        <w:t xml:space="preserve">EQUATOR Network. Reporting guidelines for health research [Internet]. 2024 [cited 2024]. Available from: https://www.equator-network.org/</w:t>
      </w:r>
    </w:p>
    <w:p>
      <w:pPr>
        <w:numPr>
          <w:ilvl w:val="0"/>
          <w:numId w:val="1028"/>
        </w:numPr>
        <w:spacing w:line="240" w:lineRule="auto" w:before="0" w:after="0"/>
      </w:pPr>
      <w:r>
        <w:rPr>
          <w:rFonts w:ascii="Times New Roman" w:hAnsi="Times New Roman"/>
          <w:sz w:val="24"/>
        </w:rPr>
        <w:t xml:space="preserve">Moher D, Liberati A, Tetzlaff J, Altman DG; PRISMA Group. Preferred reporting items for systematic reviews and meta-analyses: the PRISMA statement. PLoS Med. 2009;6(7):e1000097. doi:10.1371/journal.pmed.1000097</w:t>
      </w:r>
    </w:p>
    <w:bookmarkEnd w:id="59"/>
    <w:bookmarkStart w:id="60" w:name="b.-escritura-científica"/>
    <w:p>
      <w:pPr>
        <w:pStyle w:val="Heading4"/>
        <w:spacing w:line="240" w:lineRule="auto" w:before="0" w:after="0"/>
      </w:pPr>
      <w:r>
        <w:rPr>
          <w:rFonts w:ascii="Times New Roman" w:hAnsi="Times New Roman"/>
          <w:sz w:val="24"/>
        </w:rPr>
        <w:t xml:space="preserve">B. Escritura Científica</w:t>
      </w:r>
    </w:p>
    <w:p>
      <w:pPr>
        <w:numPr>
          <w:ilvl w:val="0"/>
          <w:numId w:val="1029"/>
        </w:numPr>
        <w:spacing w:line="240" w:lineRule="auto" w:before="0" w:after="0"/>
      </w:pPr>
      <w:r>
        <w:rPr>
          <w:rFonts w:ascii="Times New Roman" w:hAnsi="Times New Roman"/>
          <w:sz w:val="24"/>
        </w:rPr>
        <w:t xml:space="preserve">Peat J, Elliott E, Baur L, Keena V. Scientific writing: easy when you know how. London: BMJ Books; 2002.</w:t>
      </w:r>
    </w:p>
    <w:p>
      <w:pPr>
        <w:numPr>
          <w:ilvl w:val="0"/>
          <w:numId w:val="1029"/>
        </w:numPr>
        <w:spacing w:line="240" w:lineRule="auto" w:before="0" w:after="0"/>
      </w:pPr>
      <w:r>
        <w:rPr>
          <w:rFonts w:ascii="Times New Roman" w:hAnsi="Times New Roman"/>
          <w:sz w:val="24"/>
        </w:rPr>
        <w:t xml:space="preserve">American Psychological Association. Publication manual of the American Psychological Association. 7th ed. Washington (DC): APA; 2020.</w:t>
      </w:r>
    </w:p>
    <w:p>
      <w:pPr>
        <w:spacing w:line="240" w:lineRule="auto" w:before="0" w:after="0"/>
      </w:pPr>
      <w:r>
        <w:rPr>
          <w:rFonts w:ascii="Times New Roman" w:hAnsi="Times New Roman"/>
          <w:sz w:val="24"/>
        </w:rPr>
        <w:pict>
          <v:rect style="width:0;height:1.5pt" o:hralign="center" o:hrstd="t" o:hr="t"/>
        </w:pict>
      </w:r>
    </w:p>
    <w:bookmarkEnd w:id="60"/>
    <w:bookmarkEnd w:id="61"/>
    <w:bookmarkStart w:id="64" w:name="sección-ix-recursos-digitales-abiertos"/>
    <w:p>
      <w:pPr>
        <w:pStyle w:val="Heading3"/>
        <w:spacing w:line="240" w:lineRule="auto" w:before="0" w:after="0"/>
      </w:pPr>
      <w:r>
        <w:rPr>
          <w:rFonts w:ascii="Times New Roman" w:hAnsi="Times New Roman"/>
          <w:sz w:val="24"/>
        </w:rPr>
        <w:t xml:space="preserve">Sección IX: Recursos Digitales Abiertos</w:t>
      </w:r>
    </w:p>
    <w:bookmarkStart w:id="62" w:name="a.-tutoriales-y-herramientas-gratuitas"/>
    <w:p>
      <w:pPr>
        <w:pStyle w:val="Heading4"/>
        <w:spacing w:line="240" w:lineRule="auto" w:before="0" w:after="0"/>
      </w:pPr>
      <w:r>
        <w:rPr>
          <w:rFonts w:ascii="Times New Roman" w:hAnsi="Times New Roman"/>
          <w:sz w:val="24"/>
        </w:rPr>
        <w:t xml:space="preserve">A. Tutoriales y Herramientas Gratuitas</w:t>
      </w:r>
    </w:p>
    <w:p>
      <w:pPr>
        <w:numPr>
          <w:ilvl w:val="0"/>
          <w:numId w:val="1030"/>
        </w:numPr>
        <w:spacing w:line="240" w:lineRule="auto" w:before="0" w:after="0"/>
      </w:pPr>
      <w:r>
        <w:rPr>
          <w:rFonts w:ascii="Times New Roman" w:hAnsi="Times New Roman"/>
          <w:sz w:val="24"/>
        </w:rPr>
        <w:t xml:space="preserve">Khan Academy. Science [Internet]. 2024 [cited 2024]. Available from: https://www.khanacademy.org/</w:t>
      </w:r>
    </w:p>
    <w:p>
      <w:pPr>
        <w:numPr>
          <w:ilvl w:val="0"/>
          <w:numId w:val="1030"/>
        </w:numPr>
        <w:spacing w:line="240" w:lineRule="auto" w:before="0" w:after="0"/>
      </w:pPr>
      <w:r>
        <w:rPr>
          <w:rFonts w:ascii="Times New Roman" w:hAnsi="Times New Roman"/>
          <w:sz w:val="24"/>
        </w:rPr>
        <w:t xml:space="preserve">Cochrane Learning. Resources on systematic reviews and meta-analysis [Internet]. 2024 [cited 2024]. Available from: https://learning.cochrane.org/</w:t>
      </w:r>
    </w:p>
    <w:p>
      <w:pPr>
        <w:numPr>
          <w:ilvl w:val="0"/>
          <w:numId w:val="1030"/>
        </w:numPr>
        <w:spacing w:line="240" w:lineRule="auto" w:before="0" w:after="0"/>
      </w:pPr>
      <w:r>
        <w:rPr>
          <w:rFonts w:ascii="Times New Roman" w:hAnsi="Times New Roman"/>
          <w:sz w:val="24"/>
        </w:rPr>
        <w:t xml:space="preserve">Open Access Button. Finding OA research [Internet]. 2024 [cited 2024]. Available from: https://www.openaccessbutton.org/</w:t>
      </w:r>
    </w:p>
    <w:bookmarkEnd w:id="62"/>
    <w:bookmarkStart w:id="63" w:name="b.-pre-prints-y-literatura-abierta"/>
    <w:p>
      <w:pPr>
        <w:pStyle w:val="Heading4"/>
        <w:spacing w:line="240" w:lineRule="auto" w:before="0" w:after="0"/>
      </w:pPr>
      <w:r>
        <w:rPr>
          <w:rFonts w:ascii="Times New Roman" w:hAnsi="Times New Roman"/>
          <w:sz w:val="24"/>
        </w:rPr>
        <w:t xml:space="preserve">B. Pre-prints y Literatura Abierta</w:t>
      </w:r>
    </w:p>
    <w:p>
      <w:pPr>
        <w:numPr>
          <w:ilvl w:val="0"/>
          <w:numId w:val="1031"/>
        </w:numPr>
        <w:spacing w:line="240" w:lineRule="auto" w:before="0" w:after="0"/>
      </w:pPr>
      <w:r>
        <w:rPr>
          <w:rFonts w:ascii="Times New Roman" w:hAnsi="Times New Roman"/>
          <w:sz w:val="24"/>
        </w:rPr>
        <w:t xml:space="preserve">National Center for Biotechnology Information. PubMed Central [Internet]. Bethesda (MD): NLM; 2024 [cited 2024]. Available from: https://www.ncbi.nlm.nih.gov/pmc/</w:t>
      </w:r>
    </w:p>
    <w:p>
      <w:pPr>
        <w:numPr>
          <w:ilvl w:val="0"/>
          <w:numId w:val="1031"/>
        </w:numPr>
        <w:spacing w:line="240" w:lineRule="auto" w:before="0" w:after="0"/>
      </w:pPr>
      <w:r>
        <w:rPr>
          <w:rFonts w:ascii="Times New Roman" w:hAnsi="Times New Roman"/>
          <w:sz w:val="24"/>
        </w:rPr>
        <w:t xml:space="preserve">medRxiv. Preprints in medicine [Internet]. 2024 [cited 2024]. Available from: https://www.medrxiv.org/</w:t>
      </w:r>
    </w:p>
    <w:p>
      <w:pPr>
        <w:spacing w:line="240" w:lineRule="auto" w:before="0" w:after="0"/>
      </w:pPr>
      <w:r>
        <w:rPr>
          <w:rFonts w:ascii="Times New Roman" w:hAnsi="Times New Roman"/>
          <w:sz w:val="24"/>
        </w:rPr>
        <w:pict>
          <v:rect style="width:0;height:1.5pt" o:hralign="center" o:hrstd="t" o:hr="t"/>
        </w:pict>
      </w:r>
    </w:p>
    <w:bookmarkEnd w:id="63"/>
    <w:bookmarkEnd w:id="64"/>
    <w:bookmarkEnd w:id="65"/>
    <w:bookmarkStart w:id="66" w:name="conclusión"/>
    <w:p>
      <w:pPr>
        <w:pStyle w:val="Heading2"/>
        <w:spacing w:line="240" w:lineRule="auto" w:before="0" w:after="0"/>
      </w:pPr>
      <w:r>
        <w:rPr>
          <w:rFonts w:ascii="Times New Roman" w:hAnsi="Times New Roman"/>
          <w:sz w:val="24"/>
        </w:rPr>
        <w:t xml:space="preserve">Conclusión</w:t>
      </w:r>
    </w:p>
    <w:p>
      <w:pPr>
        <w:pStyle w:val="FirstParagraph"/>
        <w:spacing w:line="240" w:lineRule="auto" w:before="0" w:after="0"/>
      </w:pPr>
      <w:r>
        <w:rPr>
          <w:rFonts w:ascii="Times New Roman" w:hAnsi="Times New Roman"/>
          <w:sz w:val="24"/>
        </w:rPr>
        <w:t xml:space="preserve">Este microcurrículo ofrece un andamiaje claro para un curso riguroso, motivante y alineado con estándares académicos e internacionales. El énfasis en competencias prácticas y productos tangibles asegura que estudiantes no solo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“aprenden sobre”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investigación, sino que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hacen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investigación (en escala reducida, pero auténtica).</w:t>
      </w:r>
    </w:p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8">
    <w:nsid w:val="0A994118"/>
    <w:multiLevelType w:val="multilevel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8"/>
      <w:numFmt w:val="decimal"/>
      <w:lvlText w:val="%2."/>
      <w:lvlJc w:val="left"/>
      <w:pPr>
        <w:ind w:left="1440" w:hanging="360"/>
      </w:pPr>
    </w:lvl>
    <w:lvl w:ilvl="2">
      <w:start w:val="18"/>
      <w:numFmt w:val="decimal"/>
      <w:lvlText w:val="%3."/>
      <w:lvlJc w:val="left"/>
      <w:pPr>
        <w:ind w:left="2160" w:hanging="360"/>
      </w:pPr>
    </w:lvl>
    <w:lvl w:ilvl="3">
      <w:start w:val="18"/>
      <w:numFmt w:val="decimal"/>
      <w:lvlText w:val="%4."/>
      <w:lvlJc w:val="left"/>
      <w:pPr>
        <w:ind w:left="2880" w:hanging="360"/>
      </w:pPr>
    </w:lvl>
    <w:lvl w:ilvl="4">
      <w:start w:val="18"/>
      <w:numFmt w:val="decimal"/>
      <w:lvlText w:val="%5."/>
      <w:lvlJc w:val="left"/>
      <w:pPr>
        <w:ind w:left="3600" w:hanging="360"/>
      </w:pPr>
    </w:lvl>
    <w:lvl w:ilvl="5">
      <w:start w:val="18"/>
      <w:numFmt w:val="decimal"/>
      <w:lvlText w:val="%6."/>
      <w:lvlJc w:val="left"/>
      <w:pPr>
        <w:ind w:left="4320" w:hanging="360"/>
      </w:pPr>
    </w:lvl>
    <w:lvl w:ilvl="6">
      <w:start w:val="18"/>
      <w:numFmt w:val="decimal"/>
      <w:lvlText w:val="%7."/>
      <w:lvlJc w:val="left"/>
      <w:pPr>
        <w:ind w:left="5040" w:hanging="360"/>
      </w:pPr>
    </w:lvl>
    <w:lvl w:ilvl="7">
      <w:start w:val="18"/>
      <w:numFmt w:val="decimal"/>
      <w:lvlText w:val="%8."/>
      <w:lvlJc w:val="left"/>
      <w:pPr>
        <w:ind w:left="5760" w:hanging="360"/>
      </w:pPr>
    </w:lvl>
    <w:lvl w:ilvl="8">
      <w:start w:val="18"/>
      <w:numFmt w:val="decimal"/>
      <w:lvlText w:val="%9."/>
      <w:lvlJc w:val="left"/>
      <w:pPr>
        <w:ind w:left="6480" w:hanging="360"/>
      </w:pPr>
    </w:lvl>
  </w:abstractNum>
  <w:abstractNum w:abstractNumId="994120">
    <w:nsid w:val="0A994120"/>
    <w:multiLevelType w:val="multilevel"/>
    <w:lvl w:ilvl="0">
      <w:start w:val="20"/>
      <w:numFmt w:val="decimal"/>
      <w:lvlText w:val="%1."/>
      <w:lvlJc w:val="left"/>
      <w:pPr>
        <w:ind w:left="720" w:hanging="360"/>
      </w:pPr>
    </w:lvl>
    <w:lvl w:ilvl="1">
      <w:start w:val="20"/>
      <w:numFmt w:val="decimal"/>
      <w:lvlText w:val="%2."/>
      <w:lvlJc w:val="left"/>
      <w:pPr>
        <w:ind w:left="1440" w:hanging="360"/>
      </w:pPr>
    </w:lvl>
    <w:lvl w:ilvl="2">
      <w:start w:val="20"/>
      <w:numFmt w:val="decimal"/>
      <w:lvlText w:val="%3."/>
      <w:lvlJc w:val="left"/>
      <w:pPr>
        <w:ind w:left="2160" w:hanging="360"/>
      </w:pPr>
    </w:lvl>
    <w:lvl w:ilvl="3">
      <w:start w:val="20"/>
      <w:numFmt w:val="decimal"/>
      <w:lvlText w:val="%4."/>
      <w:lvlJc w:val="left"/>
      <w:pPr>
        <w:ind w:left="2880" w:hanging="360"/>
      </w:pPr>
    </w:lvl>
    <w:lvl w:ilvl="4">
      <w:start w:val="20"/>
      <w:numFmt w:val="decimal"/>
      <w:lvlText w:val="%5."/>
      <w:lvlJc w:val="left"/>
      <w:pPr>
        <w:ind w:left="3600" w:hanging="360"/>
      </w:pPr>
    </w:lvl>
    <w:lvl w:ilvl="5">
      <w:start w:val="20"/>
      <w:numFmt w:val="decimal"/>
      <w:lvlText w:val="%6."/>
      <w:lvlJc w:val="left"/>
      <w:pPr>
        <w:ind w:left="4320" w:hanging="360"/>
      </w:pPr>
    </w:lvl>
    <w:lvl w:ilvl="6">
      <w:start w:val="20"/>
      <w:numFmt w:val="decimal"/>
      <w:lvlText w:val="%7."/>
      <w:lvlJc w:val="left"/>
      <w:pPr>
        <w:ind w:left="5040" w:hanging="360"/>
      </w:pPr>
    </w:lvl>
    <w:lvl w:ilvl="7">
      <w:start w:val="20"/>
      <w:numFmt w:val="decimal"/>
      <w:lvlText w:val="%8."/>
      <w:lvlJc w:val="left"/>
      <w:pPr>
        <w:ind w:left="5760" w:hanging="360"/>
      </w:pPr>
    </w:lvl>
    <w:lvl w:ilvl="8">
      <w:start w:val="20"/>
      <w:numFmt w:val="decimal"/>
      <w:lvlText w:val="%9."/>
      <w:lvlJc w:val="left"/>
      <w:pPr>
        <w:ind w:left="6480" w:hanging="36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22"/>
      <w:numFmt w:val="decimal"/>
      <w:lvlText w:val="%2."/>
      <w:lvlJc w:val="left"/>
      <w:pPr>
        <w:ind w:left="1440" w:hanging="360"/>
      </w:pPr>
    </w:lvl>
    <w:lvl w:ilvl="2">
      <w:start w:val="22"/>
      <w:numFmt w:val="decimal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decimal"/>
      <w:lvlText w:val="%5."/>
      <w:lvlJc w:val="left"/>
      <w:pPr>
        <w:ind w:left="3600" w:hanging="360"/>
      </w:pPr>
    </w:lvl>
    <w:lvl w:ilvl="5">
      <w:start w:val="22"/>
      <w:numFmt w:val="decimal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decimal"/>
      <w:lvlText w:val="%8."/>
      <w:lvlJc w:val="left"/>
      <w:pPr>
        <w:ind w:left="5760" w:hanging="360"/>
      </w:pPr>
    </w:lvl>
    <w:lvl w:ilvl="8">
      <w:start w:val="22"/>
      <w:numFmt w:val="decimal"/>
      <w:lvlText w:val="%9."/>
      <w:lvlJc w:val="left"/>
      <w:pPr>
        <w:ind w:left="6480" w:hanging="360"/>
      </w:pPr>
    </w:lvl>
  </w:abstractNum>
  <w:abstractNum w:abstractNumId="994124">
    <w:nsid w:val="0A994124"/>
    <w:multiLevelType w:val="multilevel"/>
    <w:lvl w:ilvl="0">
      <w:start w:val="24"/>
      <w:numFmt w:val="decimal"/>
      <w:lvlText w:val="%1."/>
      <w:lvlJc w:val="left"/>
      <w:pPr>
        <w:ind w:left="720" w:hanging="360"/>
      </w:pPr>
    </w:lvl>
    <w:lvl w:ilvl="1">
      <w:start w:val="24"/>
      <w:numFmt w:val="decimal"/>
      <w:lvlText w:val="%2."/>
      <w:lvlJc w:val="left"/>
      <w:pPr>
        <w:ind w:left="1440" w:hanging="360"/>
      </w:pPr>
    </w:lvl>
    <w:lvl w:ilvl="2">
      <w:start w:val="24"/>
      <w:numFmt w:val="decimal"/>
      <w:lvlText w:val="%3."/>
      <w:lvlJc w:val="left"/>
      <w:pPr>
        <w:ind w:left="2160" w:hanging="360"/>
      </w:pPr>
    </w:lvl>
    <w:lvl w:ilvl="3">
      <w:start w:val="24"/>
      <w:numFmt w:val="decimal"/>
      <w:lvlText w:val="%4."/>
      <w:lvlJc w:val="left"/>
      <w:pPr>
        <w:ind w:left="2880" w:hanging="360"/>
      </w:pPr>
    </w:lvl>
    <w:lvl w:ilvl="4">
      <w:start w:val="24"/>
      <w:numFmt w:val="decimal"/>
      <w:lvlText w:val="%5."/>
      <w:lvlJc w:val="left"/>
      <w:pPr>
        <w:ind w:left="3600" w:hanging="360"/>
      </w:pPr>
    </w:lvl>
    <w:lvl w:ilvl="5">
      <w:start w:val="24"/>
      <w:numFmt w:val="decimal"/>
      <w:lvlText w:val="%6."/>
      <w:lvlJc w:val="left"/>
      <w:pPr>
        <w:ind w:left="4320" w:hanging="360"/>
      </w:pPr>
    </w:lvl>
    <w:lvl w:ilvl="6">
      <w:start w:val="24"/>
      <w:numFmt w:val="decimal"/>
      <w:lvlText w:val="%7."/>
      <w:lvlJc w:val="left"/>
      <w:pPr>
        <w:ind w:left="5040" w:hanging="360"/>
      </w:pPr>
    </w:lvl>
    <w:lvl w:ilvl="7">
      <w:start w:val="24"/>
      <w:numFmt w:val="decimal"/>
      <w:lvlText w:val="%8."/>
      <w:lvlJc w:val="left"/>
      <w:pPr>
        <w:ind w:left="5760" w:hanging="360"/>
      </w:pPr>
    </w:lvl>
    <w:lvl w:ilvl="8">
      <w:start w:val="24"/>
      <w:numFmt w:val="decimal"/>
      <w:lvlText w:val="%9."/>
      <w:lvlJc w:val="left"/>
      <w:pPr>
        <w:ind w:left="6480" w:hanging="360"/>
      </w:pPr>
    </w:lvl>
  </w:abstractNum>
  <w:abstractNum w:abstractNumId="994127">
    <w:nsid w:val="0A994127"/>
    <w:multiLevelType w:val="multilevel"/>
    <w:lvl w:ilvl="0">
      <w:start w:val="27"/>
      <w:numFmt w:val="decimal"/>
      <w:lvlText w:val="%1."/>
      <w:lvlJc w:val="left"/>
      <w:pPr>
        <w:ind w:left="720" w:hanging="360"/>
      </w:pPr>
    </w:lvl>
    <w:lvl w:ilvl="1">
      <w:start w:val="27"/>
      <w:numFmt w:val="decimal"/>
      <w:lvlText w:val="%2."/>
      <w:lvlJc w:val="left"/>
      <w:pPr>
        <w:ind w:left="1440" w:hanging="360"/>
      </w:pPr>
    </w:lvl>
    <w:lvl w:ilvl="2">
      <w:start w:val="27"/>
      <w:numFmt w:val="decimal"/>
      <w:lvlText w:val="%3."/>
      <w:lvlJc w:val="left"/>
      <w:pPr>
        <w:ind w:left="2160" w:hanging="360"/>
      </w:pPr>
    </w:lvl>
    <w:lvl w:ilvl="3">
      <w:start w:val="27"/>
      <w:numFmt w:val="decimal"/>
      <w:lvlText w:val="%4."/>
      <w:lvlJc w:val="left"/>
      <w:pPr>
        <w:ind w:left="2880" w:hanging="360"/>
      </w:pPr>
    </w:lvl>
    <w:lvl w:ilvl="4">
      <w:start w:val="27"/>
      <w:numFmt w:val="decimal"/>
      <w:lvlText w:val="%5."/>
      <w:lvlJc w:val="left"/>
      <w:pPr>
        <w:ind w:left="3600" w:hanging="360"/>
      </w:pPr>
    </w:lvl>
    <w:lvl w:ilvl="5">
      <w:start w:val="27"/>
      <w:numFmt w:val="decimal"/>
      <w:lvlText w:val="%6."/>
      <w:lvlJc w:val="left"/>
      <w:pPr>
        <w:ind w:left="4320" w:hanging="360"/>
      </w:pPr>
    </w:lvl>
    <w:lvl w:ilvl="6">
      <w:start w:val="27"/>
      <w:numFmt w:val="decimal"/>
      <w:lvlText w:val="%7."/>
      <w:lvlJc w:val="left"/>
      <w:pPr>
        <w:ind w:left="5040" w:hanging="360"/>
      </w:pPr>
    </w:lvl>
    <w:lvl w:ilvl="7">
      <w:start w:val="27"/>
      <w:numFmt w:val="decimal"/>
      <w:lvlText w:val="%8."/>
      <w:lvlJc w:val="left"/>
      <w:pPr>
        <w:ind w:left="5760" w:hanging="360"/>
      </w:pPr>
    </w:lvl>
    <w:lvl w:ilvl="8">
      <w:start w:val="27"/>
      <w:numFmt w:val="decimal"/>
      <w:lvlText w:val="%9."/>
      <w:lvlJc w:val="left"/>
      <w:pPr>
        <w:ind w:left="6480" w:hanging="360"/>
      </w:pPr>
    </w:lvl>
  </w:abstractNum>
  <w:abstractNum w:abstractNumId="994129">
    <w:nsid w:val="0A994129"/>
    <w:multiLevelType w:val="multilevel"/>
    <w:lvl w:ilvl="0">
      <w:start w:val="29"/>
      <w:numFmt w:val="decimal"/>
      <w:lvlText w:val="%1."/>
      <w:lvlJc w:val="left"/>
      <w:pPr>
        <w:ind w:left="720" w:hanging="360"/>
      </w:pPr>
    </w:lvl>
    <w:lvl w:ilvl="1">
      <w:start w:val="29"/>
      <w:numFmt w:val="decimal"/>
      <w:lvlText w:val="%2."/>
      <w:lvlJc w:val="left"/>
      <w:pPr>
        <w:ind w:left="1440" w:hanging="360"/>
      </w:pPr>
    </w:lvl>
    <w:lvl w:ilvl="2">
      <w:start w:val="29"/>
      <w:numFmt w:val="decimal"/>
      <w:lvlText w:val="%3."/>
      <w:lvlJc w:val="left"/>
      <w:pPr>
        <w:ind w:left="2160" w:hanging="360"/>
      </w:pPr>
    </w:lvl>
    <w:lvl w:ilvl="3">
      <w:start w:val="29"/>
      <w:numFmt w:val="decimal"/>
      <w:lvlText w:val="%4."/>
      <w:lvlJc w:val="left"/>
      <w:pPr>
        <w:ind w:left="2880" w:hanging="360"/>
      </w:pPr>
    </w:lvl>
    <w:lvl w:ilvl="4">
      <w:start w:val="29"/>
      <w:numFmt w:val="decimal"/>
      <w:lvlText w:val="%5."/>
      <w:lvlJc w:val="left"/>
      <w:pPr>
        <w:ind w:left="3600" w:hanging="360"/>
      </w:pPr>
    </w:lvl>
    <w:lvl w:ilvl="5">
      <w:start w:val="29"/>
      <w:numFmt w:val="decimal"/>
      <w:lvlText w:val="%6."/>
      <w:lvlJc w:val="left"/>
      <w:pPr>
        <w:ind w:left="4320" w:hanging="360"/>
      </w:pPr>
    </w:lvl>
    <w:lvl w:ilvl="6">
      <w:start w:val="29"/>
      <w:numFmt w:val="decimal"/>
      <w:lvlText w:val="%7."/>
      <w:lvlJc w:val="left"/>
      <w:pPr>
        <w:ind w:left="5040" w:hanging="360"/>
      </w:pPr>
    </w:lvl>
    <w:lvl w:ilvl="7">
      <w:start w:val="29"/>
      <w:numFmt w:val="decimal"/>
      <w:lvlText w:val="%8."/>
      <w:lvlJc w:val="left"/>
      <w:pPr>
        <w:ind w:left="5760" w:hanging="360"/>
      </w:pPr>
    </w:lvl>
    <w:lvl w:ilvl="8">
      <w:start w:val="29"/>
      <w:numFmt w:val="decimal"/>
      <w:lvlText w:val="%9."/>
      <w:lvlJc w:val="left"/>
      <w:pPr>
        <w:ind w:left="6480" w:hanging="360"/>
      </w:pPr>
    </w:lvl>
  </w:abstractNum>
  <w:abstractNum w:abstractNumId="994131">
    <w:nsid w:val="0A994131"/>
    <w:multiLevelType w:val="multilevel"/>
    <w:lvl w:ilvl="0">
      <w:start w:val="31"/>
      <w:numFmt w:val="decimal"/>
      <w:lvlText w:val="%1."/>
      <w:lvlJc w:val="left"/>
      <w:pPr>
        <w:ind w:left="720" w:hanging="360"/>
      </w:pPr>
    </w:lvl>
    <w:lvl w:ilvl="1">
      <w:start w:val="31"/>
      <w:numFmt w:val="decimal"/>
      <w:lvlText w:val="%2."/>
      <w:lvlJc w:val="left"/>
      <w:pPr>
        <w:ind w:left="1440" w:hanging="360"/>
      </w:pPr>
    </w:lvl>
    <w:lvl w:ilvl="2">
      <w:start w:val="31"/>
      <w:numFmt w:val="decimal"/>
      <w:lvlText w:val="%3."/>
      <w:lvlJc w:val="left"/>
      <w:pPr>
        <w:ind w:left="2160" w:hanging="360"/>
      </w:pPr>
    </w:lvl>
    <w:lvl w:ilvl="3">
      <w:start w:val="31"/>
      <w:numFmt w:val="decimal"/>
      <w:lvlText w:val="%4."/>
      <w:lvlJc w:val="left"/>
      <w:pPr>
        <w:ind w:left="2880" w:hanging="360"/>
      </w:pPr>
    </w:lvl>
    <w:lvl w:ilvl="4">
      <w:start w:val="31"/>
      <w:numFmt w:val="decimal"/>
      <w:lvlText w:val="%5."/>
      <w:lvlJc w:val="left"/>
      <w:pPr>
        <w:ind w:left="3600" w:hanging="360"/>
      </w:pPr>
    </w:lvl>
    <w:lvl w:ilvl="5">
      <w:start w:val="31"/>
      <w:numFmt w:val="decimal"/>
      <w:lvlText w:val="%6."/>
      <w:lvlJc w:val="left"/>
      <w:pPr>
        <w:ind w:left="4320" w:hanging="360"/>
      </w:pPr>
    </w:lvl>
    <w:lvl w:ilvl="6">
      <w:start w:val="31"/>
      <w:numFmt w:val="decimal"/>
      <w:lvlText w:val="%7."/>
      <w:lvlJc w:val="left"/>
      <w:pPr>
        <w:ind w:left="5040" w:hanging="360"/>
      </w:pPr>
    </w:lvl>
    <w:lvl w:ilvl="7">
      <w:start w:val="31"/>
      <w:numFmt w:val="decimal"/>
      <w:lvlText w:val="%8."/>
      <w:lvlJc w:val="left"/>
      <w:pPr>
        <w:ind w:left="5760" w:hanging="360"/>
      </w:pPr>
    </w:lvl>
    <w:lvl w:ilvl="8">
      <w:start w:val="31"/>
      <w:numFmt w:val="decimal"/>
      <w:lvlText w:val="%9."/>
      <w:lvlJc w:val="left"/>
      <w:pPr>
        <w:ind w:left="6480" w:hanging="360"/>
      </w:pPr>
    </w:lvl>
  </w:abstractNum>
  <w:abstractNum w:abstractNumId="994132">
    <w:nsid w:val="0A994132"/>
    <w:multiLevelType w:val="multilevel"/>
    <w:lvl w:ilvl="0">
      <w:start w:val="32"/>
      <w:numFmt w:val="decimal"/>
      <w:lvlText w:val="%1."/>
      <w:lvlJc w:val="left"/>
      <w:pPr>
        <w:ind w:left="720" w:hanging="360"/>
      </w:pPr>
    </w:lvl>
    <w:lvl w:ilvl="1">
      <w:start w:val="32"/>
      <w:numFmt w:val="decimal"/>
      <w:lvlText w:val="%2."/>
      <w:lvlJc w:val="left"/>
      <w:pPr>
        <w:ind w:left="1440" w:hanging="360"/>
      </w:pPr>
    </w:lvl>
    <w:lvl w:ilvl="2">
      <w:start w:val="32"/>
      <w:numFmt w:val="decimal"/>
      <w:lvlText w:val="%3."/>
      <w:lvlJc w:val="left"/>
      <w:pPr>
        <w:ind w:left="2160" w:hanging="360"/>
      </w:pPr>
    </w:lvl>
    <w:lvl w:ilvl="3">
      <w:start w:val="32"/>
      <w:numFmt w:val="decimal"/>
      <w:lvlText w:val="%4."/>
      <w:lvlJc w:val="left"/>
      <w:pPr>
        <w:ind w:left="2880" w:hanging="360"/>
      </w:pPr>
    </w:lvl>
    <w:lvl w:ilvl="4">
      <w:start w:val="32"/>
      <w:numFmt w:val="decimal"/>
      <w:lvlText w:val="%5."/>
      <w:lvlJc w:val="left"/>
      <w:pPr>
        <w:ind w:left="3600" w:hanging="360"/>
      </w:pPr>
    </w:lvl>
    <w:lvl w:ilvl="5">
      <w:start w:val="32"/>
      <w:numFmt w:val="decimal"/>
      <w:lvlText w:val="%6."/>
      <w:lvlJc w:val="left"/>
      <w:pPr>
        <w:ind w:left="4320" w:hanging="360"/>
      </w:pPr>
    </w:lvl>
    <w:lvl w:ilvl="6">
      <w:start w:val="32"/>
      <w:numFmt w:val="decimal"/>
      <w:lvlText w:val="%7."/>
      <w:lvlJc w:val="left"/>
      <w:pPr>
        <w:ind w:left="5040" w:hanging="360"/>
      </w:pPr>
    </w:lvl>
    <w:lvl w:ilvl="7">
      <w:start w:val="32"/>
      <w:numFmt w:val="decimal"/>
      <w:lvlText w:val="%8."/>
      <w:lvlJc w:val="left"/>
      <w:pPr>
        <w:ind w:left="5760" w:hanging="360"/>
      </w:pPr>
    </w:lvl>
    <w:lvl w:ilvl="8">
      <w:start w:val="32"/>
      <w:numFmt w:val="decimal"/>
      <w:lvlText w:val="%9."/>
      <w:lvlJc w:val="left"/>
      <w:pPr>
        <w:ind w:left="6480" w:hanging="360"/>
      </w:pPr>
    </w:lvl>
  </w:abstractNum>
  <w:abstractNum w:abstractNumId="994134">
    <w:nsid w:val="0A994134"/>
    <w:multiLevelType w:val="multilevel"/>
    <w:lvl w:ilvl="0">
      <w:start w:val="34"/>
      <w:numFmt w:val="decimal"/>
      <w:lvlText w:val="%1."/>
      <w:lvlJc w:val="left"/>
      <w:pPr>
        <w:ind w:left="720" w:hanging="360"/>
      </w:pPr>
    </w:lvl>
    <w:lvl w:ilvl="1">
      <w:start w:val="34"/>
      <w:numFmt w:val="decimal"/>
      <w:lvlText w:val="%2."/>
      <w:lvlJc w:val="left"/>
      <w:pPr>
        <w:ind w:left="1440" w:hanging="360"/>
      </w:pPr>
    </w:lvl>
    <w:lvl w:ilvl="2">
      <w:start w:val="34"/>
      <w:numFmt w:val="decimal"/>
      <w:lvlText w:val="%3."/>
      <w:lvlJc w:val="left"/>
      <w:pPr>
        <w:ind w:left="2160" w:hanging="360"/>
      </w:pPr>
    </w:lvl>
    <w:lvl w:ilvl="3">
      <w:start w:val="34"/>
      <w:numFmt w:val="decimal"/>
      <w:lvlText w:val="%4."/>
      <w:lvlJc w:val="left"/>
      <w:pPr>
        <w:ind w:left="2880" w:hanging="360"/>
      </w:pPr>
    </w:lvl>
    <w:lvl w:ilvl="4">
      <w:start w:val="34"/>
      <w:numFmt w:val="decimal"/>
      <w:lvlText w:val="%5."/>
      <w:lvlJc w:val="left"/>
      <w:pPr>
        <w:ind w:left="3600" w:hanging="360"/>
      </w:pPr>
    </w:lvl>
    <w:lvl w:ilvl="5">
      <w:start w:val="34"/>
      <w:numFmt w:val="decimal"/>
      <w:lvlText w:val="%6."/>
      <w:lvlJc w:val="left"/>
      <w:pPr>
        <w:ind w:left="4320" w:hanging="360"/>
      </w:pPr>
    </w:lvl>
    <w:lvl w:ilvl="6">
      <w:start w:val="34"/>
      <w:numFmt w:val="decimal"/>
      <w:lvlText w:val="%7."/>
      <w:lvlJc w:val="left"/>
      <w:pPr>
        <w:ind w:left="5040" w:hanging="360"/>
      </w:pPr>
    </w:lvl>
    <w:lvl w:ilvl="7">
      <w:start w:val="34"/>
      <w:numFmt w:val="decimal"/>
      <w:lvlText w:val="%8."/>
      <w:lvlJc w:val="left"/>
      <w:pPr>
        <w:ind w:left="5760" w:hanging="360"/>
      </w:pPr>
    </w:lvl>
    <w:lvl w:ilvl="8">
      <w:start w:val="34"/>
      <w:numFmt w:val="decimal"/>
      <w:lvlText w:val="%9."/>
      <w:lvlJc w:val="left"/>
      <w:pPr>
        <w:ind w:left="6480" w:hanging="360"/>
      </w:pPr>
    </w:lvl>
  </w:abstractNum>
  <w:abstractNum w:abstractNumId="994136">
    <w:nsid w:val="0A994136"/>
    <w:multiLevelType w:val="multilevel"/>
    <w:lvl w:ilvl="0">
      <w:start w:val="36"/>
      <w:numFmt w:val="decimal"/>
      <w:lvlText w:val="%1."/>
      <w:lvlJc w:val="left"/>
      <w:pPr>
        <w:ind w:left="720" w:hanging="360"/>
      </w:pPr>
    </w:lvl>
    <w:lvl w:ilvl="1">
      <w:start w:val="36"/>
      <w:numFmt w:val="decimal"/>
      <w:lvlText w:val="%2."/>
      <w:lvlJc w:val="left"/>
      <w:pPr>
        <w:ind w:left="1440" w:hanging="360"/>
      </w:pPr>
    </w:lvl>
    <w:lvl w:ilvl="2">
      <w:start w:val="36"/>
      <w:numFmt w:val="decimal"/>
      <w:lvlText w:val="%3."/>
      <w:lvlJc w:val="left"/>
      <w:pPr>
        <w:ind w:left="2160" w:hanging="360"/>
      </w:pPr>
    </w:lvl>
    <w:lvl w:ilvl="3">
      <w:start w:val="36"/>
      <w:numFmt w:val="decimal"/>
      <w:lvlText w:val="%4."/>
      <w:lvlJc w:val="left"/>
      <w:pPr>
        <w:ind w:left="2880" w:hanging="360"/>
      </w:pPr>
    </w:lvl>
    <w:lvl w:ilvl="4">
      <w:start w:val="36"/>
      <w:numFmt w:val="decimal"/>
      <w:lvlText w:val="%5."/>
      <w:lvlJc w:val="left"/>
      <w:pPr>
        <w:ind w:left="3600" w:hanging="360"/>
      </w:pPr>
    </w:lvl>
    <w:lvl w:ilvl="5">
      <w:start w:val="36"/>
      <w:numFmt w:val="decimal"/>
      <w:lvlText w:val="%6."/>
      <w:lvlJc w:val="left"/>
      <w:pPr>
        <w:ind w:left="4320" w:hanging="360"/>
      </w:pPr>
    </w:lvl>
    <w:lvl w:ilvl="6">
      <w:start w:val="36"/>
      <w:numFmt w:val="decimal"/>
      <w:lvlText w:val="%7."/>
      <w:lvlJc w:val="left"/>
      <w:pPr>
        <w:ind w:left="5040" w:hanging="360"/>
      </w:pPr>
    </w:lvl>
    <w:lvl w:ilvl="7">
      <w:start w:val="36"/>
      <w:numFmt w:val="decimal"/>
      <w:lvlText w:val="%8."/>
      <w:lvlJc w:val="left"/>
      <w:pPr>
        <w:ind w:left="5760" w:hanging="360"/>
      </w:pPr>
    </w:lvl>
    <w:lvl w:ilvl="8">
      <w:start w:val="36"/>
      <w:numFmt w:val="decimal"/>
      <w:lvlText w:val="%9."/>
      <w:lvlJc w:val="left"/>
      <w:pPr>
        <w:ind w:left="6480" w:hanging="360"/>
      </w:pPr>
    </w:lvl>
  </w:abstractNum>
  <w:abstractNum w:abstractNumId="994138">
    <w:nsid w:val="0A994138"/>
    <w:multiLevelType w:val="multilevel"/>
    <w:lvl w:ilvl="0">
      <w:start w:val="38"/>
      <w:numFmt w:val="decimal"/>
      <w:lvlText w:val="%1."/>
      <w:lvlJc w:val="left"/>
      <w:pPr>
        <w:ind w:left="720" w:hanging="360"/>
      </w:pPr>
    </w:lvl>
    <w:lvl w:ilvl="1">
      <w:start w:val="38"/>
      <w:numFmt w:val="decimal"/>
      <w:lvlText w:val="%2."/>
      <w:lvlJc w:val="left"/>
      <w:pPr>
        <w:ind w:left="1440" w:hanging="360"/>
      </w:pPr>
    </w:lvl>
    <w:lvl w:ilvl="2">
      <w:start w:val="38"/>
      <w:numFmt w:val="decimal"/>
      <w:lvlText w:val="%3."/>
      <w:lvlJc w:val="left"/>
      <w:pPr>
        <w:ind w:left="2160" w:hanging="360"/>
      </w:pPr>
    </w:lvl>
    <w:lvl w:ilvl="3">
      <w:start w:val="38"/>
      <w:numFmt w:val="decimal"/>
      <w:lvlText w:val="%4."/>
      <w:lvlJc w:val="left"/>
      <w:pPr>
        <w:ind w:left="2880" w:hanging="360"/>
      </w:pPr>
    </w:lvl>
    <w:lvl w:ilvl="4">
      <w:start w:val="38"/>
      <w:numFmt w:val="decimal"/>
      <w:lvlText w:val="%5."/>
      <w:lvlJc w:val="left"/>
      <w:pPr>
        <w:ind w:left="3600" w:hanging="360"/>
      </w:pPr>
    </w:lvl>
    <w:lvl w:ilvl="5">
      <w:start w:val="38"/>
      <w:numFmt w:val="decimal"/>
      <w:lvlText w:val="%6."/>
      <w:lvlJc w:val="left"/>
      <w:pPr>
        <w:ind w:left="4320" w:hanging="360"/>
      </w:pPr>
    </w:lvl>
    <w:lvl w:ilvl="6">
      <w:start w:val="38"/>
      <w:numFmt w:val="decimal"/>
      <w:lvlText w:val="%7."/>
      <w:lvlJc w:val="left"/>
      <w:pPr>
        <w:ind w:left="5040" w:hanging="360"/>
      </w:pPr>
    </w:lvl>
    <w:lvl w:ilvl="7">
      <w:start w:val="38"/>
      <w:numFmt w:val="decimal"/>
      <w:lvlText w:val="%8."/>
      <w:lvlJc w:val="left"/>
      <w:pPr>
        <w:ind w:left="5760" w:hanging="360"/>
      </w:pPr>
    </w:lvl>
    <w:lvl w:ilvl="8">
      <w:start w:val="38"/>
      <w:numFmt w:val="decimal"/>
      <w:lvlText w:val="%9."/>
      <w:lvlJc w:val="left"/>
      <w:pPr>
        <w:ind w:left="6480" w:hanging="360"/>
      </w:pPr>
    </w:lvl>
  </w:abstractNum>
  <w:abstractNum w:abstractNumId="994139">
    <w:nsid w:val="0A994139"/>
    <w:multiLevelType w:val="multilevel"/>
    <w:lvl w:ilvl="0">
      <w:start w:val="39"/>
      <w:numFmt w:val="decimal"/>
      <w:lvlText w:val="%1."/>
      <w:lvlJc w:val="left"/>
      <w:pPr>
        <w:ind w:left="720" w:hanging="360"/>
      </w:pPr>
    </w:lvl>
    <w:lvl w:ilvl="1">
      <w:start w:val="39"/>
      <w:numFmt w:val="decimal"/>
      <w:lvlText w:val="%2."/>
      <w:lvlJc w:val="left"/>
      <w:pPr>
        <w:ind w:left="1440" w:hanging="360"/>
      </w:pPr>
    </w:lvl>
    <w:lvl w:ilvl="2">
      <w:start w:val="39"/>
      <w:numFmt w:val="decimal"/>
      <w:lvlText w:val="%3."/>
      <w:lvlJc w:val="left"/>
      <w:pPr>
        <w:ind w:left="2160" w:hanging="360"/>
      </w:pPr>
    </w:lvl>
    <w:lvl w:ilvl="3">
      <w:start w:val="39"/>
      <w:numFmt w:val="decimal"/>
      <w:lvlText w:val="%4."/>
      <w:lvlJc w:val="left"/>
      <w:pPr>
        <w:ind w:left="2880" w:hanging="360"/>
      </w:pPr>
    </w:lvl>
    <w:lvl w:ilvl="4">
      <w:start w:val="39"/>
      <w:numFmt w:val="decimal"/>
      <w:lvlText w:val="%5."/>
      <w:lvlJc w:val="left"/>
      <w:pPr>
        <w:ind w:left="3600" w:hanging="360"/>
      </w:pPr>
    </w:lvl>
    <w:lvl w:ilvl="5">
      <w:start w:val="39"/>
      <w:numFmt w:val="decimal"/>
      <w:lvlText w:val="%6."/>
      <w:lvlJc w:val="left"/>
      <w:pPr>
        <w:ind w:left="4320" w:hanging="360"/>
      </w:pPr>
    </w:lvl>
    <w:lvl w:ilvl="6">
      <w:start w:val="39"/>
      <w:numFmt w:val="decimal"/>
      <w:lvlText w:val="%7."/>
      <w:lvlJc w:val="left"/>
      <w:pPr>
        <w:ind w:left="5040" w:hanging="360"/>
      </w:pPr>
    </w:lvl>
    <w:lvl w:ilvl="7">
      <w:start w:val="39"/>
      <w:numFmt w:val="decimal"/>
      <w:lvlText w:val="%8."/>
      <w:lvlJc w:val="left"/>
      <w:pPr>
        <w:ind w:left="5760" w:hanging="360"/>
      </w:pPr>
    </w:lvl>
    <w:lvl w:ilvl="8">
      <w:start w:val="39"/>
      <w:numFmt w:val="decimal"/>
      <w:lvlText w:val="%9."/>
      <w:lvlJc w:val="left"/>
      <w:pPr>
        <w:ind w:left="6480" w:hanging="360"/>
      </w:pPr>
    </w:lvl>
  </w:abstractNum>
  <w:abstractNum w:abstractNumId="994141">
    <w:nsid w:val="0A994141"/>
    <w:multiLevelType w:val="multilevel"/>
    <w:lvl w:ilvl="0">
      <w:start w:val="41"/>
      <w:numFmt w:val="decimal"/>
      <w:lvlText w:val="%1."/>
      <w:lvlJc w:val="left"/>
      <w:pPr>
        <w:ind w:left="720" w:hanging="360"/>
      </w:pPr>
    </w:lvl>
    <w:lvl w:ilvl="1">
      <w:start w:val="41"/>
      <w:numFmt w:val="decimal"/>
      <w:lvlText w:val="%2."/>
      <w:lvlJc w:val="left"/>
      <w:pPr>
        <w:ind w:left="1440" w:hanging="360"/>
      </w:pPr>
    </w:lvl>
    <w:lvl w:ilvl="2">
      <w:start w:val="41"/>
      <w:numFmt w:val="decimal"/>
      <w:lvlText w:val="%3."/>
      <w:lvlJc w:val="left"/>
      <w:pPr>
        <w:ind w:left="2160" w:hanging="360"/>
      </w:pPr>
    </w:lvl>
    <w:lvl w:ilvl="3">
      <w:start w:val="41"/>
      <w:numFmt w:val="decimal"/>
      <w:lvlText w:val="%4."/>
      <w:lvlJc w:val="left"/>
      <w:pPr>
        <w:ind w:left="2880" w:hanging="360"/>
      </w:pPr>
    </w:lvl>
    <w:lvl w:ilvl="4">
      <w:start w:val="41"/>
      <w:numFmt w:val="decimal"/>
      <w:lvlText w:val="%5."/>
      <w:lvlJc w:val="left"/>
      <w:pPr>
        <w:ind w:left="3600" w:hanging="360"/>
      </w:pPr>
    </w:lvl>
    <w:lvl w:ilvl="5">
      <w:start w:val="41"/>
      <w:numFmt w:val="decimal"/>
      <w:lvlText w:val="%6."/>
      <w:lvlJc w:val="left"/>
      <w:pPr>
        <w:ind w:left="4320" w:hanging="360"/>
      </w:pPr>
    </w:lvl>
    <w:lvl w:ilvl="6">
      <w:start w:val="41"/>
      <w:numFmt w:val="decimal"/>
      <w:lvlText w:val="%7."/>
      <w:lvlJc w:val="left"/>
      <w:pPr>
        <w:ind w:left="5040" w:hanging="360"/>
      </w:pPr>
    </w:lvl>
    <w:lvl w:ilvl="7">
      <w:start w:val="41"/>
      <w:numFmt w:val="decimal"/>
      <w:lvlText w:val="%8."/>
      <w:lvlJc w:val="left"/>
      <w:pPr>
        <w:ind w:left="5760" w:hanging="360"/>
      </w:pPr>
    </w:lvl>
    <w:lvl w:ilvl="8">
      <w:start w:val="41"/>
      <w:numFmt w:val="decimal"/>
      <w:lvlText w:val="%9."/>
      <w:lvlJc w:val="left"/>
      <w:pPr>
        <w:ind w:left="6480" w:hanging="360"/>
      </w:pPr>
    </w:lvl>
  </w:abstractNum>
  <w:abstractNum w:abstractNumId="994143">
    <w:nsid w:val="0A994143"/>
    <w:multiLevelType w:val="multilevel"/>
    <w:lvl w:ilvl="0">
      <w:start w:val="43"/>
      <w:numFmt w:val="decimal"/>
      <w:lvlText w:val="%1."/>
      <w:lvlJc w:val="left"/>
      <w:pPr>
        <w:ind w:left="720" w:hanging="360"/>
      </w:pPr>
    </w:lvl>
    <w:lvl w:ilvl="1">
      <w:start w:val="43"/>
      <w:numFmt w:val="decimal"/>
      <w:lvlText w:val="%2."/>
      <w:lvlJc w:val="left"/>
      <w:pPr>
        <w:ind w:left="1440" w:hanging="360"/>
      </w:pPr>
    </w:lvl>
    <w:lvl w:ilvl="2">
      <w:start w:val="43"/>
      <w:numFmt w:val="decimal"/>
      <w:lvlText w:val="%3."/>
      <w:lvlJc w:val="left"/>
      <w:pPr>
        <w:ind w:left="2160" w:hanging="360"/>
      </w:pPr>
    </w:lvl>
    <w:lvl w:ilvl="3">
      <w:start w:val="43"/>
      <w:numFmt w:val="decimal"/>
      <w:lvlText w:val="%4."/>
      <w:lvlJc w:val="left"/>
      <w:pPr>
        <w:ind w:left="2880" w:hanging="360"/>
      </w:pPr>
    </w:lvl>
    <w:lvl w:ilvl="4">
      <w:start w:val="43"/>
      <w:numFmt w:val="decimal"/>
      <w:lvlText w:val="%5."/>
      <w:lvlJc w:val="left"/>
      <w:pPr>
        <w:ind w:left="3600" w:hanging="360"/>
      </w:pPr>
    </w:lvl>
    <w:lvl w:ilvl="5">
      <w:start w:val="43"/>
      <w:numFmt w:val="decimal"/>
      <w:lvlText w:val="%6."/>
      <w:lvlJc w:val="left"/>
      <w:pPr>
        <w:ind w:left="4320" w:hanging="360"/>
      </w:pPr>
    </w:lvl>
    <w:lvl w:ilvl="6">
      <w:start w:val="43"/>
      <w:numFmt w:val="decimal"/>
      <w:lvlText w:val="%7."/>
      <w:lvlJc w:val="left"/>
      <w:pPr>
        <w:ind w:left="5040" w:hanging="360"/>
      </w:pPr>
    </w:lvl>
    <w:lvl w:ilvl="7">
      <w:start w:val="43"/>
      <w:numFmt w:val="decimal"/>
      <w:lvlText w:val="%8."/>
      <w:lvlJc w:val="left"/>
      <w:pPr>
        <w:ind w:left="5760" w:hanging="360"/>
      </w:pPr>
    </w:lvl>
    <w:lvl w:ilvl="8">
      <w:start w:val="43"/>
      <w:numFmt w:val="decimal"/>
      <w:lvlText w:val="%9."/>
      <w:lvlJc w:val="left"/>
      <w:pPr>
        <w:ind w:left="6480" w:hanging="360"/>
      </w:pPr>
    </w:lvl>
  </w:abstractNum>
  <w:abstractNum w:abstractNumId="994146">
    <w:nsid w:val="0A994146"/>
    <w:multiLevelType w:val="multilevel"/>
    <w:lvl w:ilvl="0">
      <w:start w:val="46"/>
      <w:numFmt w:val="decimal"/>
      <w:lvlText w:val="%1."/>
      <w:lvlJc w:val="left"/>
      <w:pPr>
        <w:ind w:left="720" w:hanging="360"/>
      </w:pPr>
    </w:lvl>
    <w:lvl w:ilvl="1">
      <w:start w:val="46"/>
      <w:numFmt w:val="decimal"/>
      <w:lvlText w:val="%2."/>
      <w:lvlJc w:val="left"/>
      <w:pPr>
        <w:ind w:left="1440" w:hanging="360"/>
      </w:pPr>
    </w:lvl>
    <w:lvl w:ilvl="2">
      <w:start w:val="46"/>
      <w:numFmt w:val="decimal"/>
      <w:lvlText w:val="%3."/>
      <w:lvlJc w:val="left"/>
      <w:pPr>
        <w:ind w:left="2160" w:hanging="360"/>
      </w:pPr>
    </w:lvl>
    <w:lvl w:ilvl="3">
      <w:start w:val="46"/>
      <w:numFmt w:val="decimal"/>
      <w:lvlText w:val="%4."/>
      <w:lvlJc w:val="left"/>
      <w:pPr>
        <w:ind w:left="2880" w:hanging="360"/>
      </w:pPr>
    </w:lvl>
    <w:lvl w:ilvl="4">
      <w:start w:val="46"/>
      <w:numFmt w:val="decimal"/>
      <w:lvlText w:val="%5."/>
      <w:lvlJc w:val="left"/>
      <w:pPr>
        <w:ind w:left="3600" w:hanging="360"/>
      </w:pPr>
    </w:lvl>
    <w:lvl w:ilvl="5">
      <w:start w:val="46"/>
      <w:numFmt w:val="decimal"/>
      <w:lvlText w:val="%6."/>
      <w:lvlJc w:val="left"/>
      <w:pPr>
        <w:ind w:left="4320" w:hanging="360"/>
      </w:pPr>
    </w:lvl>
    <w:lvl w:ilvl="6">
      <w:start w:val="46"/>
      <w:numFmt w:val="decimal"/>
      <w:lvlText w:val="%7."/>
      <w:lvlJc w:val="left"/>
      <w:pPr>
        <w:ind w:left="5040" w:hanging="360"/>
      </w:pPr>
    </w:lvl>
    <w:lvl w:ilvl="7">
      <w:start w:val="46"/>
      <w:numFmt w:val="decimal"/>
      <w:lvlText w:val="%8."/>
      <w:lvlJc w:val="left"/>
      <w:pPr>
        <w:ind w:left="5760" w:hanging="360"/>
      </w:pPr>
    </w:lvl>
    <w:lvl w:ilvl="8">
      <w:start w:val="4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5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6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7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18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19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20">
    <w:abstractNumId w:val="9941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021">
    <w:abstractNumId w:val="994127"/>
    <w:lvlOverride w:ilvl="0">
      <w:startOverride w:val="27"/>
    </w:lvlOverride>
    <w:lvlOverride w:ilvl="1">
      <w:startOverride w:val="27"/>
    </w:lvlOverride>
    <w:lvlOverride w:ilvl="2">
      <w:startOverride w:val="27"/>
    </w:lvlOverride>
    <w:lvlOverride w:ilvl="3">
      <w:startOverride w:val="27"/>
    </w:lvlOverride>
    <w:lvlOverride w:ilvl="4">
      <w:startOverride w:val="27"/>
    </w:lvlOverride>
    <w:lvlOverride w:ilvl="5">
      <w:startOverride w:val="27"/>
    </w:lvlOverride>
    <w:lvlOverride w:ilvl="6">
      <w:startOverride w:val="27"/>
    </w:lvlOverride>
    <w:lvlOverride w:ilvl="7">
      <w:startOverride w:val="27"/>
    </w:lvlOverride>
    <w:lvlOverride w:ilvl="8">
      <w:startOverride w:val="27"/>
    </w:lvlOverride>
  </w:num>
  <w:num w:numId="1022">
    <w:abstractNumId w:val="994129"/>
    <w:lvlOverride w:ilvl="0">
      <w:startOverride w:val="29"/>
    </w:lvlOverride>
    <w:lvlOverride w:ilvl="1">
      <w:startOverride w:val="29"/>
    </w:lvlOverride>
    <w:lvlOverride w:ilvl="2">
      <w:startOverride w:val="29"/>
    </w:lvlOverride>
    <w:lvlOverride w:ilvl="3">
      <w:startOverride w:val="29"/>
    </w:lvlOverride>
    <w:lvlOverride w:ilvl="4">
      <w:startOverride w:val="29"/>
    </w:lvlOverride>
    <w:lvlOverride w:ilvl="5">
      <w:startOverride w:val="29"/>
    </w:lvlOverride>
    <w:lvlOverride w:ilvl="6">
      <w:startOverride w:val="29"/>
    </w:lvlOverride>
    <w:lvlOverride w:ilvl="7">
      <w:startOverride w:val="29"/>
    </w:lvlOverride>
    <w:lvlOverride w:ilvl="8">
      <w:startOverride w:val="29"/>
    </w:lvlOverride>
  </w:num>
  <w:num w:numId="1023">
    <w:abstractNumId w:val="994131"/>
    <w:lvlOverride w:ilvl="0">
      <w:startOverride w:val="31"/>
    </w:lvlOverride>
    <w:lvlOverride w:ilvl="1">
      <w:startOverride w:val="31"/>
    </w:lvlOverride>
    <w:lvlOverride w:ilvl="2">
      <w:startOverride w:val="31"/>
    </w:lvlOverride>
    <w:lvlOverride w:ilvl="3">
      <w:startOverride w:val="31"/>
    </w:lvlOverride>
    <w:lvlOverride w:ilvl="4">
      <w:startOverride w:val="31"/>
    </w:lvlOverride>
    <w:lvlOverride w:ilvl="5">
      <w:startOverride w:val="31"/>
    </w:lvlOverride>
    <w:lvlOverride w:ilvl="6">
      <w:startOverride w:val="31"/>
    </w:lvlOverride>
    <w:lvlOverride w:ilvl="7">
      <w:startOverride w:val="31"/>
    </w:lvlOverride>
    <w:lvlOverride w:ilvl="8">
      <w:startOverride w:val="31"/>
    </w:lvlOverride>
  </w:num>
  <w:num w:numId="1024">
    <w:abstractNumId w:val="994132"/>
    <w:lvlOverride w:ilvl="0">
      <w:startOverride w:val="32"/>
    </w:lvlOverride>
    <w:lvlOverride w:ilvl="1">
      <w:startOverride w:val="32"/>
    </w:lvlOverride>
    <w:lvlOverride w:ilvl="2">
      <w:startOverride w:val="32"/>
    </w:lvlOverride>
    <w:lvlOverride w:ilvl="3">
      <w:startOverride w:val="32"/>
    </w:lvlOverride>
    <w:lvlOverride w:ilvl="4">
      <w:startOverride w:val="32"/>
    </w:lvlOverride>
    <w:lvlOverride w:ilvl="5">
      <w:startOverride w:val="32"/>
    </w:lvlOverride>
    <w:lvlOverride w:ilvl="6">
      <w:startOverride w:val="32"/>
    </w:lvlOverride>
    <w:lvlOverride w:ilvl="7">
      <w:startOverride w:val="32"/>
    </w:lvlOverride>
    <w:lvlOverride w:ilvl="8">
      <w:startOverride w:val="32"/>
    </w:lvlOverride>
  </w:num>
  <w:num w:numId="1025">
    <w:abstractNumId w:val="994134"/>
    <w:lvlOverride w:ilvl="0">
      <w:startOverride w:val="34"/>
    </w:lvlOverride>
    <w:lvlOverride w:ilvl="1">
      <w:startOverride w:val="34"/>
    </w:lvlOverride>
    <w:lvlOverride w:ilvl="2">
      <w:startOverride w:val="34"/>
    </w:lvlOverride>
    <w:lvlOverride w:ilvl="3">
      <w:startOverride w:val="34"/>
    </w:lvlOverride>
    <w:lvlOverride w:ilvl="4">
      <w:startOverride w:val="34"/>
    </w:lvlOverride>
    <w:lvlOverride w:ilvl="5">
      <w:startOverride w:val="34"/>
    </w:lvlOverride>
    <w:lvlOverride w:ilvl="6">
      <w:startOverride w:val="34"/>
    </w:lvlOverride>
    <w:lvlOverride w:ilvl="7">
      <w:startOverride w:val="34"/>
    </w:lvlOverride>
    <w:lvlOverride w:ilvl="8">
      <w:startOverride w:val="34"/>
    </w:lvlOverride>
  </w:num>
  <w:num w:numId="1026">
    <w:abstractNumId w:val="994136"/>
    <w:lvlOverride w:ilvl="0">
      <w:startOverride w:val="36"/>
    </w:lvlOverride>
    <w:lvlOverride w:ilvl="1">
      <w:startOverride w:val="36"/>
    </w:lvlOverride>
    <w:lvlOverride w:ilvl="2">
      <w:startOverride w:val="36"/>
    </w:lvlOverride>
    <w:lvlOverride w:ilvl="3">
      <w:startOverride w:val="36"/>
    </w:lvlOverride>
    <w:lvlOverride w:ilvl="4">
      <w:startOverride w:val="36"/>
    </w:lvlOverride>
    <w:lvlOverride w:ilvl="5">
      <w:startOverride w:val="36"/>
    </w:lvlOverride>
    <w:lvlOverride w:ilvl="6">
      <w:startOverride w:val="36"/>
    </w:lvlOverride>
    <w:lvlOverride w:ilvl="7">
      <w:startOverride w:val="36"/>
    </w:lvlOverride>
    <w:lvlOverride w:ilvl="8">
      <w:startOverride w:val="36"/>
    </w:lvlOverride>
  </w:num>
  <w:num w:numId="1027">
    <w:abstractNumId w:val="994138"/>
    <w:lvlOverride w:ilvl="0">
      <w:startOverride w:val="38"/>
    </w:lvlOverride>
    <w:lvlOverride w:ilvl="1">
      <w:startOverride w:val="38"/>
    </w:lvlOverride>
    <w:lvlOverride w:ilvl="2">
      <w:startOverride w:val="38"/>
    </w:lvlOverride>
    <w:lvlOverride w:ilvl="3">
      <w:startOverride w:val="38"/>
    </w:lvlOverride>
    <w:lvlOverride w:ilvl="4">
      <w:startOverride w:val="38"/>
    </w:lvlOverride>
    <w:lvlOverride w:ilvl="5">
      <w:startOverride w:val="38"/>
    </w:lvlOverride>
    <w:lvlOverride w:ilvl="6">
      <w:startOverride w:val="38"/>
    </w:lvlOverride>
    <w:lvlOverride w:ilvl="7">
      <w:startOverride w:val="38"/>
    </w:lvlOverride>
    <w:lvlOverride w:ilvl="8">
      <w:startOverride w:val="38"/>
    </w:lvlOverride>
  </w:num>
  <w:num w:numId="1028">
    <w:abstractNumId w:val="994139"/>
    <w:lvlOverride w:ilvl="0">
      <w:startOverride w:val="39"/>
    </w:lvlOverride>
    <w:lvlOverride w:ilvl="1">
      <w:startOverride w:val="39"/>
    </w:lvlOverride>
    <w:lvlOverride w:ilvl="2">
      <w:startOverride w:val="39"/>
    </w:lvlOverride>
    <w:lvlOverride w:ilvl="3">
      <w:startOverride w:val="39"/>
    </w:lvlOverride>
    <w:lvlOverride w:ilvl="4">
      <w:startOverride w:val="39"/>
    </w:lvlOverride>
    <w:lvlOverride w:ilvl="5">
      <w:startOverride w:val="39"/>
    </w:lvlOverride>
    <w:lvlOverride w:ilvl="6">
      <w:startOverride w:val="39"/>
    </w:lvlOverride>
    <w:lvlOverride w:ilvl="7">
      <w:startOverride w:val="39"/>
    </w:lvlOverride>
    <w:lvlOverride w:ilvl="8">
      <w:startOverride w:val="39"/>
    </w:lvlOverride>
  </w:num>
  <w:num w:numId="1029">
    <w:abstractNumId w:val="994141"/>
    <w:lvlOverride w:ilvl="0">
      <w:startOverride w:val="41"/>
    </w:lvlOverride>
    <w:lvlOverride w:ilvl="1">
      <w:startOverride w:val="41"/>
    </w:lvlOverride>
    <w:lvlOverride w:ilvl="2">
      <w:startOverride w:val="41"/>
    </w:lvlOverride>
    <w:lvlOverride w:ilvl="3">
      <w:startOverride w:val="41"/>
    </w:lvlOverride>
    <w:lvlOverride w:ilvl="4">
      <w:startOverride w:val="41"/>
    </w:lvlOverride>
    <w:lvlOverride w:ilvl="5">
      <w:startOverride w:val="41"/>
    </w:lvlOverride>
    <w:lvlOverride w:ilvl="6">
      <w:startOverride w:val="41"/>
    </w:lvlOverride>
    <w:lvlOverride w:ilvl="7">
      <w:startOverride w:val="41"/>
    </w:lvlOverride>
    <w:lvlOverride w:ilvl="8">
      <w:startOverride w:val="41"/>
    </w:lvlOverride>
  </w:num>
  <w:num w:numId="1030">
    <w:abstractNumId w:val="994143"/>
    <w:lvlOverride w:ilvl="0">
      <w:startOverride w:val="43"/>
    </w:lvlOverride>
    <w:lvlOverride w:ilvl="1">
      <w:startOverride w:val="43"/>
    </w:lvlOverride>
    <w:lvlOverride w:ilvl="2">
      <w:startOverride w:val="43"/>
    </w:lvlOverride>
    <w:lvlOverride w:ilvl="3">
      <w:startOverride w:val="43"/>
    </w:lvlOverride>
    <w:lvlOverride w:ilvl="4">
      <w:startOverride w:val="43"/>
    </w:lvlOverride>
    <w:lvlOverride w:ilvl="5">
      <w:startOverride w:val="43"/>
    </w:lvlOverride>
    <w:lvlOverride w:ilvl="6">
      <w:startOverride w:val="43"/>
    </w:lvlOverride>
    <w:lvlOverride w:ilvl="7">
      <w:startOverride w:val="43"/>
    </w:lvlOverride>
    <w:lvlOverride w:ilvl="8">
      <w:startOverride w:val="43"/>
    </w:lvlOverride>
  </w:num>
  <w:num w:numId="1031">
    <w:abstractNumId w:val="994146"/>
    <w:lvlOverride w:ilvl="0">
      <w:startOverride w:val="46"/>
    </w:lvlOverride>
    <w:lvlOverride w:ilvl="1">
      <w:startOverride w:val="46"/>
    </w:lvlOverride>
    <w:lvlOverride w:ilvl="2">
      <w:startOverride w:val="46"/>
    </w:lvlOverride>
    <w:lvlOverride w:ilvl="3">
      <w:startOverride w:val="46"/>
    </w:lvlOverride>
    <w:lvlOverride w:ilvl="4">
      <w:startOverride w:val="46"/>
    </w:lvlOverride>
    <w:lvlOverride w:ilvl="5">
      <w:startOverride w:val="46"/>
    </w:lvlOverride>
    <w:lvlOverride w:ilvl="6">
      <w:startOverride w:val="46"/>
    </w:lvlOverride>
    <w:lvlOverride w:ilvl="7">
      <w:startOverride w:val="46"/>
    </w:lvlOverride>
    <w:lvlOverride w:ilvl="8">
      <w:startOverride w:val="4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240" w:lineRule="auto" w:before="0" w:after="0"/>
    </w:pPr>
    <w:rPr>
      <w:rFonts w:ascii="Times New Roman" w:hAnsi="Times New Roman"/>
      <w:sz w:val="24"/>
    </w:rPr>
  </w:style>
  <w:style w:styleId="BodyText" w:type="paragraph">
    <w:name w:val="Body Text"/>
    <w:basedOn w:val="Normal"/>
    <w:link w:val="BodyTextChar"/>
    <w:qFormat/>
    <w:pPr>
      <w:spacing w:after="0" w:before="0" w:line="240" w:lineRule="auto"/>
    </w:pPr>
    <w:rPr>
      <w:rFonts w:ascii="Times New Roman" w:hAnsi="Times New Roman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line="240" w:lineRule="auto" w:before="0" w:after="0"/>
    </w:pPr>
    <w:rPr>
      <w:rFonts w:ascii="Times New Roman" w:hAnsi="Times New Roman"/>
      <w:sz w:val="24"/>
    </w:rPr>
  </w:style>
  <w:style w:customStyle="1" w:styleId="Compact" w:type="paragraph">
    <w:name w:val="Compact"/>
    <w:basedOn w:val="BodyText"/>
    <w:qFormat/>
    <w:pPr>
      <w:spacing w:after="0" w:before="0" w:line="240" w:lineRule="auto"/>
    </w:pPr>
    <w:rPr>
      <w:rFonts w:ascii="Times New Roman" w:hAnsi="Times New Roman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0" w:line="240" w:lineRule="auto" w:before="0"/>
      <w:contextualSpacing/>
      <w:jc w:val="center"/>
    </w:pPr>
    <w:rPr>
      <w:rFonts w:asciiTheme="majorHAnsi" w:cstheme="majorBidi" w:eastAsiaTheme="majorEastAsia" w:hAnsiTheme="majorHAnsi" w:ascii="Times New Roman" w:hAnsi="Times New Roman"/>
      <w:sz w:val="2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line="240" w:lineRule="auto" w:before="0" w:after="0"/>
    </w:pPr>
    <w:rPr>
      <w:rFonts w:cstheme="majorBidi" w:eastAsiaTheme="majorEastAsia" w:ascii="Times New Roman" w:hAnsi="Times New Roman"/>
      <w:spacing w:val="15"/>
      <w:sz w:val="24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spacing w:line="240" w:lineRule="auto" w:before="0" w:after="0"/>
    </w:pPr>
    <w:rPr>
      <w:rFonts w:ascii="Times New Roman" w:hAnsi="Times New Roma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  <w:spacing w:line="240" w:lineRule="auto" w:before="0" w:after="0"/>
    </w:pPr>
    <w:rPr>
      <w:rFonts w:ascii="Times New Roman" w:hAnsi="Times New Roma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0" w:line="240" w:lineRule="auto"/>
      <w:jc w:val="center"/>
    </w:pPr>
    <w:rPr>
      <w:rFonts w:ascii="Times New Roman" w:hAnsi="Times New Roman"/>
      <w:b/>
      <w:sz w:val="24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0" w:before="0" w:line="240" w:lineRule="auto"/>
    </w:pPr>
    <w:rPr>
      <w:rFonts w:ascii="Times New Roman" w:hAnsi="Times New Roman"/>
      <w:sz w:val="24"/>
      <w:szCs w:val="20"/>
    </w:rPr>
  </w:style>
  <w:style w:styleId="Bibliography" w:type="paragraph">
    <w:name w:val="Bibliography"/>
    <w:basedOn w:val="Normal"/>
    <w:next w:val="Bibliography"/>
    <w:qFormat/>
    <w:pPr>
      <w:spacing w:line="240" w:lineRule="auto" w:before="0" w:after="0"/>
    </w:pPr>
    <w:rPr>
      <w:rFonts w:ascii="Times New Roman" w:hAnsi="Times New Roman"/>
      <w:sz w:val="24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0" w:before="0" w:line="240" w:lineRule="auto"/>
      <w:outlineLvl w:val="0"/>
    </w:pPr>
    <w:rPr>
      <w:rFonts w:asciiTheme="majorHAnsi" w:cstheme="majorBidi" w:eastAsiaTheme="majorEastAsia" w:hAnsiTheme="majorHAnsi" w:ascii="Times New Roman" w:hAnsi="Times New Roman"/>
      <w:color w:themeColor="accent1" w:themeShade="BF" w:val="0F4761"/>
      <w:sz w:val="2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0" w:before="0" w:line="240" w:lineRule="auto"/>
      <w:outlineLvl w:val="1"/>
    </w:pPr>
    <w:rPr>
      <w:rFonts w:asciiTheme="majorHAnsi" w:cstheme="majorBidi" w:eastAsiaTheme="majorEastAsia" w:hAnsiTheme="majorHAnsi" w:ascii="Times New Roman" w:hAnsi="Times New Roman"/>
      <w:color w:themeColor="accent1" w:themeShade="BF" w:val="0F4761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0" w:before="0" w:line="240" w:lineRule="auto"/>
      <w:outlineLvl w:val="2"/>
    </w:pPr>
    <w:rPr>
      <w:rFonts w:cstheme="majorBidi" w:eastAsiaTheme="majorEastAsia" w:ascii="Times New Roman" w:hAnsi="Times New Roman"/>
      <w:color w:themeColor="accent1" w:themeShade="BF" w:val="0F4761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0" w:before="0" w:line="240" w:lineRule="auto"/>
      <w:outlineLvl w:val="3"/>
    </w:pPr>
    <w:rPr>
      <w:rFonts w:cstheme="majorBidi" w:eastAsiaTheme="majorEastAsia" w:ascii="Times New Roman" w:hAnsi="Times New Roman"/>
      <w:i/>
      <w:iCs/>
      <w:color w:themeColor="accent1" w:themeShade="BF" w:val="0F4761"/>
      <w:sz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0" w:before="0" w:line="240" w:lineRule="auto"/>
      <w:outlineLvl w:val="4"/>
    </w:pPr>
    <w:rPr>
      <w:rFonts w:cstheme="majorBidi" w:eastAsiaTheme="majorEastAsia" w:ascii="Times New Roman" w:hAnsi="Times New Roman"/>
      <w:color w:themeColor="accent1" w:themeShade="BF" w:val="0F4761"/>
      <w:sz w:val="24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0" w:line="240" w:lineRule="auto"/>
      <w:outlineLvl w:val="5"/>
    </w:pPr>
    <w:rPr>
      <w:rFonts w:cstheme="majorBidi" w:eastAsiaTheme="majorEastAsia" w:ascii="Times New Roman" w:hAnsi="Times New Roman"/>
      <w:i/>
      <w:iCs/>
      <w:color w:themeColor="text1" w:themeTint="A6" w:val="595959"/>
      <w:sz w:val="24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0" w:line="240" w:lineRule="auto"/>
      <w:outlineLvl w:val="6"/>
    </w:pPr>
    <w:rPr>
      <w:rFonts w:cstheme="majorBidi" w:eastAsiaTheme="majorEastAsia" w:ascii="Times New Roman" w:hAnsi="Times New Roman"/>
      <w:color w:themeColor="text1" w:themeTint="A6" w:val="595959"/>
      <w:sz w:val="24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 w:line="240" w:lineRule="auto" w:before="0"/>
      <w:outlineLvl w:val="7"/>
    </w:pPr>
    <w:rPr>
      <w:rFonts w:cstheme="majorBidi" w:eastAsiaTheme="majorEastAsia" w:ascii="Times New Roman" w:hAnsi="Times New Roman"/>
      <w:i/>
      <w:iCs/>
      <w:color w:themeColor="text1" w:themeTint="D8" w:val="272727"/>
      <w:sz w:val="24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 w:line="240" w:lineRule="auto" w:before="0"/>
      <w:outlineLvl w:val="8"/>
    </w:pPr>
    <w:rPr>
      <w:rFonts w:cstheme="majorBidi" w:eastAsiaTheme="majorEastAsia" w:ascii="Times New Roman" w:hAnsi="Times New Roman"/>
      <w:color w:themeColor="text1" w:themeTint="D8" w:val="272727"/>
      <w:sz w:val="24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 w:line="240" w:lineRule="auto"/>
      <w:ind w:firstLine="0" w:left="480" w:right="480"/>
    </w:pPr>
    <w:rPr>
      <w:rFonts w:ascii="Times New Roman" w:hAnsi="Times New Roman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line="240" w:lineRule="auto" w:before="0" w:after="0"/>
    </w:pPr>
    <w:rPr>
      <w:rFonts w:ascii="Times New Roman" w:hAnsi="Times New Roman"/>
      <w:sz w:val="24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0" w:before="0" w:line="240" w:lineRule="auto"/>
      <w:ind w:firstLine="0" w:left="480" w:right="480"/>
    </w:pPr>
    <w:rPr>
      <w:rFonts w:ascii="Times New Roman" w:hAnsi="Times New Roman"/>
      <w:sz w:val="24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pPr>
      <w:spacing w:line="240" w:lineRule="auto" w:before="0" w:after="0"/>
    </w:pPr>
    <w:rPr>
      <w:rFonts w:ascii="Times New Roman" w:hAnsi="Times New Roman"/>
      <w:sz w:val="24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 w:line="240" w:lineRule="auto" w:before="0"/>
    </w:pPr>
    <w:rPr>
      <w:rFonts w:ascii="Times New Roman" w:hAnsi="Times New Roman"/>
      <w:b/>
      <w:sz w:val="24"/>
    </w:rPr>
  </w:style>
  <w:style w:customStyle="1" w:styleId="Definition" w:type="paragraph">
    <w:name w:val="Definition"/>
    <w:basedOn w:val="Normal"/>
    <w:pPr>
      <w:spacing w:line="240" w:lineRule="auto" w:before="0" w:after="0"/>
    </w:pPr>
    <w:rPr>
      <w:rFonts w:ascii="Times New Roman" w:hAnsi="Times New Roman"/>
      <w:sz w:val="24"/>
    </w:rPr>
  </w:style>
  <w:style w:styleId="Caption" w:type="paragraph">
    <w:name w:val="Caption"/>
    <w:basedOn w:val="Normal"/>
    <w:link w:val="BodyTextChar"/>
    <w:pPr>
      <w:spacing w:after="0" w:before="0" w:line="240" w:lineRule="auto"/>
    </w:pPr>
    <w:rPr>
      <w:rFonts w:ascii="Times New Roman" w:hAnsi="Times New Roman"/>
      <w:i/>
      <w:sz w:val="24"/>
    </w:rPr>
  </w:style>
  <w:style w:customStyle="1" w:styleId="TableCaption" w:type="paragraph">
    <w:name w:val="Table Caption"/>
    <w:basedOn w:val="Caption"/>
    <w:pPr>
      <w:keepNext/>
      <w:spacing w:line="240" w:lineRule="auto" w:before="0" w:after="0"/>
    </w:pPr>
    <w:rPr>
      <w:rFonts w:ascii="Times New Roman" w:hAnsi="Times New Roman"/>
      <w:sz w:val="24"/>
    </w:rPr>
  </w:style>
  <w:style w:customStyle="1" w:styleId="ImageCaption" w:type="paragraph">
    <w:name w:val="Image Caption"/>
    <w:basedOn w:val="Caption"/>
    <w:pPr>
      <w:spacing w:line="240" w:lineRule="auto" w:before="0" w:after="0"/>
    </w:pPr>
    <w:rPr>
      <w:rFonts w:ascii="Times New Roman" w:hAnsi="Times New Roman"/>
      <w:sz w:val="24"/>
    </w:rPr>
  </w:style>
  <w:style w:customStyle="1" w:styleId="Figure" w:type="paragraph">
    <w:name w:val="Figure"/>
    <w:basedOn w:val="Normal"/>
    <w:pPr>
      <w:spacing w:line="240" w:lineRule="auto" w:before="0" w:after="0"/>
    </w:pPr>
    <w:rPr>
      <w:rFonts w:ascii="Times New Roman" w:hAnsi="Times New Roman"/>
      <w:sz w:val="24"/>
    </w:rPr>
  </w:style>
  <w:style w:customStyle="1" w:styleId="CaptionedFigure" w:type="paragraph">
    <w:name w:val="Captioned Figure"/>
    <w:basedOn w:val="Figure"/>
    <w:pPr>
      <w:keepNext/>
      <w:spacing w:line="240" w:lineRule="auto" w:before="0" w:after="0"/>
    </w:pPr>
    <w:rPr>
      <w:rFonts w:ascii="Times New Roman" w:hAnsi="Times New Roman"/>
      <w:sz w:val="24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0" w:line="240" w:lineRule="auto" w:after="0"/>
      <w:outlineLvl w:val="9"/>
    </w:pPr>
    <w:rPr>
      <w:rFonts w:asciiTheme="majorHAnsi" w:cstheme="majorBidi" w:eastAsiaTheme="majorEastAsia" w:hAnsiTheme="majorHAnsi" w:ascii="Times New Roman" w:hAnsi="Times New Roman"/>
      <w:b w:val="0"/>
      <w:bCs w:val="0"/>
      <w:color w:themeColor="accent1" w:themeShade="BF" w:val="365F91"/>
      <w:sz w:val="24"/>
    </w:rPr>
  </w:style>
  <w:style w:type="paragraph" w:customStyle="1" w:styleId="SourceCode">
    <w:name w:val="Source Code"/>
    <w:basedOn w:val="Normal"/>
    <w:link w:val="VerbatimChar"/>
    <w:pPr>
      <w:wordWrap w:val="off"/>
      <w:spacing w:line="240" w:lineRule="auto" w:before="0" w:after="0"/>
    </w:pPr>
    <w:rPr>
      <w:rFonts w:ascii="Times New Roman" w:hAnsi="Times New Roman"/>
      <w:sz w:val="24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2026-08-29T04:05:23Z</dcterms:created>
  <dcterms:modified xsi:type="dcterms:W3CDTF">2026-08-29T04:05:23Z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