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59A0" w14:textId="77777777" w:rsidR="00C95FC7" w:rsidRPr="0085004B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HR Retention Analytics Project – Alpha Manufacturing Solutions</w:t>
      </w:r>
    </w:p>
    <w:p w14:paraId="10D73EFF" w14:textId="77777777" w:rsidR="00C95FC7" w:rsidRPr="0085004B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Meridian People Analytics Consulting</w:t>
      </w:r>
    </w:p>
    <w:p w14:paraId="2C987762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Rate by Tenure</w:t>
      </w:r>
    </w:p>
    <w:p w14:paraId="7028ADA9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The tenure analysis reveals a significant variation in attrition risk depending on how long employees have been with the company. Employees with 0–2 years of tenure show a very low attrition rate of approximately **0.0200 (2%)**, indicating that new employees are generally retained successfully during their initial onboarding period.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However, attrition increases dramatically for employees with **3–5 years of tenure**, where the attrition rate rises to approximately **0.3150 (31.5%)**. This represents the highest turnover segment in the workforce and suggests that mid‑career employees may be leaving due to limited advancement opportunities, compensation concerns, or external job opportunities.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For employees with **6–10 years of tenure**, attrition declines to approximately **0.1650 (16.5%)**. While this is significantly lower than the mid‑tenure group, it still indicates meaningful turnover among experienced employees.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From a consulting perspective, the data suggests that **the 3–5 year employee segment is the highest risk population** and should be prioritized for retention initiatives such as promotion opportunities, leadership development programs, and compensation benchmarking.</w:t>
      </w:r>
    </w:p>
    <w:p w14:paraId="639B1C09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F941E47" wp14:editId="605A4E93">
            <wp:extent cx="5303520" cy="4189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77D6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Workforce Distribution by Tenure</w:t>
      </w:r>
    </w:p>
    <w:p w14:paraId="2AF51C2B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The workforce distribution chart shows that the majority of employees fall within the **3–5 year tenure band**, with approximately **10,500 employees** in this group. In comparison, there are approximately **3,200 employees** in the **0–2 year group** and about **1,300 employees** in the **6–10 year group**.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This distribution indicates that the organization experienced a major hiring wave roughly three to five years ago, resulting in a large concentration of employees in that tenure band.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When combined with the attrition findings from the previous chart, this distribution is particularly concerning. Since the **largest workforce segment also has the highest attrition rate**, the organization is at risk of losing a substantial portion of its workforce if retention issues are not addressed.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From a workforce planning perspective, losing even **10–15% of the 3–5 year group could represent over 1,000 employees**, creating major operational disruptions and recruitment costs.</w:t>
      </w:r>
    </w:p>
    <w:p w14:paraId="184665C8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38553DE" wp14:editId="2CEF25CB">
            <wp:extent cx="5303520" cy="4096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5A0F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by Tenure and Promotion Status</w:t>
      </w:r>
    </w:p>
    <w:p w14:paraId="317AD854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Promotion history plays a significant role in employee retention. Among employees who **did not receive a promotion**, attrition rates mirror the earlier tenure findings, with approximately **0.0200 (2%) attrition in the 0–2 year group**, rising sharply to **0.3200 (32%) in the 3–5 year group**, and settling near **0.1750 (17.5%) in the 6–10 year group**.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In contrast, employees who **received a promotion within the past five years show dramatically lower attrition levels**. Attrition among promoted employees remains close to **0.0000 (0%) in the 0–2 and 6–10 year groups**, and only around **0.1000 (10%) for employees in the 3–5 year band**.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This difference demonstrates the powerful role that **career progression plays in retaining employees**. Employees who see advancement opportunities are far more likely to remain with the organization.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From a consulting perspective, this finding strongly supports implementing **structured promotion pathways and internal mobility programs**, particularly for employees approaching the 3–5 year tenure milestone.</w:t>
      </w:r>
    </w:p>
    <w:p w14:paraId="50C9D10D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D89B4C9" wp14:editId="56E96D44">
            <wp:extent cx="5303520" cy="4090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9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C4F3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Rate by Employee Satisfaction Level</w:t>
      </w:r>
    </w:p>
    <w:p w14:paraId="00418755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Employee satisfaction exhibits one of the strongest relationships with attrition. Employees in the **lowest satisfaction bins show extremely high attrition levels**, with rates around **0.5100 (51%) and 0.6700 (67%)** for the two lowest satisfaction groups.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In contrast, employees with **moderate satisfaction levels experience dramatically lower attrition of approximately 0.0500 (5%)**, representing the lowest attrition segment in the analysis.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Interestingly, attrition increases slightly again for higher satisfaction bins, reaching roughly **0.1200–0.1300 (12–13%)**, although these rates remain far lower than the lowest satisfaction groups.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This pattern suggests that **employee dissatisfaction is one of the primary drivers of turnover**, particularly among disengaged employees. Organizations should closely monitor engagement surveys and identify departments or managers associated with consistently low satisfaction scores.</w:t>
      </w:r>
    </w:p>
    <w:p w14:paraId="6CF16E51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11B945" wp14:editId="46FD77AA">
            <wp:extent cx="5303520" cy="4835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FA3D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Rate by Workload (Average Monthly Hours)</w:t>
      </w:r>
    </w:p>
    <w:p w14:paraId="0389ABBD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Workload analysis shows a clear nonlinear relationship between working hours and attrition risk. Employees working **95–132 hours per month experience attrition around 0.2900 (29%)**, while those working **132–167 hours show attrition near 0.3300 (33%)**.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Interestingly, attrition drops dramatically to approximately **0.0200 (2%)** for employees working **167–203 hours per month**, suggesting that this range may represent an optimal workload level where employees remain engaged but not overworked.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Attrition begins to rise again as workload increases beyond this range, reaching approximately **0.2700 (27%)** for employees working **238–274 hours**, and peaking at **0.7200 (72%)** for those exceeding **274 hours per month**.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These findings strongly suggest that **extreme workloads lead to burnout and significantly increase turnover risk**.</w:t>
      </w:r>
    </w:p>
    <w:p w14:paraId="538E2044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4E4884F" wp14:editId="4E4DE01E">
            <wp:extent cx="5303520" cy="49080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A9CC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Rate by Number of Projects</w:t>
      </w:r>
    </w:p>
    <w:p w14:paraId="4616A976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The number of projects assigned to employees shows a strong U‑shaped relationship with attrition. Employees assigned **two projects show attrition near 0.6500 (65%)**, indicating underutilization or disengagement.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Attrition drops dramatically to approximately **0.0200 (2%) for employees with three projects**, representing the most stable workload level.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Attrition begins increasing again as the number of projects rises, reaching approximately **0.0900 (9%) for four projects**, **0.2200 (22%) for five projects**, and **0.5600 (56%) for six projects**.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Employees handling **seven projects show nearly 1.0000 (100%) attrition**, indicating extreme overload.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lastRenderedPageBreak/>
        <w:t>From a workforce management perspective, the optimal project allocation appears to be **three to four projects per employee**, where attrition risk is lowest.</w:t>
      </w:r>
    </w:p>
    <w:p w14:paraId="6E6FF01A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9BB931" wp14:editId="1D1C3B8F">
            <wp:extent cx="5303520" cy="4255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649" w14:textId="77777777" w:rsidR="00C95FC7" w:rsidRPr="0085004B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Attrition Heatmap by Tenure</w:t>
      </w:r>
    </w:p>
    <w:p w14:paraId="5A0D0D7D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color w:val="000000" w:themeColor="text1"/>
        </w:rPr>
        <w:t>The attrition heatmap provides a condensed visual representation of attrition rates across tenure groups. The heatmap clearly highlights the **3–5 year tenure band as the highest attrition segment**, corresponding to approximately **31.5% attrition**.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In contrast, the **0–2 year group shows minimal attrition near 2%**, while the **6–10 year group falls in the middle with roughly 16–17% attrition**.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The visualization reinforces the key conclusion of the analysis: **mid‑tenure employees represent the most vulnerable group within the workforce**.</w:t>
      </w:r>
      <w:r w:rsidRPr="0085004B">
        <w:rPr>
          <w:rFonts w:ascii="Times New Roman" w:hAnsi="Times New Roman" w:cs="Times New Roman"/>
          <w:color w:val="000000" w:themeColor="text1"/>
        </w:rPr>
        <w:br/>
      </w:r>
      <w:r w:rsidRPr="0085004B">
        <w:rPr>
          <w:rFonts w:ascii="Times New Roman" w:hAnsi="Times New Roman" w:cs="Times New Roman"/>
          <w:color w:val="000000" w:themeColor="text1"/>
        </w:rPr>
        <w:br/>
        <w:t>From a strategic HR perspective, this insight suggests that organizations should focus retention strategies on employees approaching their **third to fifth year**, including promotion opportunities, leadership development, and compensation reviews.</w:t>
      </w:r>
    </w:p>
    <w:p w14:paraId="41CB4EA0" w14:textId="77777777" w:rsidR="00C95FC7" w:rsidRPr="0085004B" w:rsidRDefault="00000000">
      <w:pPr>
        <w:rPr>
          <w:rFonts w:ascii="Times New Roman" w:hAnsi="Times New Roman" w:cs="Times New Roman"/>
          <w:color w:val="000000" w:themeColor="text1"/>
        </w:rPr>
      </w:pPr>
      <w:r w:rsidRPr="0085004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259D9C" wp14:editId="411C6082">
            <wp:extent cx="5303520" cy="21454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FC7" w:rsidRPr="008500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529823">
    <w:abstractNumId w:val="8"/>
  </w:num>
  <w:num w:numId="2" w16cid:durableId="2080051604">
    <w:abstractNumId w:val="6"/>
  </w:num>
  <w:num w:numId="3" w16cid:durableId="1548644490">
    <w:abstractNumId w:val="5"/>
  </w:num>
  <w:num w:numId="4" w16cid:durableId="1065493043">
    <w:abstractNumId w:val="4"/>
  </w:num>
  <w:num w:numId="5" w16cid:durableId="1392386863">
    <w:abstractNumId w:val="7"/>
  </w:num>
  <w:num w:numId="6" w16cid:durableId="616643307">
    <w:abstractNumId w:val="3"/>
  </w:num>
  <w:num w:numId="7" w16cid:durableId="1714771040">
    <w:abstractNumId w:val="2"/>
  </w:num>
  <w:num w:numId="8" w16cid:durableId="1762800711">
    <w:abstractNumId w:val="1"/>
  </w:num>
  <w:num w:numId="9" w16cid:durableId="167452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FEB"/>
    <w:rsid w:val="0085004B"/>
    <w:rsid w:val="00877E27"/>
    <w:rsid w:val="00AA1D8D"/>
    <w:rsid w:val="00B47730"/>
    <w:rsid w:val="00C95F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6B586"/>
  <w14:defaultImageDpi w14:val="300"/>
  <w15:docId w15:val="{5D71B3EE-9237-DB42-8F84-8D8C12AD8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975</Words>
  <Characters>6070</Characters>
  <Application>Microsoft Office Word</Application>
  <DocSecurity>0</DocSecurity>
  <Lines>131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Vlass, Jeffrey G.</cp:lastModifiedBy>
  <cp:revision>2</cp:revision>
  <dcterms:created xsi:type="dcterms:W3CDTF">2026-03-12T23:23:00Z</dcterms:created>
  <dcterms:modified xsi:type="dcterms:W3CDTF">2026-03-12T23:23:00Z</dcterms:modified>
  <cp:category/>
</cp:coreProperties>
</file>