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E55A5">
      <w:pPr>
        <w:spacing w:after="120"/>
        <w:jc w:val="center"/>
        <w:rPr>
          <w:lang w:eastAsia="zh-CN"/>
        </w:rPr>
      </w:pPr>
      <w:r>
        <w:rPr>
          <w:rFonts w:ascii="黑体" w:hAnsi="黑体" w:eastAsia="黑体"/>
          <w:b/>
          <w:sz w:val="34"/>
          <w:lang w:eastAsia="zh-CN"/>
        </w:rPr>
        <w:t>“信息化”项目建设方案</w:t>
      </w:r>
    </w:p>
    <w:p w14:paraId="4DA0778C">
      <w:pPr>
        <w:jc w:val="center"/>
        <w:rPr>
          <w:lang w:eastAsia="zh-CN"/>
        </w:rPr>
      </w:pPr>
      <w:r>
        <w:rPr>
          <w:sz w:val="22"/>
          <w:lang w:eastAsia="zh-CN"/>
        </w:rPr>
        <w:t>中美华东医药 临床研发数据仓库（一期）建设项目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7492"/>
      </w:tblGrid>
      <w:tr w14:paraId="1A051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17A9E21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项目名称</w:t>
            </w:r>
          </w:p>
        </w:tc>
        <w:tc>
          <w:tcPr>
            <w:tcW w:w="7597" w:type="dxa"/>
          </w:tcPr>
          <w:p w14:paraId="3F72D328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中美华东医药临床研发数据仓库（一期）建设项目</w:t>
            </w:r>
          </w:p>
        </w:tc>
      </w:tr>
      <w:tr w14:paraId="2C36A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555844C">
            <w:pPr>
              <w:spacing w:after="0" w:line="240" w:lineRule="auto"/>
              <w:jc w:val="center"/>
            </w:pPr>
            <w:r>
              <w:rPr>
                <w:sz w:val="19"/>
              </w:rPr>
              <w:t>需求部门</w:t>
            </w:r>
          </w:p>
        </w:tc>
        <w:tc>
          <w:tcPr>
            <w:tcW w:w="7597" w:type="dxa"/>
          </w:tcPr>
          <w:p w14:paraId="1FC3F69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临床研发中心（数据管理 / 临床运营 / 药物警戒 / 质量管理）</w:t>
            </w:r>
          </w:p>
        </w:tc>
      </w:tr>
      <w:tr w14:paraId="1796C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F2D35C1">
            <w:pPr>
              <w:spacing w:after="0" w:line="240" w:lineRule="auto"/>
              <w:jc w:val="center"/>
            </w:pPr>
            <w:r>
              <w:rPr>
                <w:sz w:val="19"/>
              </w:rPr>
              <w:t>项目负责人</w:t>
            </w:r>
          </w:p>
        </w:tc>
        <w:tc>
          <w:tcPr>
            <w:tcW w:w="7597" w:type="dxa"/>
          </w:tcPr>
          <w:p w14:paraId="4FAC4BC9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谢蒙生</w:t>
            </w:r>
          </w:p>
        </w:tc>
      </w:tr>
      <w:tr w14:paraId="0FB56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041" w:type="dxa"/>
          </w:tcPr>
          <w:p w14:paraId="485C426D">
            <w:pPr>
              <w:spacing w:after="0" w:line="240" w:lineRule="auto"/>
              <w:jc w:val="center"/>
            </w:pPr>
            <w:r>
              <w:rPr>
                <w:sz w:val="19"/>
              </w:rPr>
              <w:t>项目总投资</w:t>
            </w:r>
          </w:p>
        </w:tc>
        <w:tc>
          <w:tcPr>
            <w:tcW w:w="7597" w:type="dxa"/>
          </w:tcPr>
          <w:p w14:paraId="1664650E">
            <w:pPr>
              <w:spacing w:after="0" w:line="240" w:lineRule="auto"/>
              <w:jc w:val="center"/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val="en-US" w:eastAsia="zh-CN"/>
              </w:rPr>
              <w:t>195</w:t>
            </w:r>
            <w:r>
              <w:rPr>
                <w:rFonts w:hint="eastAsia"/>
                <w:sz w:val="19"/>
                <w:lang w:eastAsia="zh-CN"/>
              </w:rPr>
              <w:t>万元（一期一次性实施费</w:t>
            </w:r>
            <w:r>
              <w:rPr>
                <w:rFonts w:hint="eastAsia"/>
                <w:sz w:val="19"/>
                <w:lang w:val="en-US" w:eastAsia="zh-CN"/>
              </w:rPr>
              <w:t>150万元</w:t>
            </w:r>
            <w:r>
              <w:rPr>
                <w:rFonts w:hint="eastAsia"/>
                <w:sz w:val="19"/>
                <w:lang w:eastAsia="zh-CN"/>
              </w:rPr>
              <w:t>；平台/云资源约</w:t>
            </w:r>
            <w:r>
              <w:rPr>
                <w:rFonts w:hint="eastAsia"/>
                <w:sz w:val="19"/>
                <w:lang w:val="en-US" w:eastAsia="zh-CN"/>
              </w:rPr>
              <w:t>45</w:t>
            </w:r>
            <w:r>
              <w:rPr>
                <w:rFonts w:hint="eastAsia"/>
                <w:sz w:val="19"/>
                <w:lang w:eastAsia="zh-CN"/>
              </w:rPr>
              <w:t>万元）</w:t>
            </w:r>
          </w:p>
        </w:tc>
      </w:tr>
      <w:tr w14:paraId="57A7F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A7A9ECF">
            <w:pPr>
              <w:spacing w:after="0" w:line="240" w:lineRule="auto"/>
              <w:jc w:val="center"/>
            </w:pPr>
            <w:r>
              <w:rPr>
                <w:sz w:val="19"/>
              </w:rPr>
              <w:t>预计起止时间</w:t>
            </w:r>
          </w:p>
        </w:tc>
        <w:tc>
          <w:tcPr>
            <w:tcW w:w="7597" w:type="dxa"/>
          </w:tcPr>
          <w:p w14:paraId="3D9BE1C4">
            <w:pPr>
              <w:spacing w:after="0" w:line="240" w:lineRule="auto"/>
              <w:jc w:val="center"/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2026年7月 — 2026年12月（约 6 个月）</w:t>
            </w:r>
          </w:p>
        </w:tc>
      </w:tr>
      <w:tr w14:paraId="4E599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980E286">
            <w:pPr>
              <w:spacing w:after="0" w:line="240" w:lineRule="auto"/>
            </w:pPr>
            <w:r>
              <w:rPr>
                <w:sz w:val="19"/>
              </w:rPr>
              <w:t>填表人 / 填报时间</w:t>
            </w:r>
          </w:p>
        </w:tc>
        <w:tc>
          <w:tcPr>
            <w:tcW w:w="7597" w:type="dxa"/>
          </w:tcPr>
          <w:p w14:paraId="5E5192C3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谢蒙生</w:t>
            </w:r>
          </w:p>
        </w:tc>
      </w:tr>
    </w:tbl>
    <w:p w14:paraId="2C6E729C">
      <w:pPr>
        <w:spacing w:before="240" w:after="80"/>
        <w:rPr>
          <w:lang w:eastAsia="zh-CN"/>
        </w:rPr>
      </w:pPr>
      <w:r>
        <w:rPr>
          <w:rFonts w:ascii="黑体" w:hAnsi="黑体" w:eastAsia="黑体"/>
          <w:b/>
          <w:sz w:val="26"/>
          <w:lang w:eastAsia="zh-CN"/>
        </w:rPr>
        <w:t>一、现有信息化基础及与项目的关系</w:t>
      </w:r>
    </w:p>
    <w:p w14:paraId="30EB23FD">
      <w:pPr>
        <w:spacing w:after="60" w:line="300" w:lineRule="auto"/>
        <w:ind w:firstLine="420"/>
      </w:pPr>
      <w:r>
        <w:rPr>
          <w:lang w:eastAsia="zh-CN"/>
        </w:rPr>
        <w:t>中美华东医药在临床研发领域已部署多套业务系统，分别支撑临床试验数据采集、项目运营管理与药物警戒等环节，为本项目提供了数据来源基础。</w:t>
      </w:r>
      <w:r>
        <w:t>各系统现状及与本项目的关系概述如下：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8"/>
        <w:gridCol w:w="2261"/>
        <w:gridCol w:w="1488"/>
        <w:gridCol w:w="2089"/>
        <w:gridCol w:w="2089"/>
      </w:tblGrid>
      <w:tr w14:paraId="05FBB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8" w:type="dxa"/>
          </w:tcPr>
          <w:p w14:paraId="5A726A71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现有系统</w:t>
            </w:r>
          </w:p>
        </w:tc>
        <w:tc>
          <w:tcPr>
            <w:tcW w:w="2261" w:type="dxa"/>
          </w:tcPr>
          <w:p w14:paraId="09726179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主要用途</w:t>
            </w:r>
          </w:p>
        </w:tc>
        <w:tc>
          <w:tcPr>
            <w:tcW w:w="1488" w:type="dxa"/>
          </w:tcPr>
          <w:p w14:paraId="08C0CD0E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厂商/版本</w:t>
            </w:r>
          </w:p>
        </w:tc>
        <w:tc>
          <w:tcPr>
            <w:tcW w:w="2089" w:type="dxa"/>
          </w:tcPr>
          <w:p w14:paraId="6536E461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与本项目关系</w:t>
            </w:r>
          </w:p>
        </w:tc>
        <w:tc>
          <w:tcPr>
            <w:tcW w:w="2089" w:type="dxa"/>
          </w:tcPr>
          <w:p w14:paraId="57CFA2DE">
            <w:pPr>
              <w:spacing w:after="0" w:line="240" w:lineRule="auto"/>
              <w:jc w:val="center"/>
              <w:rPr>
                <w:b/>
                <w:sz w:val="19"/>
                <w:lang w:eastAsia="zh-CN"/>
              </w:rPr>
            </w:pPr>
            <w:r>
              <w:rPr>
                <w:rFonts w:hint="eastAsia"/>
                <w:b/>
                <w:sz w:val="19"/>
                <w:lang w:eastAsia="zh-CN"/>
              </w:rPr>
              <w:t>对接数据</w:t>
            </w:r>
          </w:p>
        </w:tc>
      </w:tr>
      <w:tr w14:paraId="51D37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8" w:type="dxa"/>
          </w:tcPr>
          <w:p w14:paraId="5718E905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EDC（电子数据采集，双源）</w:t>
            </w:r>
          </w:p>
        </w:tc>
        <w:tc>
          <w:tcPr>
            <w:tcW w:w="2261" w:type="dxa"/>
          </w:tcPr>
          <w:p w14:paraId="65FC0F6B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受试者层面试验数据采集、稽查痕迹</w:t>
            </w:r>
          </w:p>
        </w:tc>
        <w:tc>
          <w:tcPr>
            <w:tcW w:w="1488" w:type="dxa"/>
          </w:tcPr>
          <w:p w14:paraId="7F797F4E">
            <w:pPr>
              <w:spacing w:after="0" w:line="240" w:lineRule="auto"/>
            </w:pPr>
            <w:r>
              <w:rPr>
                <w:sz w:val="19"/>
              </w:rPr>
              <w:t>Medidata Rave + 太美 EDC</w:t>
            </w:r>
          </w:p>
        </w:tc>
        <w:tc>
          <w:tcPr>
            <w:tcW w:w="2089" w:type="dxa"/>
          </w:tcPr>
          <w:p w14:paraId="67EC0CD6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</w:rPr>
              <w:t>一期核心数据源；太美 EDC 首批落地，Rave 经 SDTM Lite 统一标准分批纳入</w:t>
            </w:r>
            <w:r>
              <w:rPr>
                <w:rFonts w:hint="eastAsia"/>
                <w:sz w:val="19"/>
                <w:lang w:eastAsia="zh-CN"/>
              </w:rPr>
              <w:t>。</w:t>
            </w:r>
          </w:p>
        </w:tc>
        <w:tc>
          <w:tcPr>
            <w:tcW w:w="2089" w:type="dxa"/>
          </w:tcPr>
          <w:p w14:paraId="0743E58D">
            <w:pPr>
              <w:spacing w:after="0" w:line="240" w:lineRule="auto"/>
              <w:rPr>
                <w:sz w:val="19"/>
                <w:highlight w:val="magent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EDC 约 </w:t>
            </w:r>
            <w:r>
              <w:rPr>
                <w:sz w:val="19"/>
                <w:lang w:eastAsia="zh-CN"/>
              </w:rPr>
              <w:t>60</w:t>
            </w:r>
            <w:r>
              <w:rPr>
                <w:rFonts w:hint="eastAsia"/>
                <w:sz w:val="19"/>
                <w:lang w:eastAsia="zh-CN"/>
              </w:rPr>
              <w:t xml:space="preserve"> 标准表，2</w:t>
            </w:r>
            <w:r>
              <w:rPr>
                <w:sz w:val="19"/>
                <w:lang w:eastAsia="zh-CN"/>
              </w:rPr>
              <w:t>100</w:t>
            </w:r>
            <w:r>
              <w:rPr>
                <w:rFonts w:hint="eastAsia"/>
                <w:sz w:val="19"/>
                <w:lang w:eastAsia="zh-CN"/>
              </w:rPr>
              <w:t>字段；详见附件《eCRF》—Medidata，其他系统后续介入</w:t>
            </w:r>
          </w:p>
        </w:tc>
      </w:tr>
      <w:tr w14:paraId="5A1F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8" w:type="dxa"/>
          </w:tcPr>
          <w:p w14:paraId="3B29B846">
            <w:pPr>
              <w:spacing w:after="0" w:line="240" w:lineRule="auto"/>
            </w:pPr>
            <w:r>
              <w:rPr>
                <w:sz w:val="19"/>
              </w:rPr>
              <w:t>药物警戒系统 Argus</w:t>
            </w:r>
          </w:p>
        </w:tc>
        <w:tc>
          <w:tcPr>
            <w:tcW w:w="2261" w:type="dxa"/>
          </w:tcPr>
          <w:p w14:paraId="1AB18386">
            <w:pPr>
              <w:spacing w:after="0" w:line="240" w:lineRule="auto"/>
            </w:pPr>
            <w:r>
              <w:rPr>
                <w:sz w:val="19"/>
              </w:rPr>
              <w:t>安全性 Case 处理、个例报告</w:t>
            </w:r>
          </w:p>
        </w:tc>
        <w:tc>
          <w:tcPr>
            <w:tcW w:w="1488" w:type="dxa"/>
          </w:tcPr>
          <w:p w14:paraId="68AA48F8">
            <w:pPr>
              <w:spacing w:after="0" w:line="240" w:lineRule="auto"/>
            </w:pPr>
            <w:r>
              <w:rPr>
                <w:sz w:val="19"/>
              </w:rPr>
              <w:t>Oracle Argus</w:t>
            </w:r>
          </w:p>
        </w:tc>
        <w:tc>
          <w:tcPr>
            <w:tcW w:w="2089" w:type="dxa"/>
          </w:tcPr>
          <w:p w14:paraId="713B9D2A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一期接入，支撑药物警戒分析</w:t>
            </w:r>
          </w:p>
        </w:tc>
        <w:tc>
          <w:tcPr>
            <w:tcW w:w="2089" w:type="dxa"/>
          </w:tcPr>
          <w:p w14:paraId="7C9FED91">
            <w:pPr>
              <w:spacing w:after="0" w:line="240" w:lineRule="auto"/>
              <w:rPr>
                <w:sz w:val="19"/>
                <w:highlight w:val="magent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Argus PV：约 20 表 / 280+ 字段（Case/SAE 个例报告）</w:t>
            </w:r>
          </w:p>
        </w:tc>
      </w:tr>
      <w:tr w14:paraId="54E18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8" w:type="dxa"/>
          </w:tcPr>
          <w:p w14:paraId="77961AC6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CTMS（临床试验管理）</w:t>
            </w:r>
          </w:p>
        </w:tc>
        <w:tc>
          <w:tcPr>
            <w:tcW w:w="2261" w:type="dxa"/>
          </w:tcPr>
          <w:p w14:paraId="7FA3C33F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项目/中心运营、里程碑、入组</w:t>
            </w:r>
          </w:p>
        </w:tc>
        <w:tc>
          <w:tcPr>
            <w:tcW w:w="1488" w:type="dxa"/>
          </w:tcPr>
          <w:p w14:paraId="76086A18">
            <w:pPr>
              <w:spacing w:after="0" w:line="240" w:lineRule="auto"/>
              <w:jc w:val="both"/>
            </w:pPr>
            <w:r>
              <w:rPr>
                <w:sz w:val="19"/>
              </w:rPr>
              <w:t>太美 CTMS</w:t>
            </w:r>
          </w:p>
        </w:tc>
        <w:tc>
          <w:tcPr>
            <w:tcW w:w="2089" w:type="dxa"/>
          </w:tcPr>
          <w:p w14:paraId="68784AAF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现有运营看板继续使用；本期轻量取数</w:t>
            </w:r>
          </w:p>
        </w:tc>
        <w:tc>
          <w:tcPr>
            <w:tcW w:w="2089" w:type="dxa"/>
            <w:shd w:val="clear" w:color="auto" w:fill="auto"/>
          </w:tcPr>
          <w:p w14:paraId="6274A5EF">
            <w:pPr>
              <w:spacing w:after="0" w:line="240" w:lineRule="auto"/>
              <w:rPr>
                <w:sz w:val="19"/>
                <w:highlight w:val="magent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里程碑（计划/实际节点）、入组进度（筛选/入组/随机/完成）、中心列表与状态、项目基本信息；约 20 表 /Certara 1000+ 字段量级（同类项目量级）</w:t>
            </w:r>
          </w:p>
        </w:tc>
      </w:tr>
      <w:tr w14:paraId="582B7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8" w:type="dxa"/>
          </w:tcPr>
          <w:p w14:paraId="6E52C99A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MDM系统对接</w:t>
            </w:r>
          </w:p>
        </w:tc>
        <w:tc>
          <w:tcPr>
            <w:tcW w:w="2261" w:type="dxa"/>
          </w:tcPr>
          <w:p w14:paraId="08AF84E2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多个EDC系统、Argus系统和CTMS的对接，以及华东人力系统的账号导入。</w:t>
            </w:r>
          </w:p>
        </w:tc>
        <w:tc>
          <w:tcPr>
            <w:tcW w:w="1488" w:type="dxa"/>
          </w:tcPr>
          <w:p w14:paraId="76A35469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以上系统+华东人力</w:t>
            </w:r>
          </w:p>
        </w:tc>
        <w:tc>
          <w:tcPr>
            <w:tcW w:w="2089" w:type="dxa"/>
          </w:tcPr>
          <w:p w14:paraId="0902A81B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人员用户、研发项目代号等主数据。采纳建议：人员账户由人员主数据系统对接导入。</w:t>
            </w:r>
          </w:p>
        </w:tc>
        <w:tc>
          <w:tcPr>
            <w:tcW w:w="2089" w:type="dxa"/>
            <w:shd w:val="clear" w:color="auto" w:fill="auto"/>
          </w:tcPr>
          <w:p w14:paraId="10721E4D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以上数据需针对研发项目代号进行清洗+华东人力主数据对接，实现用户账号统一登录与管理。如系统可接入，可以直接导入。</w:t>
            </w:r>
          </w:p>
        </w:tc>
      </w:tr>
    </w:tbl>
    <w:p w14:paraId="46E7CFCE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现状问题：上述系统各自独立，跨系统分析主要依赖人工从各系统导出 Excel 再手工汇总，存在数据口径不统一、时效滞后、难以支撑近实时的运营进度监控、质量风险预警与安全信号分析等问题，临床数据资产亦未标准化沉淀、难以复用。</w:t>
      </w:r>
    </w:p>
    <w:p w14:paraId="5E441338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与本项目关系：本项目在不改变现有业务系统的前提下，于其上构建统一的临床研发数据仓库，打通 Medidata Rave、太美 EDC、Argus 等核心源系统，以 SDTM Lite 标准统一归一化两套异构 EDC，并通过 BI 看板交付分析价值，从根本上解决数据孤岛与手工汇总问题。</w:t>
      </w:r>
    </w:p>
    <w:p w14:paraId="5203FF36">
      <w:pPr>
        <w:spacing w:before="240" w:after="80"/>
        <w:rPr>
          <w:lang w:eastAsia="zh-CN"/>
        </w:rPr>
      </w:pPr>
      <w:r>
        <w:rPr>
          <w:rFonts w:ascii="黑体" w:hAnsi="黑体" w:eastAsia="黑体"/>
          <w:b/>
          <w:sz w:val="26"/>
          <w:lang w:eastAsia="zh-CN"/>
        </w:rPr>
        <w:t>二、项目建设的必要性</w:t>
      </w:r>
    </w:p>
    <w:p w14:paraId="7D10B27F">
      <w:pPr>
        <w:spacing w:before="120" w:after="40"/>
        <w:rPr>
          <w:lang w:eastAsia="zh-CN"/>
        </w:rPr>
      </w:pPr>
      <w:r>
        <w:rPr>
          <w:rFonts w:ascii="黑体" w:hAnsi="黑体" w:eastAsia="黑体"/>
          <w:b/>
          <w:sz w:val="22"/>
          <w:lang w:eastAsia="zh-CN"/>
        </w:rPr>
        <w:t>（一）业务痛点驱动</w:t>
      </w:r>
    </w:p>
    <w:p w14:paraId="1559D3B8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1. 数据孤岛与手工取数：核心事实数据分散在 EDC、CTMS、PV 等系统，跨系统分析依赖人工汇总，效率低、易出错、口径不一致。</w:t>
      </w:r>
    </w:p>
    <w:p w14:paraId="01B8335B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2. 运营进度不透明：入组速率、监查达成率（SDV）、数据清理进度等关键指标缺乏统一、近实时视图，管理决策滞后。</w:t>
      </w:r>
    </w:p>
    <w:p w14:paraId="6BBE54CC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3. 质量风险被动管理：缺乏</w:t>
      </w:r>
      <w:r>
        <w:rPr>
          <w:rFonts w:hint="eastAsia"/>
          <w:lang w:eastAsia="zh-CN"/>
        </w:rPr>
        <w:t>来源不同系统数据源</w:t>
      </w:r>
      <w:r>
        <w:rPr>
          <w:lang w:eastAsia="zh-CN"/>
        </w:rPr>
        <w:t>的数据底座，质量问题往往事后发现，难以基于数据主动预警。</w:t>
      </w:r>
    </w:p>
    <w:p w14:paraId="6D448290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4. 药物安全信号整合难：PV 系统内 Case 与 EDC 中 AE/SAE 数据割裂，难以实现化合物级安全信号检测。</w:t>
      </w:r>
    </w:p>
    <w:p w14:paraId="229B93A3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5. 数据未标准化、资产难复用：缺乏 SDTM 标准化数据，无法高效支撑跨试验分析，也难以为医学监查等下游系统稳定供数。</w:t>
      </w:r>
    </w:p>
    <w:p w14:paraId="6E10E358">
      <w:pPr>
        <w:spacing w:before="120" w:after="40"/>
        <w:rPr>
          <w:lang w:eastAsia="zh-CN"/>
        </w:rPr>
      </w:pPr>
      <w:r>
        <w:rPr>
          <w:rFonts w:ascii="黑体" w:hAnsi="黑体" w:eastAsia="黑体"/>
          <w:b/>
          <w:sz w:val="22"/>
          <w:lang w:eastAsia="zh-CN"/>
        </w:rPr>
        <w:t>（二）行业趋势与合规驱动</w:t>
      </w:r>
    </w:p>
    <w:p w14:paraId="5A408600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基于风险的质量管理已成为行业主流方向，监管对 GCP/GxP 数据可追溯性、临床数据标准化（CDISC/SDTM）与药物警戒合规（PSUR/DSUR 等）的要求持续提高。建设标准化、可追溯的临床数据仓库是华东顺应行业趋势、满足合规要求、提升核查就绪度的必要举措。</w:t>
      </w:r>
    </w:p>
    <w:p w14:paraId="74115850">
      <w:pPr>
        <w:spacing w:before="120" w:after="40"/>
        <w:rPr>
          <w:lang w:eastAsia="zh-CN"/>
        </w:rPr>
      </w:pPr>
      <w:r>
        <w:rPr>
          <w:rFonts w:ascii="黑体" w:hAnsi="黑体" w:eastAsia="黑体"/>
          <w:b/>
          <w:sz w:val="22"/>
          <w:lang w:eastAsia="zh-CN"/>
        </w:rPr>
        <w:t>（三）战略价值主张</w:t>
      </w:r>
    </w:p>
    <w:p w14:paraId="74DBE4BD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本项目将围绕五大核心价值展开：</w:t>
      </w:r>
    </w:p>
    <w:p w14:paraId="68E893FB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①加速运营决策——提供统一、近实时的试验进度“驾驶舱”；</w:t>
      </w:r>
    </w:p>
    <w:p w14:paraId="409A504C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②强化风险与质量监督——以 EDC</w:t>
      </w:r>
      <w:r>
        <w:rPr>
          <w:rFonts w:hint="eastAsia"/>
          <w:lang w:eastAsia="zh-CN"/>
        </w:rPr>
        <w:t>原始数据</w:t>
      </w:r>
      <w:r>
        <w:rPr>
          <w:lang w:eastAsia="zh-CN"/>
        </w:rPr>
        <w:t>支撑</w:t>
      </w:r>
      <w:r>
        <w:rPr>
          <w:rFonts w:hint="eastAsia"/>
          <w:lang w:eastAsia="zh-CN"/>
        </w:rPr>
        <w:t>运营风险管理</w:t>
      </w:r>
      <w:r>
        <w:rPr>
          <w:lang w:eastAsia="zh-CN"/>
        </w:rPr>
        <w:t>；</w:t>
      </w:r>
    </w:p>
    <w:p w14:paraId="788BCAD1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③赋能主动的医学监查——构建医学监查分析、为医学团队提供近实时审查视图；</w:t>
      </w:r>
    </w:p>
    <w:p w14:paraId="03D89F24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④保障药物安全——实现跨系统安全信号检测；</w:t>
      </w:r>
    </w:p>
    <w:p w14:paraId="5494B561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⑤释放数据资产价值——沉淀可复用的 SDTM Lite 标准化资产，并为后续 AI 应用奠定数据底座。</w:t>
      </w:r>
    </w:p>
    <w:p w14:paraId="185993B1">
      <w:pPr>
        <w:spacing w:before="240" w:after="80"/>
        <w:rPr>
          <w:lang w:eastAsia="zh-CN"/>
        </w:rPr>
      </w:pPr>
      <w:r>
        <w:rPr>
          <w:rFonts w:ascii="黑体" w:hAnsi="黑体" w:eastAsia="黑体"/>
          <w:b/>
          <w:sz w:val="26"/>
          <w:lang w:eastAsia="zh-CN"/>
        </w:rPr>
        <w:t>三、项目主要内容</w:t>
      </w:r>
    </w:p>
    <w:p w14:paraId="3B6D4CC7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遵循“聚焦高价值、快速见效、分期演进”的原则，一期建设内容如下：</w:t>
      </w:r>
    </w:p>
    <w:p w14:paraId="2B065635">
      <w:pPr>
        <w:spacing w:before="120" w:after="40"/>
        <w:rPr>
          <w:color w:val="FF0000"/>
          <w:lang w:eastAsia="zh-CN"/>
        </w:rPr>
      </w:pPr>
      <w:r>
        <w:rPr>
          <w:rFonts w:ascii="黑体" w:hAnsi="黑体" w:eastAsia="黑体"/>
          <w:b/>
          <w:sz w:val="22"/>
          <w:lang w:eastAsia="zh-CN"/>
        </w:rPr>
        <w:t>（一）源系统接入</w:t>
      </w:r>
      <w:r>
        <w:rPr>
          <w:rFonts w:hint="eastAsia" w:ascii="黑体" w:hAnsi="黑体" w:eastAsia="黑体"/>
          <w:b/>
          <w:sz w:val="22"/>
          <w:lang w:eastAsia="zh-CN"/>
        </w:rPr>
        <w:t>（详见华东数仓一期-需求与人天参考）</w:t>
      </w:r>
    </w:p>
    <w:p w14:paraId="79622F54">
      <w:pPr>
        <w:spacing w:after="60" w:line="300" w:lineRule="auto"/>
        <w:ind w:firstLine="420"/>
      </w:pPr>
      <w:r>
        <w:t xml:space="preserve">一期以 </w:t>
      </w:r>
      <w:r>
        <w:rPr>
          <w:rFonts w:hint="eastAsia"/>
          <w:lang w:eastAsia="zh-CN"/>
        </w:rPr>
        <w:t>（</w:t>
      </w:r>
      <w:r>
        <w:t>太美 EDC（原始域表</w:t>
      </w:r>
      <w:r>
        <w:rPr>
          <w:rFonts w:hint="eastAsia"/>
          <w:lang w:eastAsia="zh-CN"/>
        </w:rPr>
        <w:t>）</w:t>
      </w:r>
      <w:r>
        <w:t xml:space="preserve"> + 稽查痕迹，native 路径）与 Argus 药物警戒系统（ODI ETL + Oracle 视图 + 受限直连安全配置）为首批落地源；Medidata Rave 通过 RWS（Rave Web Services）抽取，依 SDTM Lite 统一标准纳入；太美 CTMS 采用轻量取数（里程碑/入组汇总）支撑高层看板，全量接入列入二期。</w:t>
      </w:r>
    </w:p>
    <w:p w14:paraId="1B949F40">
      <w:pPr>
        <w:spacing w:after="60" w:line="300" w:lineRule="auto"/>
        <w:rPr>
          <w:lang w:eastAsia="zh-CN"/>
        </w:rPr>
      </w:pPr>
      <w:r>
        <w:rPr>
          <w:lang w:eastAsia="zh-CN"/>
        </w:rPr>
        <w:t>数量参考（参照同类临床数仓项目经验，华东量级相近，最终以需求表单 / eCRF Library 核定）：源接入 EDC 原始约 60 表 / 2100 + 字段、扩展约 210 表 / 5,800+ 字段，CTMS 约 20 表 / 1000+ 字段，Argus 约 20 表 / 280+ 字段；SDTM Lite 标准化输出约 90+ 数据域 / 2,200+ 字段 / 1,000+ 字段映射；沉淀指标约 400 个。</w:t>
      </w:r>
    </w:p>
    <w:p w14:paraId="6F3F9CB9">
      <w:pPr>
        <w:spacing w:before="120" w:after="40"/>
        <w:rPr>
          <w:lang w:eastAsia="zh-CN"/>
        </w:rPr>
      </w:pPr>
      <w:r>
        <w:rPr>
          <w:rFonts w:ascii="黑体" w:hAnsi="黑体" w:eastAsia="黑体"/>
          <w:b/>
          <w:sz w:val="22"/>
          <w:lang w:eastAsia="zh-CN"/>
        </w:rPr>
        <w:t>（二）标准资产层</w:t>
      </w:r>
    </w:p>
    <w:p w14:paraId="2F8B7995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建设 SDTM Lite 标准库与转换工程（一次构建、Medidata Rave 与 太美 EDC 等所有 EDC/SDTM 源复用），建立主数据模型与主数据清洗方案、指标地图与口径文档；该标准化数据同时作为统计编程等下游系统的统一数据源。主数据建模已覆盖与华东 MDM 系统的对接需求。</w:t>
      </w:r>
    </w:p>
    <w:p w14:paraId="70E9A791">
      <w:pPr>
        <w:spacing w:before="120" w:after="40"/>
        <w:rPr>
          <w:lang w:eastAsia="zh-CN"/>
        </w:rPr>
      </w:pPr>
      <w:r>
        <w:rPr>
          <w:rFonts w:ascii="黑体" w:hAnsi="黑体" w:eastAsia="黑体"/>
          <w:b/>
          <w:sz w:val="22"/>
          <w:lang w:eastAsia="zh-CN"/>
        </w:rPr>
        <w:t>（三）业务分析模块（价值侧，本期重点）</w:t>
      </w:r>
    </w:p>
    <w:p w14:paraId="1C052C7E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风险管理</w:t>
      </w:r>
      <w:r>
        <w:rPr>
          <w:lang w:eastAsia="zh-CN"/>
        </w:rPr>
        <w:t xml:space="preserve"> 分析：风险矩阵、项目质量、中心质量、在组用药等（10–12 张报表）。</w:t>
      </w:r>
    </w:p>
    <w:p w14:paraId="55A5E863">
      <w:pPr>
        <w:spacing w:after="60" w:line="300" w:lineRule="auto"/>
        <w:ind w:firstLine="420"/>
      </w:pPr>
      <w:r>
        <w:t>2. 药物警戒 · PVP Review（SOC-PT 安全性汇总，1 张报表含 13 个 Table）：SAEs / Fatal SAEs / SUSARs / SARs / AESIs / DMEs by SOC·PT 等；</w:t>
      </w:r>
    </w:p>
    <w:p w14:paraId="3D26D080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3. 高层看板：项目组合、里程碑、入组、临床运营风险、安全及疗效（5–8 张报表），面向管理层决策。</w:t>
      </w:r>
    </w:p>
    <w:p w14:paraId="7C6291AB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4. 医学监查分析：试验一览、安全性、既往病史、心率/实验室、肿瘤疗效、患者日志等（12–15 张报表），依托 SDTM Lite 标准化数据，支撑医学团队对受试者安全与数据质量的近实时审查。</w:t>
      </w:r>
    </w:p>
    <w:p w14:paraId="0B6D06CD">
      <w:pPr>
        <w:spacing w:after="60" w:line="300" w:lineRule="auto"/>
        <w:rPr>
          <w:lang w:eastAsia="zh-CN"/>
        </w:rPr>
      </w:pPr>
      <w:r>
        <w:rPr>
          <w:lang w:eastAsia="zh-CN"/>
        </w:rPr>
        <w:t>报表口径说明：以上为页面 / 报表张数口径；若按组件 / 图表口径，参照同类临床数仓项目——风险管理约 156 组件、医学监查约 51 组件、高层 / 运营约 104 组件。比价时两种口径并列。</w:t>
      </w:r>
    </w:p>
    <w:p w14:paraId="4FD50CE2">
      <w:pPr>
        <w:spacing w:before="120" w:after="40"/>
        <w:rPr>
          <w:lang w:eastAsia="zh-CN"/>
        </w:rPr>
      </w:pPr>
      <w:r>
        <w:rPr>
          <w:rFonts w:ascii="黑体" w:hAnsi="黑体" w:eastAsia="黑体"/>
          <w:b/>
          <w:sz w:val="22"/>
          <w:lang w:eastAsia="zh-CN"/>
        </w:rPr>
        <w:t>（四）平台底座与数据质量</w:t>
      </w:r>
    </w:p>
    <w:p w14:paraId="420449CC">
      <w:pPr>
        <w:spacing w:after="60" w:line="300" w:lineRule="auto"/>
        <w:ind w:firstLine="420"/>
      </w:pPr>
      <w:r>
        <w:t>基于阿里云 MaxCompute（湖仓计算存储引擎）+ DataWorks（数据集成/开发/调度/治理 IDE）+ QuickBI + OSS 构建；ODS/DWD/DWS/ADS 分层建模与 SDTM Lite 标准化在 DataWorks 上实现，数据质量采用 DataWorks DQC、血缘与元数据采用 Data Map；本期含 SDTM 依从性质量校验（标准依从 + Mapping 一致性 + Spec 符合性）。</w:t>
      </w:r>
    </w:p>
    <w:p w14:paraId="4A86649D">
      <w:pPr>
        <w:spacing w:before="120" w:after="40"/>
        <w:rPr>
          <w:lang w:eastAsia="zh-CN"/>
        </w:rPr>
      </w:pPr>
      <w:r>
        <w:rPr>
          <w:rFonts w:ascii="黑体" w:hAnsi="黑体" w:eastAsia="黑体"/>
          <w:b/>
          <w:sz w:val="22"/>
          <w:lang w:eastAsia="zh-CN"/>
        </w:rPr>
        <w:t>（五）UAT 与培训、项目管理</w:t>
      </w:r>
    </w:p>
    <w:p w14:paraId="51A2B975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交付 UAT Case 与用户操作手册，开展验收/上线/报表使用培训；配置专职项目经理统筹实施。</w:t>
      </w:r>
    </w:p>
    <w:p w14:paraId="5242A95A">
      <w:pPr>
        <w:spacing w:before="240" w:after="80"/>
        <w:rPr>
          <w:lang w:eastAsia="zh-CN"/>
        </w:rPr>
      </w:pPr>
      <w:r>
        <w:rPr>
          <w:rFonts w:ascii="黑体" w:hAnsi="黑体" w:eastAsia="黑体"/>
          <w:b/>
          <w:sz w:val="26"/>
          <w:lang w:eastAsia="zh-CN"/>
        </w:rPr>
        <w:t>四、项目实施方案</w:t>
      </w:r>
    </w:p>
    <w:p w14:paraId="13EEFC74">
      <w:pPr>
        <w:spacing w:before="120" w:after="40"/>
        <w:rPr>
          <w:lang w:eastAsia="zh-CN"/>
        </w:rPr>
      </w:pPr>
      <w:r>
        <w:rPr>
          <w:rFonts w:ascii="黑体" w:hAnsi="黑体" w:eastAsia="黑体"/>
          <w:b/>
          <w:sz w:val="22"/>
          <w:lang w:eastAsia="zh-CN"/>
        </w:rPr>
        <w:t>（一）总体技术架构</w:t>
      </w:r>
      <w:r>
        <w:rPr>
          <w:rFonts w:hint="eastAsia" w:ascii="黑体" w:hAnsi="黑体" w:eastAsia="黑体"/>
          <w:b/>
          <w:sz w:val="22"/>
          <w:lang w:eastAsia="zh-CN"/>
        </w:rPr>
        <w:t>（一期范围，数据蓝图见下图）</w:t>
      </w:r>
    </w:p>
    <w:p w14:paraId="6FB7886E">
      <w:pPr>
        <w:spacing w:after="60" w:line="300" w:lineRule="auto"/>
        <w:ind w:firstLine="420"/>
      </w:pPr>
      <w:r>
        <w:t>整体架构分为四层：</w:t>
      </w:r>
    </w:p>
    <w:p w14:paraId="2B5336AF">
      <w:pPr>
        <w:spacing w:after="60" w:line="300" w:lineRule="auto"/>
        <w:ind w:firstLine="420"/>
      </w:pPr>
      <w:r>
        <w:t>①数据集成层——通过 DataWorks 数据集成将 Medidata Rave、太美 EDC、Argus 等源数据汇入 MaxCompute ODS（OSS 作为数据湖）；</w:t>
      </w:r>
    </w:p>
    <w:p w14:paraId="6C552854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②数据治理与加工层——在 DWD 完成清洗与 SDTM Lite 映射（统一归一化两套异构 EDC），在 DWS/ADS 基于“业务总线矩阵”与“指标地图”汇总计算原子及派生指标；</w:t>
      </w:r>
    </w:p>
    <w:p w14:paraId="7022D48A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③存储计算层——基于阿里云 MaxCompute + OSS，DataWorks 负责开发/调度/治理；</w:t>
      </w:r>
    </w:p>
    <w:p w14:paraId="706EF16E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④数据消费层——通过 QuickBI 标准报表与看板交付，并以标准化数据接口向统计编程 / 医学监查产品等下游供数。</w:t>
      </w:r>
    </w:p>
    <w:p w14:paraId="55B67039">
      <w:pPr>
        <w:spacing w:before="120" w:after="40"/>
        <w:jc w:val="center"/>
      </w:pPr>
      <w:r>
        <w:rPr>
          <w:lang w:eastAsia="zh-CN"/>
        </w:rPr>
        <w:drawing>
          <wp:inline distT="0" distB="0" distL="0" distR="0">
            <wp:extent cx="5759450" cy="4132580"/>
            <wp:effectExtent l="0" t="0" r="0" b="0"/>
            <wp:docPr id="101" name="总体技术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总体技术架构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13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6227">
      <w:pPr>
        <w:spacing w:after="80"/>
        <w:jc w:val="center"/>
        <w:rPr>
          <w:lang w:eastAsia="zh-CN"/>
        </w:rPr>
      </w:pPr>
      <w:r>
        <w:rPr>
          <w:color w:val="595959"/>
          <w:sz w:val="18"/>
          <w:lang w:eastAsia="zh-CN"/>
        </w:rPr>
        <w:t>图：华东临床数仓总体技术架构（一期）—— 数据源 → DataWorks 集成 → MaxCompute/OSS 数仓（SDTM Lite 标准化）→ 数据服务 → QuickBI；数据治理/调度贯穿。</w:t>
      </w:r>
    </w:p>
    <w:p w14:paraId="540DC884">
      <w:pPr>
        <w:spacing w:before="120" w:after="40"/>
        <w:rPr>
          <w:lang w:eastAsia="zh-CN"/>
        </w:rPr>
      </w:pPr>
      <w:r>
        <w:rPr>
          <w:rFonts w:ascii="黑体" w:hAnsi="黑体" w:eastAsia="黑体"/>
          <w:b/>
          <w:sz w:val="22"/>
          <w:lang w:eastAsia="zh-CN"/>
        </w:rPr>
        <w:t>（二）数据流</w:t>
      </w:r>
      <w:r>
        <w:rPr>
          <w:rFonts w:hint="eastAsia" w:ascii="黑体" w:hAnsi="黑体" w:eastAsia="黑体"/>
          <w:b/>
          <w:sz w:val="22"/>
          <w:lang w:eastAsia="zh-CN"/>
        </w:rPr>
        <w:t>（见下图）</w:t>
      </w:r>
    </w:p>
    <w:p w14:paraId="6277C18D">
      <w:pPr>
        <w:spacing w:after="60" w:line="300" w:lineRule="auto"/>
        <w:ind w:firstLine="420"/>
        <w:rPr>
          <w:lang w:eastAsia="zh-CN"/>
        </w:rPr>
      </w:pPr>
      <w:r>
        <w:t>数据产生（Medidata Rave / 太美 EDC / Argus）→ 数据汇聚（MaxCompute ODS/DWD，SDTM Lite 映射）→ 数据加工（DWS/ADS，按业务过程主题汇总并计算指标）→ 数据消费（QuickBI 看板 + 下游数据接口）。</w:t>
      </w:r>
      <w:r>
        <w:rPr>
          <w:lang w:eastAsia="zh-CN"/>
        </w:rPr>
        <w:t>受试者层面事实（入组、访视、AE/SAE、SDV）以 EDC 为单一事实来源，项目/中心层面管理事实以 CTMS 为准。</w:t>
      </w:r>
    </w:p>
    <w:p w14:paraId="43B6AB92">
      <w:pPr>
        <w:spacing w:before="120" w:after="40"/>
        <w:jc w:val="center"/>
      </w:pPr>
      <w:r>
        <w:rPr>
          <w:lang w:eastAsia="zh-CN"/>
        </w:rPr>
        <w:drawing>
          <wp:inline distT="0" distB="0" distL="0" distR="0">
            <wp:extent cx="5579745" cy="3889375"/>
            <wp:effectExtent l="0" t="0" r="0" b="0"/>
            <wp:docPr id="100" name="数据流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数据流向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8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3066">
      <w:pPr>
        <w:spacing w:after="60" w:line="300" w:lineRule="auto"/>
        <w:rPr>
          <w:lang w:eastAsia="zh-CN"/>
        </w:rPr>
      </w:pPr>
      <w:r>
        <w:rPr>
          <w:lang w:eastAsia="zh-CN"/>
        </w:rPr>
        <w:t>图：建立数仓后数据流向（一期）—— 源系统 → ODS → SDTM Lite 标准化 → DW/ADS → QuickBI 四大看板，并回写业务系统 / 向下游供数。</w:t>
      </w:r>
    </w:p>
    <w:p w14:paraId="53CCAD1E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主数据（MDM）系统交互：数据仓库与华东 MDM 主数据系统之间以一个“唯一项目编号”作为唯一交互字段——该编号由 MDM 中的项目号及部分必要信息组合生成，作为跨系统关联的全局主键。双方仅就该字段进行对接，研究中心、人员、研究药物、研发项目等其他主数据信息不逐项单独交互，而是统一通过该唯一项目编号进行关联与同步。数仓据此对双 EDC / CTMS / Argus 等异构源进行清洗与跨系统口径对齐，并落入 DIM 维度（受试者唯一 ID、研究中心、人员、研究药物/化合物等核心主数据），支撑跨系统数据关联与口径统一；如华东 MDM 系统开放接口，可基于该字段直接导入。需说明的是，主数据（MDM）数据集成与单点登录（SSO）是两件相互独立的事：MDM 解决数据层的主数据集成与口径统一；SSO 仅将华东人员账号与最终报表系统（QuickBI）打通，用于支撑报表层的人员权限控制，不涉及数仓数据集成。报表层人员权限由华东侧维护，太美侧配合搭建行列级权限框架。</w:t>
      </w:r>
    </w:p>
    <w:p w14:paraId="3673A3ED">
      <w:pPr>
        <w:spacing w:before="120" w:after="40"/>
        <w:rPr>
          <w:lang w:eastAsia="zh-CN"/>
        </w:rPr>
      </w:pPr>
      <w:r>
        <w:rPr>
          <w:rFonts w:ascii="黑体" w:hAnsi="黑体" w:eastAsia="黑体"/>
          <w:b/>
          <w:sz w:val="22"/>
          <w:lang w:eastAsia="zh-CN"/>
        </w:rPr>
        <w:t>（三）关键方法</w:t>
      </w:r>
    </w:p>
    <w:p w14:paraId="0989C065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1. SDTM Lite 业务驱动标准化：联合 DM、统计与编程团队确立数据标准，与运营团队约定关键里程碑命名，保障指标可计算、可比对。</w:t>
      </w:r>
    </w:p>
    <w:p w14:paraId="78E3529D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2. 业务总线矩阵：以核心业务过程 × 核心业务实体定义数仓模型，确保建设聚焦核心业务价值。</w:t>
      </w:r>
    </w:p>
    <w:p w14:paraId="3C6A6AC0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3. 指标地图与口径：建立统一指标定义与监控规则，避免口径分歧。</w:t>
      </w:r>
    </w:p>
    <w:p w14:paraId="1FED6120">
      <w:pPr>
        <w:spacing w:before="120" w:after="40"/>
        <w:rPr>
          <w:lang w:eastAsia="zh-CN"/>
        </w:rPr>
      </w:pPr>
      <w:r>
        <w:rPr>
          <w:rFonts w:ascii="黑体" w:hAnsi="黑体" w:eastAsia="黑体"/>
          <w:b/>
          <w:sz w:val="22"/>
          <w:lang w:eastAsia="zh-CN"/>
        </w:rPr>
        <w:t>（四）数据安全与合规</w:t>
      </w:r>
    </w:p>
    <w:p w14:paraId="4A5E12E2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实施 PII 分级与行列级权限控制；对 EDC 中可能存在的开放试验分组（盲态）信息，依据《药物临床试验盲法指导原则（试行）》对数据分析人员保持盲态，确保盲态合规；Argus 采用受限直连的安全配置</w:t>
      </w:r>
    </w:p>
    <w:p w14:paraId="0858D830">
      <w:pPr>
        <w:spacing w:before="240" w:after="80"/>
        <w:rPr>
          <w:rFonts w:ascii="黑体" w:hAnsi="黑体" w:eastAsia="黑体"/>
          <w:b/>
          <w:sz w:val="22"/>
          <w:lang w:eastAsia="zh-CN"/>
        </w:rPr>
      </w:pPr>
      <w:r>
        <w:rPr>
          <w:rFonts w:ascii="黑体" w:hAnsi="黑体" w:eastAsia="黑体"/>
          <w:b/>
          <w:sz w:val="22"/>
          <w:lang w:eastAsia="zh-CN"/>
        </w:rPr>
        <w:t>（五）数据治理与数据制度</w:t>
      </w:r>
    </w:p>
    <w:p w14:paraId="015BB38A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本项目结合临床研发数据的 GxP/GCP 强监管属性，建立一套"组织+制度+工具"三位一体的数据治理体系，并配套可落地、可考核、可稽查的数据管理制度。建设目标有三：一是把数据作为企业核心资产进行统一规划、监督与执行，明确权责到人，实现数据决策的可追溯；二是围绕 CDISC（SDTM/ADaM/CDASH）标准族、ALCOA+ 数据完整性原则、RBQM 基于风险的质量管理与盲态保护四条临床主线，将监管要求转化为可执行的标准、质量、安全与主数据规则</w:t>
      </w:r>
      <w:r>
        <w:rPr>
          <w:rFonts w:hint="eastAsia"/>
          <w:lang w:eastAsia="zh-CN"/>
        </w:rPr>
        <w:t>。</w:t>
      </w:r>
      <w:r>
        <w:rPr>
          <w:lang w:eastAsia="zh-CN"/>
        </w:rPr>
        <w:t>其价值在于：让临床研发数据可归属、可溯因、可反馈，使数据仓库"越用越准、持续转起来"，既满足 NMPA/FDA/EMA 现场核查与 21 CFR Part 11/CSV 的合规底线，又为后续 AI 赋能（智能质量预警、医学异常识别、自然语言自助分析等二期进阶价值）夯实高质量数据底座。</w:t>
      </w:r>
      <w:r>
        <w:rPr>
          <w:rFonts w:hint="eastAsia"/>
          <w:lang w:eastAsia="zh-CN"/>
        </w:rPr>
        <w:t xml:space="preserve"> </w:t>
      </w:r>
    </w:p>
    <w:p w14:paraId="07044425">
      <w:pPr>
        <w:spacing w:before="120" w:after="30"/>
        <w:rPr>
          <w:b/>
          <w:lang w:eastAsia="zh-CN"/>
        </w:rPr>
      </w:pPr>
      <w:r>
        <w:rPr>
          <w:b/>
          <w:lang w:eastAsia="zh-CN"/>
        </w:rPr>
        <w:t>1. 数据标准制度</w:t>
      </w:r>
    </w:p>
    <w:p w14:paraId="610C5E57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以 CDISC 标准为基线，建立面向异构双 EDC 的 SDTM Lite 命名与口径规范（统一域划分、变量命名、值域与受试者/中心/访视等关键标识），并采用 CDISC 受控术语及 MedDRA/WHODrug/LOINC 等行业标准、字典版本化管理；依托 DataWorks 数据标准实现"先建标准再建表"与落标校验，统一关键里程碑口径；数据标准纳入版本化发布与变更控制，满足 21 CFR Part 11 电子审批与稽查要求。</w:t>
      </w:r>
    </w:p>
    <w:p w14:paraId="733AF3A3">
      <w:pPr>
        <w:spacing w:before="120" w:after="30"/>
        <w:rPr>
          <w:b/>
          <w:lang w:eastAsia="zh-CN"/>
        </w:rPr>
      </w:pPr>
      <w:r>
        <w:rPr>
          <w:b/>
          <w:lang w:eastAsia="zh-CN"/>
        </w:rPr>
        <w:t>2. 数据质量制度</w:t>
      </w:r>
    </w:p>
    <w:p w14:paraId="436D129E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按数仓分层（源层/整合层/SDTM 依从层）建立递进式质量校验，形成完整性、准确性、一致性、及时性、唯一性五维质量分并映射 ALCOA+ 原则；质量规则挂接调度实现事中与事后监控，对关键安全性/有效性数据原则上设强规则门禁、一般数据告警（具体策略结合实施确定），并支撑 RBQM 的 KRI/QTL；异常多渠道告警、周期输出质量报告与看板（按盲态脱敏），建立"发现→定责→整改→复核→关闭"问题闭环 SOP，全程留痕、可沿血缘溯因。</w:t>
      </w:r>
    </w:p>
    <w:p w14:paraId="6D6B08C3">
      <w:pPr>
        <w:spacing w:before="120" w:after="30"/>
        <w:rPr>
          <w:b/>
          <w:lang w:eastAsia="zh-CN"/>
        </w:rPr>
      </w:pPr>
      <w:r>
        <w:rPr>
          <w:b/>
          <w:lang w:eastAsia="zh-CN"/>
        </w:rPr>
        <w:t>3. 主数据管理制度</w:t>
      </w:r>
    </w:p>
    <w:p w14:paraId="7FDD17EF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本期初步聚焦研发项目、受试者唯一 ID、研究中心、人员、研究药物等核心主数据（范围可结合实施调整），参考术语字典纳入版本化管理；为每类主数据定义唯一标识、属性规范与匹配合并规则形成"金标准"，并针对异构源系统在 SDTM 标准化前完成跨系统清洗对齐，保证口径统一、受试者主数据严守去标识化；主数据与字典变更纳入治理审批与版本控制。</w:t>
      </w:r>
    </w:p>
    <w:p w14:paraId="2C68E978">
      <w:pPr>
        <w:spacing w:before="120" w:after="30"/>
        <w:rPr>
          <w:b/>
          <w:lang w:eastAsia="zh-CN"/>
        </w:rPr>
      </w:pPr>
      <w:r>
        <w:rPr>
          <w:b/>
          <w:lang w:eastAsia="zh-CN"/>
        </w:rPr>
        <w:t>4. 元数据与数据血缘</w:t>
      </w:r>
    </w:p>
    <w:p w14:paraId="5AC83340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部署统一数据目录/元数据库，分层管理业务、技术与操作元数据；建立端到端、字段级数据血缘（源→ETL→SDTM Lite/ADaM→指标/报表），支撑监管溯源与"指标不符可逐层溯因"的可反馈闭环，并基于血缘开展变更影响分析，评估标准/字典/源结构变更对下游数据集与报表的影响，作为变更控制依据。</w:t>
      </w:r>
    </w:p>
    <w:p w14:paraId="75D4AA89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实施与迭代说明：本节所述各项制度的清单、层级、颗粒度、会议节奏、规则强弱与分级阈值等，均为本期建设的方向性框架与初始设定，将依据数据治理委员会评审与各阶段实施进展持续细化、补充与动态调整，不在本阶段一次性固化，以保留必要的迭代与回旋空间；其中涉及 GxP/GCP、盲态保护、PII/PHI 与数据完整性（ALCOA+）等合规底线的要求，按相应法规与 SOP 从严执行，不因上述弹性而降低标准。</w:t>
      </w:r>
    </w:p>
    <w:p w14:paraId="55EB9D37">
      <w:pPr>
        <w:spacing w:before="240" w:after="80"/>
        <w:rPr>
          <w:lang w:eastAsia="zh-CN"/>
        </w:rPr>
      </w:pPr>
      <w:r>
        <w:rPr>
          <w:rFonts w:ascii="黑体" w:hAnsi="黑体" w:eastAsia="黑体"/>
          <w:b/>
          <w:sz w:val="26"/>
          <w:lang w:eastAsia="zh-CN"/>
        </w:rPr>
        <w:t>五、项目进度计划</w:t>
      </w:r>
    </w:p>
    <w:p w14:paraId="708AC352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项目总周期约 6 个月，采用敏捷迭代与里程碑管理相结合的方式，分阶段交付，确保高价值模块尽早见效：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832"/>
        <w:gridCol w:w="2662"/>
        <w:gridCol w:w="2471"/>
        <w:gridCol w:w="2471"/>
      </w:tblGrid>
      <w:tr w14:paraId="3C156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0" w:type="dxa"/>
          </w:tcPr>
          <w:p w14:paraId="35162897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w="832" w:type="dxa"/>
          </w:tcPr>
          <w:p w14:paraId="4409ABC2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w="2662" w:type="dxa"/>
          </w:tcPr>
          <w:p w14:paraId="531A100D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主要工作</w:t>
            </w:r>
          </w:p>
        </w:tc>
        <w:tc>
          <w:tcPr>
            <w:tcW w:w="2471" w:type="dxa"/>
          </w:tcPr>
          <w:p w14:paraId="2432B9D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关键交付物</w:t>
            </w:r>
          </w:p>
        </w:tc>
        <w:tc>
          <w:tcPr>
            <w:tcW w:w="2471" w:type="dxa"/>
          </w:tcPr>
          <w:p w14:paraId="09D20E98">
            <w:pPr>
              <w:spacing w:after="0" w:line="240" w:lineRule="auto"/>
              <w:jc w:val="center"/>
              <w:rPr>
                <w:b/>
                <w:sz w:val="19"/>
              </w:rPr>
            </w:pPr>
            <w:r>
              <w:rPr>
                <w:rFonts w:hint="eastAsia"/>
                <w:sz w:val="19"/>
                <w:lang w:eastAsia="zh-CN"/>
              </w:rPr>
              <w:t>涉及部门范围</w:t>
            </w:r>
          </w:p>
        </w:tc>
      </w:tr>
      <w:tr w14:paraId="7A074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0" w:type="dxa"/>
          </w:tcPr>
          <w:p w14:paraId="022DDCB4">
            <w:pPr>
              <w:spacing w:after="0" w:line="240" w:lineRule="auto"/>
              <w:jc w:val="center"/>
            </w:pPr>
            <w:r>
              <w:rPr>
                <w:sz w:val="19"/>
              </w:rPr>
              <w:t>启动与规划</w:t>
            </w:r>
          </w:p>
        </w:tc>
        <w:tc>
          <w:tcPr>
            <w:tcW w:w="832" w:type="dxa"/>
          </w:tcPr>
          <w:p w14:paraId="057E6B4A">
            <w:pPr>
              <w:spacing w:after="0" w:line="240" w:lineRule="auto"/>
              <w:jc w:val="center"/>
            </w:pPr>
            <w:r>
              <w:rPr>
                <w:sz w:val="19"/>
              </w:rPr>
              <w:t>M1</w:t>
            </w:r>
          </w:p>
        </w:tc>
        <w:tc>
          <w:tcPr>
            <w:tcW w:w="2662" w:type="dxa"/>
          </w:tcPr>
          <w:p w14:paraId="738141AF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项目启动、蓝图与指标框架确认、SDTM Lite 标准对齐</w:t>
            </w:r>
          </w:p>
        </w:tc>
        <w:tc>
          <w:tcPr>
            <w:tcW w:w="2471" w:type="dxa"/>
          </w:tcPr>
          <w:p w14:paraId="3CB61C48">
            <w:pPr>
              <w:spacing w:after="0" w:line="240" w:lineRule="auto"/>
            </w:pPr>
            <w:r>
              <w:rPr>
                <w:sz w:val="19"/>
              </w:rPr>
              <w:t>项目计划、建设蓝图、指标口径框架、SDTM Lite Spec</w:t>
            </w:r>
          </w:p>
        </w:tc>
        <w:tc>
          <w:tcPr>
            <w:tcW w:w="2471" w:type="dxa"/>
          </w:tcPr>
          <w:p w14:paraId="720272D7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IT、统计分析</w:t>
            </w:r>
          </w:p>
        </w:tc>
      </w:tr>
      <w:tr w14:paraId="692BE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0" w:type="dxa"/>
          </w:tcPr>
          <w:p w14:paraId="2EB0F126">
            <w:pPr>
              <w:spacing w:after="0" w:line="240" w:lineRule="auto"/>
              <w:rPr>
                <w:sz w:val="19"/>
              </w:rPr>
            </w:pPr>
            <w:r>
              <w:rPr>
                <w:rFonts w:hint="eastAsia"/>
                <w:sz w:val="19"/>
                <w:lang w:eastAsia="zh-CN"/>
              </w:rPr>
              <w:t>现状调研</w:t>
            </w:r>
          </w:p>
        </w:tc>
        <w:tc>
          <w:tcPr>
            <w:tcW w:w="832" w:type="dxa"/>
          </w:tcPr>
          <w:p w14:paraId="4879C6EE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M1-M2</w:t>
            </w:r>
          </w:p>
        </w:tc>
        <w:tc>
          <w:tcPr>
            <w:tcW w:w="2662" w:type="dxa"/>
          </w:tcPr>
          <w:p w14:paraId="2F0F84F8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与涉及的各部门讨论和明确需求，确定最终报表呈现的范围</w:t>
            </w:r>
          </w:p>
        </w:tc>
        <w:tc>
          <w:tcPr>
            <w:tcW w:w="2471" w:type="dxa"/>
          </w:tcPr>
          <w:p w14:paraId="61EBEB97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风险管理、质量、药物警戒、医学监查和高层看板的明确需求和呈现方式</w:t>
            </w:r>
          </w:p>
        </w:tc>
        <w:tc>
          <w:tcPr>
            <w:tcW w:w="2471" w:type="dxa"/>
          </w:tcPr>
          <w:p w14:paraId="052E4CDD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CMO，项目管理、医学、PV、DM、PL</w:t>
            </w:r>
          </w:p>
        </w:tc>
      </w:tr>
      <w:tr w14:paraId="66C03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0" w:type="dxa"/>
          </w:tcPr>
          <w:p w14:paraId="4FC7BFA1">
            <w:pPr>
              <w:spacing w:after="0" w:line="240" w:lineRule="auto"/>
              <w:jc w:val="center"/>
            </w:pPr>
            <w:r>
              <w:rPr>
                <w:sz w:val="19"/>
              </w:rPr>
              <w:t>数据接入与标准</w:t>
            </w:r>
          </w:p>
        </w:tc>
        <w:tc>
          <w:tcPr>
            <w:tcW w:w="832" w:type="dxa"/>
          </w:tcPr>
          <w:p w14:paraId="7614B1D1">
            <w:pPr>
              <w:spacing w:after="0" w:line="240" w:lineRule="auto"/>
              <w:jc w:val="center"/>
            </w:pPr>
            <w:r>
              <w:rPr>
                <w:sz w:val="19"/>
              </w:rPr>
              <w:t>M1–M3</w:t>
            </w:r>
          </w:p>
        </w:tc>
        <w:tc>
          <w:tcPr>
            <w:tcW w:w="2662" w:type="dxa"/>
          </w:tcPr>
          <w:p w14:paraId="147DEF86">
            <w:pPr>
              <w:spacing w:after="0" w:line="240" w:lineRule="auto"/>
            </w:pPr>
            <w:r>
              <w:rPr>
                <w:sz w:val="19"/>
              </w:rPr>
              <w:t>平台环境就绪（华东 DataWorks/MaxCompute）、太美 EDC + Rave + CTMS + Argus 接入、SDTM Lite 转换工程、主数据建模</w:t>
            </w:r>
          </w:p>
        </w:tc>
        <w:tc>
          <w:tcPr>
            <w:tcW w:w="2471" w:type="dxa"/>
          </w:tcPr>
          <w:p w14:paraId="034C227A">
            <w:pPr>
              <w:spacing w:after="0" w:line="240" w:lineRule="auto"/>
            </w:pPr>
            <w:r>
              <w:rPr>
                <w:sz w:val="19"/>
              </w:rPr>
              <w:t>数据集成设计、ODS/DWD、SDTM Lite 转换、依从性校验</w:t>
            </w:r>
          </w:p>
        </w:tc>
        <w:tc>
          <w:tcPr>
            <w:tcW w:w="2471" w:type="dxa"/>
          </w:tcPr>
          <w:p w14:paraId="3A597749">
            <w:pPr>
              <w:spacing w:after="0" w:line="240" w:lineRule="auto"/>
              <w:rPr>
                <w:sz w:val="19"/>
              </w:rPr>
            </w:pPr>
            <w:r>
              <w:rPr>
                <w:rFonts w:hint="eastAsia"/>
                <w:sz w:val="19"/>
                <w:lang w:eastAsia="zh-CN"/>
              </w:rPr>
              <w:t>IT、统计分析</w:t>
            </w:r>
          </w:p>
        </w:tc>
      </w:tr>
      <w:tr w14:paraId="0BADB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0" w:type="dxa"/>
          </w:tcPr>
          <w:p w14:paraId="7F63B42F">
            <w:pPr>
              <w:spacing w:after="0" w:line="240" w:lineRule="auto"/>
              <w:jc w:val="center"/>
            </w:pPr>
            <w:r>
              <w:rPr>
                <w:sz w:val="19"/>
              </w:rPr>
              <w:t>模型与指标</w:t>
            </w:r>
          </w:p>
        </w:tc>
        <w:tc>
          <w:tcPr>
            <w:tcW w:w="832" w:type="dxa"/>
          </w:tcPr>
          <w:p w14:paraId="5F185949">
            <w:pPr>
              <w:spacing w:after="0" w:line="240" w:lineRule="auto"/>
              <w:jc w:val="center"/>
            </w:pPr>
            <w:r>
              <w:rPr>
                <w:sz w:val="19"/>
              </w:rPr>
              <w:t>M2–M4</w:t>
            </w:r>
          </w:p>
        </w:tc>
        <w:tc>
          <w:tcPr>
            <w:tcW w:w="2662" w:type="dxa"/>
          </w:tcPr>
          <w:p w14:paraId="77AC346E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DWD/DWS 建模（业务总线矩阵）、指标地图落地、原子/派生指标</w:t>
            </w:r>
          </w:p>
        </w:tc>
        <w:tc>
          <w:tcPr>
            <w:tcW w:w="2471" w:type="dxa"/>
          </w:tcPr>
          <w:p w14:paraId="39BBD97E">
            <w:pPr>
              <w:spacing w:after="0" w:line="240" w:lineRule="auto"/>
            </w:pPr>
            <w:r>
              <w:rPr>
                <w:sz w:val="19"/>
              </w:rPr>
              <w:t>数仓实体清单、指标拆解、DWS/ADS 模型</w:t>
            </w:r>
          </w:p>
        </w:tc>
        <w:tc>
          <w:tcPr>
            <w:tcW w:w="2471" w:type="dxa"/>
          </w:tcPr>
          <w:p w14:paraId="683C1408">
            <w:pPr>
              <w:spacing w:after="0" w:line="240" w:lineRule="auto"/>
              <w:rPr>
                <w:sz w:val="19"/>
              </w:rPr>
            </w:pPr>
            <w:r>
              <w:rPr>
                <w:rFonts w:hint="eastAsia"/>
                <w:sz w:val="19"/>
                <w:lang w:eastAsia="zh-CN"/>
              </w:rPr>
              <w:t>IT、统计分析</w:t>
            </w:r>
          </w:p>
        </w:tc>
      </w:tr>
      <w:tr w14:paraId="7FF8D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0" w:type="dxa"/>
          </w:tcPr>
          <w:p w14:paraId="033BE399">
            <w:pPr>
              <w:spacing w:after="0" w:line="240" w:lineRule="auto"/>
              <w:jc w:val="center"/>
              <w:rPr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分析模块开发</w:t>
            </w:r>
          </w:p>
        </w:tc>
        <w:tc>
          <w:tcPr>
            <w:tcW w:w="832" w:type="dxa"/>
          </w:tcPr>
          <w:p w14:paraId="31F5DE3C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M3–M5</w:t>
            </w:r>
          </w:p>
        </w:tc>
        <w:tc>
          <w:tcPr>
            <w:tcW w:w="2662" w:type="dxa"/>
          </w:tcPr>
          <w:p w14:paraId="68EAA7B8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质量/</w:t>
            </w:r>
            <w:r>
              <w:rPr>
                <w:rFonts w:hint="eastAsia"/>
                <w:sz w:val="19"/>
                <w:lang w:eastAsia="zh-CN"/>
              </w:rPr>
              <w:t>风险管理</w:t>
            </w:r>
            <w:r>
              <w:rPr>
                <w:sz w:val="19"/>
                <w:lang w:eastAsia="zh-CN"/>
              </w:rPr>
              <w:t>、药物警戒、高层看板、医学监查报表开发</w:t>
            </w:r>
          </w:p>
        </w:tc>
        <w:tc>
          <w:tcPr>
            <w:tcW w:w="2471" w:type="dxa"/>
          </w:tcPr>
          <w:p w14:paraId="1B51CF20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四大模块报表、报表框架文档</w:t>
            </w:r>
          </w:p>
        </w:tc>
        <w:tc>
          <w:tcPr>
            <w:tcW w:w="2471" w:type="dxa"/>
          </w:tcPr>
          <w:p w14:paraId="2C08FCD0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详见第三章，业务分析模块</w:t>
            </w:r>
          </w:p>
        </w:tc>
      </w:tr>
      <w:tr w14:paraId="60AAE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0" w:type="dxa"/>
          </w:tcPr>
          <w:p w14:paraId="0F5B0452">
            <w:pPr>
              <w:spacing w:after="0" w:line="240" w:lineRule="auto"/>
              <w:jc w:val="center"/>
            </w:pPr>
            <w:r>
              <w:rPr>
                <w:sz w:val="19"/>
              </w:rPr>
              <w:t>测试与质量</w:t>
            </w:r>
          </w:p>
        </w:tc>
        <w:tc>
          <w:tcPr>
            <w:tcW w:w="832" w:type="dxa"/>
          </w:tcPr>
          <w:p w14:paraId="0121DB3D">
            <w:pPr>
              <w:spacing w:after="0" w:line="240" w:lineRule="auto"/>
              <w:jc w:val="center"/>
            </w:pPr>
            <w:r>
              <w:rPr>
                <w:sz w:val="19"/>
              </w:rPr>
              <w:t>M4–M5</w:t>
            </w:r>
          </w:p>
        </w:tc>
        <w:tc>
          <w:tcPr>
            <w:tcW w:w="2662" w:type="dxa"/>
          </w:tcPr>
          <w:p w14:paraId="03CA4714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SDTM 依从性质量校验、集成测试、UAT 准备</w:t>
            </w:r>
          </w:p>
        </w:tc>
        <w:tc>
          <w:tcPr>
            <w:tcW w:w="2471" w:type="dxa"/>
          </w:tcPr>
          <w:p w14:paraId="3EF18072">
            <w:pPr>
              <w:spacing w:after="0" w:line="240" w:lineRule="auto"/>
            </w:pPr>
            <w:r>
              <w:rPr>
                <w:sz w:val="19"/>
              </w:rPr>
              <w:t>质量规则、测试报告、UAT Case</w:t>
            </w:r>
          </w:p>
        </w:tc>
        <w:tc>
          <w:tcPr>
            <w:tcW w:w="2471" w:type="dxa"/>
          </w:tcPr>
          <w:p w14:paraId="62C98A49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IT、统计分析、项目管理、医学、PV、DM、PL</w:t>
            </w:r>
          </w:p>
        </w:tc>
      </w:tr>
      <w:tr w14:paraId="0102F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0" w:type="dxa"/>
          </w:tcPr>
          <w:p w14:paraId="3D61136D">
            <w:pPr>
              <w:spacing w:after="0" w:line="240" w:lineRule="auto"/>
              <w:jc w:val="center"/>
            </w:pPr>
            <w:r>
              <w:rPr>
                <w:sz w:val="19"/>
              </w:rPr>
              <w:t>UAT 与上线</w:t>
            </w:r>
          </w:p>
        </w:tc>
        <w:tc>
          <w:tcPr>
            <w:tcW w:w="832" w:type="dxa"/>
          </w:tcPr>
          <w:p w14:paraId="2282AFDF">
            <w:pPr>
              <w:spacing w:after="0" w:line="240" w:lineRule="auto"/>
              <w:jc w:val="center"/>
            </w:pPr>
            <w:r>
              <w:rPr>
                <w:sz w:val="19"/>
              </w:rPr>
              <w:t>M5–M6</w:t>
            </w:r>
          </w:p>
        </w:tc>
        <w:tc>
          <w:tcPr>
            <w:tcW w:w="2662" w:type="dxa"/>
          </w:tcPr>
          <w:p w14:paraId="642EF1BD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UAT 陪跑、用户培训、生产上线与试运行</w:t>
            </w:r>
          </w:p>
        </w:tc>
        <w:tc>
          <w:tcPr>
            <w:tcW w:w="2471" w:type="dxa"/>
          </w:tcPr>
          <w:p w14:paraId="3A77C995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UAT 验收、操作手册、培训记录、上线报告</w:t>
            </w:r>
          </w:p>
        </w:tc>
        <w:tc>
          <w:tcPr>
            <w:tcW w:w="2471" w:type="dxa"/>
          </w:tcPr>
          <w:p w14:paraId="3C084C0E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IT、统计分析</w:t>
            </w:r>
          </w:p>
        </w:tc>
      </w:tr>
    </w:tbl>
    <w:p w14:paraId="4AF1AB81">
      <w:pPr>
        <w:spacing w:after="60"/>
        <w:ind w:firstLine="420"/>
        <w:rPr>
          <w:b/>
          <w:lang w:eastAsia="zh-CN"/>
        </w:rPr>
      </w:pPr>
      <w:r>
        <w:rPr>
          <w:rFonts w:hint="eastAsia"/>
          <w:b/>
          <w:lang w:eastAsia="zh-CN"/>
        </w:rPr>
        <w:t>【备注：项目预计上线时间——若 7 月初启动，约 12 月底完成 UAT 与上线，预留 2–4 周 buffer 供内部核查，预计 2026 年 12 月底~2027 年 1 月初交付。】</w:t>
      </w:r>
    </w:p>
    <w:p w14:paraId="579FC8A4">
      <w:pPr>
        <w:spacing w:before="120" w:after="30"/>
        <w:ind w:firstLine="422" w:firstLineChars="200"/>
        <w:rPr>
          <w:b/>
          <w:lang w:eastAsia="zh-CN"/>
        </w:rPr>
      </w:pPr>
      <w:r>
        <w:rPr>
          <w:b/>
          <w:lang w:eastAsia="zh-CN"/>
        </w:rPr>
        <w:t>数据治理与制度建设（M1–M3，与平台搭建、源接入并行）</w:t>
      </w:r>
    </w:p>
    <w:p w14:paraId="3B134652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主要工作：成立数据治理委员会并发布治理章程与权责矩阵，同步编制数据标准、数据质量、数据安全分级、主数据及元数据血缘等制度，并在 DataWorks 相应模块落地配置、试运行，形成制度执行度量基线。</w:t>
      </w:r>
    </w:p>
    <w:p w14:paraId="3F516917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关键交付物：上述各项制度文件，以及首轮落标评估与质量基线报告（制度具体框架与内容详见第四章（五）数据治理与数据制度）。</w:t>
      </w:r>
    </w:p>
    <w:p w14:paraId="0DB10001">
      <w:pPr>
        <w:spacing w:before="120" w:after="30"/>
        <w:ind w:firstLine="422" w:firstLineChars="200"/>
        <w:rPr>
          <w:b/>
          <w:lang w:eastAsia="zh-CN"/>
        </w:rPr>
      </w:pPr>
      <w:r>
        <w:rPr>
          <w:b/>
          <w:lang w:eastAsia="zh-CN"/>
        </w:rPr>
        <w:t>上线交付与运维文档清单（仅列文件名，具体内容随实施细化编制）</w:t>
      </w:r>
    </w:p>
    <w:p w14:paraId="0DB10002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一、用户与运维类：《用户操作手册》、《系统管理员与运维手册》、《培训材料及培训记录》、《上线与试运行报告》。二、管理制度类：《数据治理章程及组织权责矩阵》、《数据标准与受控术语管理规范》、《数据质量管理制度及质量规则库说明》、《临床数据分类分级及数据安全/权限管理办法》、《主数据管理制度》、《元数据与数据血缘管理规范》、《变更管理与数据问题闭环 SOP》。</w:t>
      </w:r>
    </w:p>
    <w:p w14:paraId="68BBA3E0">
      <w:pPr>
        <w:spacing w:before="240" w:after="80"/>
        <w:rPr>
          <w:lang w:eastAsia="zh-CN"/>
        </w:rPr>
      </w:pPr>
      <w:r>
        <w:rPr>
          <w:rFonts w:ascii="黑体" w:hAnsi="黑体" w:eastAsia="黑体"/>
          <w:b/>
          <w:sz w:val="26"/>
          <w:lang w:eastAsia="zh-CN"/>
        </w:rPr>
        <w:t>六、项目组织架构</w:t>
      </w:r>
    </w:p>
    <w:p w14:paraId="30A9F9AE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项目采用甲乙双方联合项目组模式，设立三层治理结构，明确职责分工：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1"/>
        <w:gridCol w:w="1828"/>
        <w:gridCol w:w="1074"/>
        <w:gridCol w:w="1308"/>
        <w:gridCol w:w="2032"/>
      </w:tblGrid>
      <w:tr w14:paraId="4BA58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</w:tcPr>
          <w:p w14:paraId="2361401A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层级 / 工作组</w:t>
            </w:r>
          </w:p>
        </w:tc>
        <w:tc>
          <w:tcPr>
            <w:tcW w:w="1828" w:type="dxa"/>
          </w:tcPr>
          <w:p w14:paraId="5DFDC55D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华东（建设单位）</w:t>
            </w:r>
          </w:p>
        </w:tc>
        <w:tc>
          <w:tcPr>
            <w:tcW w:w="1074" w:type="dxa"/>
          </w:tcPr>
          <w:p w14:paraId="20B961BA">
            <w:pPr>
              <w:spacing w:after="0" w:line="240" w:lineRule="auto"/>
              <w:jc w:val="both"/>
              <w:rPr>
                <w:b/>
                <w:sz w:val="19"/>
                <w:lang w:eastAsia="zh-CN"/>
              </w:rPr>
            </w:pPr>
            <w:r>
              <w:rPr>
                <w:rFonts w:hint="eastAsia"/>
                <w:b/>
                <w:sz w:val="19"/>
                <w:lang w:eastAsia="zh-CN"/>
              </w:rPr>
              <w:t>华东负责人</w:t>
            </w:r>
          </w:p>
        </w:tc>
        <w:tc>
          <w:tcPr>
            <w:tcW w:w="1308" w:type="dxa"/>
          </w:tcPr>
          <w:p w14:paraId="3CF12E50">
            <w:pPr>
              <w:spacing w:after="0" w:line="240" w:lineRule="auto"/>
              <w:ind w:firstLine="381" w:firstLineChars="200"/>
              <w:jc w:val="both"/>
            </w:pPr>
            <w:r>
              <w:rPr>
                <w:b/>
                <w:sz w:val="19"/>
              </w:rPr>
              <w:t>实施方</w:t>
            </w:r>
          </w:p>
        </w:tc>
        <w:tc>
          <w:tcPr>
            <w:tcW w:w="2032" w:type="dxa"/>
          </w:tcPr>
          <w:p w14:paraId="209160E2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主要职责</w:t>
            </w:r>
          </w:p>
        </w:tc>
      </w:tr>
      <w:tr w14:paraId="55983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</w:tcPr>
          <w:p w14:paraId="0ECEFBE7">
            <w:pPr>
              <w:spacing w:after="0" w:line="240" w:lineRule="auto"/>
              <w:jc w:val="center"/>
            </w:pPr>
            <w:r>
              <w:rPr>
                <w:sz w:val="19"/>
              </w:rPr>
              <w:t>项目指导委员会</w:t>
            </w:r>
          </w:p>
        </w:tc>
        <w:tc>
          <w:tcPr>
            <w:tcW w:w="1828" w:type="dxa"/>
          </w:tcPr>
          <w:p w14:paraId="4249CDF6">
            <w:pPr>
              <w:spacing w:after="0" w:line="240" w:lineRule="auto"/>
            </w:pPr>
            <w:r>
              <w:rPr>
                <w:sz w:val="19"/>
              </w:rPr>
              <w:t>项目发起人 / 分管领导</w:t>
            </w:r>
          </w:p>
        </w:tc>
        <w:tc>
          <w:tcPr>
            <w:tcW w:w="1074" w:type="dxa"/>
          </w:tcPr>
          <w:p w14:paraId="3B4C71E2">
            <w:pPr>
              <w:spacing w:after="0" w:line="240" w:lineRule="auto"/>
              <w:jc w:val="center"/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徐俊芳</w:t>
            </w:r>
          </w:p>
        </w:tc>
        <w:tc>
          <w:tcPr>
            <w:tcW w:w="1308" w:type="dxa"/>
          </w:tcPr>
          <w:p w14:paraId="0E3C8721">
            <w:pPr>
              <w:spacing w:after="0" w:line="240" w:lineRule="auto"/>
              <w:jc w:val="center"/>
            </w:pPr>
            <w:r>
              <w:rPr>
                <w:sz w:val="19"/>
              </w:rPr>
              <w:t>项目总监</w:t>
            </w:r>
          </w:p>
        </w:tc>
        <w:tc>
          <w:tcPr>
            <w:tcW w:w="2032" w:type="dxa"/>
          </w:tcPr>
          <w:p w14:paraId="16B5015D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重大决策、资源保障、范围与预算变更审批</w:t>
            </w:r>
          </w:p>
        </w:tc>
      </w:tr>
      <w:tr w14:paraId="35421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</w:tcPr>
          <w:p w14:paraId="7E36D798">
            <w:pPr>
              <w:spacing w:after="0" w:line="240" w:lineRule="auto"/>
              <w:jc w:val="center"/>
            </w:pPr>
            <w:r>
              <w:rPr>
                <w:sz w:val="19"/>
              </w:rPr>
              <w:t>项目经理</w:t>
            </w:r>
          </w:p>
        </w:tc>
        <w:tc>
          <w:tcPr>
            <w:tcW w:w="1828" w:type="dxa"/>
          </w:tcPr>
          <w:p w14:paraId="0C133C9F">
            <w:pPr>
              <w:spacing w:after="0" w:line="240" w:lineRule="auto"/>
              <w:jc w:val="both"/>
            </w:pPr>
            <w:r>
              <w:rPr>
                <w:sz w:val="19"/>
              </w:rPr>
              <w:t>业务项目经理</w:t>
            </w:r>
          </w:p>
        </w:tc>
        <w:tc>
          <w:tcPr>
            <w:tcW w:w="1074" w:type="dxa"/>
          </w:tcPr>
          <w:p w14:paraId="373BECF5">
            <w:pPr>
              <w:spacing w:after="0" w:line="240" w:lineRule="auto"/>
              <w:jc w:val="center"/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谢蒙生</w:t>
            </w:r>
          </w:p>
        </w:tc>
        <w:tc>
          <w:tcPr>
            <w:tcW w:w="1308" w:type="dxa"/>
          </w:tcPr>
          <w:p w14:paraId="342BD108">
            <w:pPr>
              <w:spacing w:after="0" w:line="240" w:lineRule="auto"/>
              <w:jc w:val="center"/>
            </w:pPr>
            <w:r>
              <w:rPr>
                <w:sz w:val="19"/>
              </w:rPr>
              <w:t>实施项目经理</w:t>
            </w:r>
          </w:p>
        </w:tc>
        <w:tc>
          <w:tcPr>
            <w:tcW w:w="2032" w:type="dxa"/>
          </w:tcPr>
          <w:p w14:paraId="027A7292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计划、进度、质量、风险与沟通管理</w:t>
            </w:r>
          </w:p>
        </w:tc>
      </w:tr>
      <w:tr w14:paraId="4BDE2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</w:tcPr>
          <w:p w14:paraId="21656668">
            <w:pPr>
              <w:spacing w:after="0" w:line="240" w:lineRule="auto"/>
              <w:jc w:val="center"/>
            </w:pPr>
            <w:r>
              <w:rPr>
                <w:sz w:val="19"/>
              </w:rPr>
              <w:t>数据集成组</w:t>
            </w:r>
          </w:p>
        </w:tc>
        <w:tc>
          <w:tcPr>
            <w:tcW w:w="1828" w:type="dxa"/>
          </w:tcPr>
          <w:p w14:paraId="6D42F1DA">
            <w:pPr>
              <w:spacing w:after="0" w:line="240" w:lineRule="auto"/>
            </w:pPr>
            <w:r>
              <w:rPr>
                <w:sz w:val="19"/>
              </w:rPr>
              <w:t>DM / IT 配合</w:t>
            </w:r>
          </w:p>
        </w:tc>
        <w:tc>
          <w:tcPr>
            <w:tcW w:w="1074" w:type="dxa"/>
          </w:tcPr>
          <w:p w14:paraId="3822846D">
            <w:pPr>
              <w:spacing w:after="0" w:line="240" w:lineRule="auto"/>
              <w:jc w:val="center"/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谢蒙生</w:t>
            </w:r>
          </w:p>
        </w:tc>
        <w:tc>
          <w:tcPr>
            <w:tcW w:w="1308" w:type="dxa"/>
          </w:tcPr>
          <w:p w14:paraId="6CAD908D">
            <w:pPr>
              <w:spacing w:after="0" w:line="240" w:lineRule="auto"/>
              <w:jc w:val="center"/>
            </w:pPr>
            <w:r>
              <w:rPr>
                <w:sz w:val="19"/>
              </w:rPr>
              <w:t>数据工程师</w:t>
            </w:r>
          </w:p>
        </w:tc>
        <w:tc>
          <w:tcPr>
            <w:tcW w:w="2032" w:type="dxa"/>
          </w:tcPr>
          <w:p w14:paraId="7D6EBFD2">
            <w:pPr>
              <w:spacing w:after="0" w:line="240" w:lineRule="auto"/>
            </w:pPr>
            <w:r>
              <w:rPr>
                <w:sz w:val="19"/>
              </w:rPr>
              <w:t>源系统接入、ETL、SDTM Lite 转换</w:t>
            </w:r>
          </w:p>
        </w:tc>
      </w:tr>
      <w:tr w14:paraId="55547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</w:tcPr>
          <w:p w14:paraId="1B0C9C90">
            <w:pPr>
              <w:spacing w:after="0" w:line="240" w:lineRule="auto"/>
              <w:jc w:val="center"/>
            </w:pPr>
            <w:r>
              <w:rPr>
                <w:sz w:val="19"/>
              </w:rPr>
              <w:t>标准与建模组</w:t>
            </w:r>
          </w:p>
        </w:tc>
        <w:tc>
          <w:tcPr>
            <w:tcW w:w="1828" w:type="dxa"/>
          </w:tcPr>
          <w:p w14:paraId="65D37EDA">
            <w:pPr>
              <w:spacing w:after="0" w:line="240" w:lineRule="auto"/>
            </w:pPr>
            <w:r>
              <w:rPr>
                <w:sz w:val="19"/>
              </w:rPr>
              <w:t>DM / 统计 / 编程对口</w:t>
            </w:r>
          </w:p>
        </w:tc>
        <w:tc>
          <w:tcPr>
            <w:tcW w:w="1074" w:type="dxa"/>
          </w:tcPr>
          <w:p w14:paraId="22F10C79">
            <w:pPr>
              <w:spacing w:after="0" w:line="240" w:lineRule="auto"/>
              <w:jc w:val="center"/>
              <w:rPr>
                <w:sz w:val="19"/>
              </w:rPr>
            </w:pPr>
            <w:r>
              <w:rPr>
                <w:rFonts w:hint="eastAsia"/>
                <w:sz w:val="19"/>
                <w:lang w:eastAsia="zh-CN"/>
              </w:rPr>
              <w:t>谢蒙生</w:t>
            </w:r>
          </w:p>
        </w:tc>
        <w:tc>
          <w:tcPr>
            <w:tcW w:w="1308" w:type="dxa"/>
          </w:tcPr>
          <w:p w14:paraId="7E0D0B55">
            <w:pPr>
              <w:spacing w:after="0" w:line="240" w:lineRule="auto"/>
              <w:jc w:val="center"/>
            </w:pPr>
            <w:r>
              <w:rPr>
                <w:sz w:val="19"/>
              </w:rPr>
              <w:t>数据建模师</w:t>
            </w:r>
          </w:p>
        </w:tc>
        <w:tc>
          <w:tcPr>
            <w:tcW w:w="2032" w:type="dxa"/>
          </w:tcPr>
          <w:p w14:paraId="2AE0020D">
            <w:pPr>
              <w:spacing w:after="0" w:line="240" w:lineRule="auto"/>
            </w:pPr>
            <w:r>
              <w:rPr>
                <w:sz w:val="19"/>
              </w:rPr>
              <w:t>SDTM Lite 标准、指标拆解、DWD/DWS 建模</w:t>
            </w:r>
          </w:p>
        </w:tc>
      </w:tr>
      <w:tr w14:paraId="50126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</w:tcPr>
          <w:p w14:paraId="00188ADE">
            <w:pPr>
              <w:spacing w:after="0" w:line="240" w:lineRule="auto"/>
              <w:jc w:val="center"/>
            </w:pPr>
            <w:r>
              <w:rPr>
                <w:sz w:val="19"/>
              </w:rPr>
              <w:t>业务分析组</w:t>
            </w:r>
          </w:p>
        </w:tc>
        <w:tc>
          <w:tcPr>
            <w:tcW w:w="1828" w:type="dxa"/>
          </w:tcPr>
          <w:p w14:paraId="69A1DFC4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质量 / PV / 运营业务对口</w:t>
            </w:r>
          </w:p>
        </w:tc>
        <w:tc>
          <w:tcPr>
            <w:tcW w:w="1074" w:type="dxa"/>
          </w:tcPr>
          <w:p w14:paraId="6B64C12D">
            <w:pPr>
              <w:spacing w:after="0" w:line="240" w:lineRule="auto"/>
              <w:jc w:val="center"/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谢蒙生</w:t>
            </w:r>
          </w:p>
        </w:tc>
        <w:tc>
          <w:tcPr>
            <w:tcW w:w="1308" w:type="dxa"/>
          </w:tcPr>
          <w:p w14:paraId="1FD7CC9A">
            <w:pPr>
              <w:spacing w:after="0" w:line="240" w:lineRule="auto"/>
            </w:pPr>
            <w:r>
              <w:rPr>
                <w:sz w:val="19"/>
              </w:rPr>
              <w:t>BI / 业务分析师</w:t>
            </w:r>
          </w:p>
        </w:tc>
        <w:tc>
          <w:tcPr>
            <w:tcW w:w="2032" w:type="dxa"/>
          </w:tcPr>
          <w:p w14:paraId="6839A207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报表开发、指标口径确认</w:t>
            </w:r>
          </w:p>
        </w:tc>
      </w:tr>
      <w:tr w14:paraId="23D4A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</w:tcPr>
          <w:p w14:paraId="4F7D2B50">
            <w:pPr>
              <w:spacing w:after="0" w:line="240" w:lineRule="auto"/>
              <w:jc w:val="center"/>
            </w:pPr>
            <w:r>
              <w:rPr>
                <w:sz w:val="19"/>
              </w:rPr>
              <w:t>测试与培训组</w:t>
            </w:r>
          </w:p>
        </w:tc>
        <w:tc>
          <w:tcPr>
            <w:tcW w:w="1828" w:type="dxa"/>
          </w:tcPr>
          <w:p w14:paraId="5873690D">
            <w:pPr>
              <w:spacing w:after="0" w:line="240" w:lineRule="auto"/>
              <w:jc w:val="center"/>
            </w:pPr>
            <w:r>
              <w:rPr>
                <w:sz w:val="19"/>
              </w:rPr>
              <w:t>UAT 团队</w:t>
            </w:r>
          </w:p>
        </w:tc>
        <w:tc>
          <w:tcPr>
            <w:tcW w:w="1074" w:type="dxa"/>
          </w:tcPr>
          <w:p w14:paraId="20F0C13F">
            <w:pPr>
              <w:spacing w:after="0" w:line="240" w:lineRule="auto"/>
              <w:jc w:val="center"/>
              <w:rPr>
                <w:sz w:val="19"/>
              </w:rPr>
            </w:pPr>
            <w:r>
              <w:rPr>
                <w:rFonts w:hint="eastAsia"/>
                <w:sz w:val="19"/>
                <w:lang w:eastAsia="zh-CN"/>
              </w:rPr>
              <w:t>谢蒙生</w:t>
            </w:r>
          </w:p>
        </w:tc>
        <w:tc>
          <w:tcPr>
            <w:tcW w:w="1308" w:type="dxa"/>
          </w:tcPr>
          <w:p w14:paraId="49538619">
            <w:pPr>
              <w:spacing w:after="0" w:line="240" w:lineRule="auto"/>
            </w:pPr>
            <w:r>
              <w:rPr>
                <w:sz w:val="19"/>
              </w:rPr>
              <w:t>测试 / 培训工程师</w:t>
            </w:r>
          </w:p>
        </w:tc>
        <w:tc>
          <w:tcPr>
            <w:tcW w:w="2032" w:type="dxa"/>
          </w:tcPr>
          <w:p w14:paraId="70F050D4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UAT 验收、用户培训、上线支持</w:t>
            </w:r>
          </w:p>
        </w:tc>
      </w:tr>
      <w:tr w14:paraId="6D45D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1" w:type="dxa"/>
          </w:tcPr>
          <w:p w14:paraId="2EFD4429">
            <w:pPr>
              <w:spacing w:after="0" w:line="240" w:lineRule="auto"/>
              <w:jc w:val="center"/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试运行</w:t>
            </w:r>
          </w:p>
        </w:tc>
        <w:tc>
          <w:tcPr>
            <w:tcW w:w="1828" w:type="dxa"/>
          </w:tcPr>
          <w:p w14:paraId="254C0EC5">
            <w:pPr>
              <w:spacing w:after="0" w:line="240" w:lineRule="auto"/>
              <w:jc w:val="center"/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试运行团队</w:t>
            </w:r>
          </w:p>
        </w:tc>
        <w:tc>
          <w:tcPr>
            <w:tcW w:w="1074" w:type="dxa"/>
          </w:tcPr>
          <w:p w14:paraId="2812D32B">
            <w:pPr>
              <w:spacing w:after="0" w:line="240" w:lineRule="auto"/>
              <w:jc w:val="center"/>
              <w:rPr>
                <w:sz w:val="19"/>
              </w:rPr>
            </w:pPr>
            <w:r>
              <w:rPr>
                <w:rFonts w:hint="eastAsia"/>
                <w:sz w:val="19"/>
                <w:lang w:eastAsia="zh-CN"/>
              </w:rPr>
              <w:t>谢蒙生</w:t>
            </w:r>
          </w:p>
        </w:tc>
        <w:tc>
          <w:tcPr>
            <w:tcW w:w="1308" w:type="dxa"/>
          </w:tcPr>
          <w:p w14:paraId="7405873E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各业务部门</w:t>
            </w:r>
          </w:p>
        </w:tc>
        <w:tc>
          <w:tcPr>
            <w:tcW w:w="2032" w:type="dxa"/>
          </w:tcPr>
          <w:p w14:paraId="1D2698E9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测试是否正常运行，提供修改意见</w:t>
            </w:r>
          </w:p>
        </w:tc>
      </w:tr>
    </w:tbl>
    <w:p w14:paraId="6CCF2B23">
      <w:pPr>
        <w:spacing w:before="240" w:after="80"/>
        <w:rPr>
          <w:lang w:eastAsia="zh-CN"/>
        </w:rPr>
      </w:pPr>
      <w:r>
        <w:rPr>
          <w:rFonts w:ascii="黑体" w:hAnsi="黑体" w:eastAsia="黑体"/>
          <w:b/>
          <w:sz w:val="26"/>
          <w:lang w:eastAsia="zh-CN"/>
        </w:rPr>
        <w:t>七、预算组成（软硬件配给初步预算）</w:t>
      </w:r>
    </w:p>
    <w:p w14:paraId="5AF573EF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一期总投资 150 万元，为一次性实施费用，构成如下：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1"/>
        <w:gridCol w:w="1458"/>
        <w:gridCol w:w="5819"/>
      </w:tblGrid>
      <w:tr w14:paraId="1019E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E5C3AD3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费用项</w:t>
            </w:r>
          </w:p>
        </w:tc>
        <w:tc>
          <w:tcPr>
            <w:tcW w:w="1474" w:type="dxa"/>
          </w:tcPr>
          <w:p w14:paraId="699F5F2D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金额（万元）</w:t>
            </w:r>
          </w:p>
        </w:tc>
        <w:tc>
          <w:tcPr>
            <w:tcW w:w="5896" w:type="dxa"/>
          </w:tcPr>
          <w:p w14:paraId="5B8AED4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14:paraId="5FDD9A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CBAECE9">
            <w:pPr>
              <w:spacing w:after="0" w:line="240" w:lineRule="auto"/>
              <w:jc w:val="center"/>
            </w:pPr>
            <w:r>
              <w:rPr>
                <w:sz w:val="19"/>
              </w:rPr>
              <w:t>项目设计费用</w:t>
            </w:r>
          </w:p>
        </w:tc>
        <w:tc>
          <w:tcPr>
            <w:tcW w:w="1474" w:type="dxa"/>
          </w:tcPr>
          <w:p w14:paraId="1F452C75">
            <w:pPr>
              <w:spacing w:after="0" w:line="240" w:lineRule="auto"/>
              <w:jc w:val="center"/>
            </w:pPr>
            <w:r>
              <w:rPr>
                <w:sz w:val="19"/>
              </w:rPr>
              <w:t>5.0</w:t>
            </w:r>
          </w:p>
        </w:tc>
        <w:tc>
          <w:tcPr>
            <w:tcW w:w="5896" w:type="dxa"/>
          </w:tcPr>
          <w:p w14:paraId="1118D04C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规划咨询包：现状诊断 + 蓝图 + 指标框架 + 主数据梳理 + 详细方案</w:t>
            </w:r>
          </w:p>
        </w:tc>
      </w:tr>
      <w:tr w14:paraId="79D0C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44BA360">
            <w:pPr>
              <w:spacing w:after="0" w:line="240" w:lineRule="auto"/>
              <w:jc w:val="center"/>
            </w:pPr>
            <w:r>
              <w:rPr>
                <w:sz w:val="19"/>
              </w:rPr>
              <w:t>项目实施费用</w:t>
            </w:r>
          </w:p>
        </w:tc>
        <w:tc>
          <w:tcPr>
            <w:tcW w:w="1474" w:type="dxa"/>
          </w:tcPr>
          <w:p w14:paraId="79FEF329">
            <w:pPr>
              <w:spacing w:after="0" w:line="240" w:lineRule="auto"/>
              <w:jc w:val="center"/>
            </w:pPr>
            <w:r>
              <w:rPr>
                <w:sz w:val="19"/>
              </w:rPr>
              <w:t>144.0</w:t>
            </w:r>
          </w:p>
        </w:tc>
        <w:tc>
          <w:tcPr>
            <w:tcW w:w="5896" w:type="dxa"/>
          </w:tcPr>
          <w:p w14:paraId="0362D22E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源接入(太美EDC+Rave+CTMS+Argus 四源) + 业务分析(质量/</w:t>
            </w:r>
            <w:r>
              <w:rPr>
                <w:rFonts w:hint="eastAsia"/>
                <w:sz w:val="19"/>
                <w:lang w:eastAsia="zh-CN"/>
              </w:rPr>
              <w:t>运营风险管理</w:t>
            </w:r>
            <w:r>
              <w:rPr>
                <w:sz w:val="19"/>
                <w:lang w:eastAsia="zh-CN"/>
              </w:rPr>
              <w:t>+药警 PVP Review+高层）等四模块；标准资产(含主数据)、平台底座(含数据安全/权限)、UAT 与培训、SSO 对接、项目管理 —— 详见随附《报价单》。</w:t>
            </w:r>
          </w:p>
        </w:tc>
      </w:tr>
      <w:tr w14:paraId="3082A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7238461">
            <w:pPr>
              <w:spacing w:after="0" w:line="240" w:lineRule="auto"/>
            </w:pPr>
            <w:r>
              <w:rPr>
                <w:sz w:val="19"/>
              </w:rPr>
              <w:t>不可预见费 / 差旅</w:t>
            </w:r>
          </w:p>
        </w:tc>
        <w:tc>
          <w:tcPr>
            <w:tcW w:w="1474" w:type="dxa"/>
          </w:tcPr>
          <w:p w14:paraId="71759301">
            <w:pPr>
              <w:spacing w:after="0" w:line="240" w:lineRule="auto"/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w="5896" w:type="dxa"/>
          </w:tcPr>
          <w:p w14:paraId="3A6EB015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差旅及不可预见费预留</w:t>
            </w:r>
          </w:p>
        </w:tc>
      </w:tr>
      <w:tr w14:paraId="07F8A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3986942">
            <w:pPr>
              <w:spacing w:after="0" w:line="240" w:lineRule="auto"/>
              <w:jc w:val="center"/>
            </w:pPr>
            <w:r>
              <w:rPr>
                <w:sz w:val="19"/>
              </w:rPr>
              <w:t>一次性实施合计</w:t>
            </w:r>
          </w:p>
        </w:tc>
        <w:tc>
          <w:tcPr>
            <w:tcW w:w="1474" w:type="dxa"/>
          </w:tcPr>
          <w:p w14:paraId="57F684E0">
            <w:pPr>
              <w:spacing w:after="0" w:line="240" w:lineRule="auto"/>
              <w:jc w:val="center"/>
            </w:pPr>
            <w:r>
              <w:rPr>
                <w:sz w:val="19"/>
              </w:rPr>
              <w:t>150.0</w:t>
            </w:r>
          </w:p>
        </w:tc>
        <w:tc>
          <w:tcPr>
            <w:tcW w:w="5896" w:type="dxa"/>
          </w:tcPr>
          <w:p w14:paraId="78BF0429">
            <w:pPr>
              <w:spacing w:after="0" w:line="240" w:lineRule="auto"/>
              <w:jc w:val="center"/>
            </w:pPr>
            <w:r>
              <w:rPr>
                <w:sz w:val="19"/>
              </w:rPr>
              <w:t>本次立项投资范围</w:t>
            </w:r>
          </w:p>
        </w:tc>
      </w:tr>
    </w:tbl>
    <w:p w14:paraId="26C0FAC5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另行列支（不计入本期 150 万元一次性投资）：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  <w:gridCol w:w="1679"/>
        <w:gridCol w:w="5593"/>
      </w:tblGrid>
      <w:tr w14:paraId="56EAD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atLeast"/>
          <w:jc w:val="center"/>
        </w:trPr>
        <w:tc>
          <w:tcPr>
            <w:tcW w:w="2236" w:type="dxa"/>
          </w:tcPr>
          <w:p w14:paraId="2BF84B8D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费用项</w:t>
            </w:r>
          </w:p>
        </w:tc>
        <w:tc>
          <w:tcPr>
            <w:tcW w:w="1679" w:type="dxa"/>
          </w:tcPr>
          <w:p w14:paraId="16EFC515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金额</w:t>
            </w:r>
          </w:p>
        </w:tc>
        <w:tc>
          <w:tcPr>
            <w:tcW w:w="5593" w:type="dxa"/>
          </w:tcPr>
          <w:p w14:paraId="5F223352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14:paraId="65653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8" w:hRule="atLeast"/>
          <w:jc w:val="center"/>
        </w:trPr>
        <w:tc>
          <w:tcPr>
            <w:tcW w:w="2236" w:type="dxa"/>
          </w:tcPr>
          <w:p w14:paraId="2C62F340">
            <w:pPr>
              <w:spacing w:after="0" w:line="240" w:lineRule="auto"/>
            </w:pPr>
            <w:r>
              <w:rPr>
                <w:sz w:val="19"/>
              </w:rPr>
              <w:t>数据平台 / 云资源</w:t>
            </w:r>
          </w:p>
        </w:tc>
        <w:tc>
          <w:tcPr>
            <w:tcW w:w="1679" w:type="dxa"/>
          </w:tcPr>
          <w:p w14:paraId="6C1DDB68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19"/>
                <w:lang w:val="en-US" w:eastAsia="zh-CN"/>
              </w:rPr>
              <w:t>45万元</w:t>
            </w:r>
          </w:p>
        </w:tc>
        <w:tc>
          <w:tcPr>
            <w:tcW w:w="5593" w:type="dxa"/>
          </w:tcPr>
          <w:p w14:paraId="72A40C20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阿里云 DataWorks + MaxCompute + QuickBI + OSS 及云资源，由华东另行采购</w:t>
            </w:r>
            <w:r>
              <w:rPr>
                <w:rFonts w:hint="eastAsia"/>
                <w:sz w:val="19"/>
                <w:lang w:eastAsia="zh-CN"/>
              </w:rPr>
              <w:t>，</w:t>
            </w:r>
            <w:r>
              <w:rPr>
                <w:sz w:val="19"/>
                <w:lang w:eastAsia="zh-CN"/>
              </w:rPr>
              <w:t>预估约</w:t>
            </w:r>
            <w:r>
              <w:rPr>
                <w:sz w:val="19"/>
                <w:highlight w:val="green"/>
                <w:lang w:eastAsia="zh-CN"/>
              </w:rPr>
              <w:t xml:space="preserve"> </w:t>
            </w:r>
            <w:r>
              <w:rPr>
                <w:rFonts w:hint="eastAsia"/>
                <w:sz w:val="19"/>
                <w:highlight w:val="green"/>
                <w:lang w:eastAsia="zh-CN"/>
              </w:rPr>
              <w:t>45</w:t>
            </w:r>
            <w:r>
              <w:rPr>
                <w:sz w:val="19"/>
                <w:highlight w:val="green"/>
                <w:lang w:eastAsia="zh-CN"/>
              </w:rPr>
              <w:t>万</w:t>
            </w:r>
            <w:r>
              <w:rPr>
                <w:sz w:val="19"/>
                <w:lang w:eastAsia="zh-CN"/>
              </w:rPr>
              <w:t>元/年（最终以阿里云实际报价为准）。</w:t>
            </w:r>
            <w:r>
              <w:rPr>
                <w:sz w:val="19"/>
                <w:lang w:eastAsia="zh-CN"/>
              </w:rPr>
              <w:t>比价参考：已取得 AWS + 云器（Lakehouse）同等配置对标报价约 33.5 万元/年（云器 Lakehouse 计算引擎 32核128G 13.6 万/年 + 计算服务器 7 万/年 + DataWorks 对标功能 8 万/年 + S3 存储约 0.9 万/年 + QuickSight 50 用户约 4 万/年）；腾讯云按公开牌价估算约 40–45 万元/年，待正式报价确认。</w:t>
            </w:r>
          </w:p>
          <w:p w14:paraId="3C42C79F">
            <w:pPr>
              <w:spacing w:before="80" w:after="60" w:line="30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说明：</w:t>
            </w:r>
            <w:r>
              <w:rPr>
                <w:lang w:eastAsia="zh-CN"/>
              </w:rPr>
              <w:t>本一期总投资 150 万元，为《报价模板 V2.7》华东圈选范围（含双 EDC、医学监查全量、主数据建模与清洗、数据安全 / 权限控制、SSO 对接等；按标准列示价约 226 万元）经商务折扣后的一次性投资；各模块折后明细见随附《报价单》。MDM 主数据系统对接已并入「主数据模型」，不另计。平台 / 云资源及首年运维另列预算。</w:t>
            </w:r>
          </w:p>
        </w:tc>
      </w:tr>
      <w:tr>
        <w:tc>
          <w:tcPr>
            <w:tcW w:type="dxa" w:w="2236"/>
          </w:tcPr>
          <w:p>
            <w:r>
              <w:rPr>
                <w:sz w:val="19"/>
              </w:rPr>
              <w:t>后续整体运维费用</w:t>
            </w:r>
          </w:p>
        </w:tc>
        <w:tc>
          <w:tcPr>
            <w:tcW w:type="dxa" w:w="1679"/>
          </w:tcPr>
          <w:p>
            <w:r>
              <w:rPr>
                <w:sz w:val="19"/>
              </w:rPr>
              <w:t>待报价（年度）</w:t>
            </w:r>
          </w:p>
        </w:tc>
        <w:tc>
          <w:tcPr>
            <w:tcW w:type="dxa" w:w="5593"/>
          </w:tcPr>
          <w:p>
            <w:r>
              <w:rPr>
                <w:sz w:val="19"/>
              </w:rPr>
              <w:t>【占位】数仓上线后的整体后续运维（平台运维 + 应用/报表运维 + 数据治理运维），年度计费，暂无细节，待供应商及阿里云报价后补充。</w:t>
            </w:r>
          </w:p>
        </w:tc>
      </w:tr>
    </w:tbl>
    <w:p w14:paraId="30125286">
      <w:pPr>
        <w:spacing w:before="240" w:after="80"/>
        <w:rPr>
          <w:lang w:eastAsia="zh-CN"/>
        </w:rPr>
      </w:pPr>
      <w:r>
        <w:rPr>
          <w:rFonts w:ascii="黑体" w:hAnsi="黑体" w:eastAsia="黑体"/>
          <w:b/>
          <w:sz w:val="26"/>
          <w:lang w:eastAsia="zh-CN"/>
        </w:rPr>
        <w:t>八、项目投资效益分析</w:t>
      </w:r>
    </w:p>
    <w:p w14:paraId="698253E0">
      <w:pPr>
        <w:spacing w:before="120" w:after="40"/>
        <w:rPr>
          <w:rFonts w:ascii="黑体" w:hAnsi="黑体" w:eastAsia="黑体"/>
          <w:b/>
          <w:sz w:val="22"/>
          <w:lang w:eastAsia="zh-CN"/>
        </w:rPr>
      </w:pPr>
      <w:r>
        <w:rPr>
          <w:rFonts w:ascii="黑体" w:hAnsi="黑体" w:eastAsia="黑体"/>
          <w:b/>
          <w:sz w:val="22"/>
          <w:lang w:eastAsia="zh-CN"/>
        </w:rPr>
        <w:t>（一）项目核心价值（本期成效 + 长期蓝图）</w:t>
      </w:r>
    </w:p>
    <w:p w14:paraId="48729DC0">
      <w:pPr>
        <w:spacing w:after="60" w:line="300" w:lineRule="auto"/>
        <w:ind w:firstLine="420" w:firstLineChars="200"/>
        <w:rPr>
          <w:lang w:eastAsia="zh-CN"/>
        </w:rPr>
      </w:pPr>
      <w:r>
        <w:rPr>
          <w:lang w:eastAsia="zh-CN"/>
        </w:rPr>
        <w:t>本项目的核心价值不在于一次性报表交付，而在于为华东临床研发建立统一、标准化、可持续演进的数据底座，支撑数据驱动的研发运营与决策。</w:t>
      </w:r>
    </w:p>
    <w:p w14:paraId="185FF990">
      <w:pPr>
        <w:spacing w:after="60" w:line="300" w:lineRule="auto"/>
        <w:rPr>
          <w:lang w:eastAsia="zh-CN"/>
        </w:rPr>
      </w:pPr>
      <w:r>
        <w:rPr>
          <w:lang w:eastAsia="zh-CN"/>
        </w:rPr>
        <w:t>本期直接价值：打通双 EDC、CTMS、Argus，沉淀 SDTM Lite 标准化数据资产，交付风险管理、药物警戒、高层看板、医学监查四大分析能力，使运营进度、质量风险、药物安全与医学审查由“事后人工统计”转为“近实时、标准化、可追溯”。</w:t>
      </w:r>
    </w:p>
    <w:p w14:paraId="3A6EBB9A">
      <w:pPr>
        <w:spacing w:after="60" w:line="300" w:lineRule="auto"/>
        <w:ind w:firstLine="422" w:firstLineChars="200"/>
        <w:rPr>
          <w:lang w:eastAsia="zh-CN"/>
        </w:rPr>
      </w:pPr>
      <w:r>
        <w:rPr>
          <w:b/>
          <w:lang w:eastAsia="zh-CN"/>
        </w:rPr>
        <w:t>让数据链路真正“转起来”——可溯因、可反馈的运营闭环：</w:t>
      </w:r>
      <w:r>
        <w:rPr>
          <w:lang w:eastAsia="zh-CN"/>
        </w:rPr>
        <w:t>业内不少数仓与数字化项目“建得起、转不动”，根因往往不在技术，而在缺少持续运营与反馈优化机制——某项指标一旦与业务实感不符便逐渐被搁置、数据资产随之沉睡。本方案的价值不止于交付报表，更在于交付一条可溯因、可反馈的运营链路：以数据血缘（Data Map）+ 可视化图表为支撑，当某项指标初期未能准确反映真实业务时（无论是源头数据录入 / 维护不到位，还是业务流程或口径存在偏差），华东均可沿血缘从指标逐层溯因（指标 → ADS/DWS → DWD → ODS → 源系统），快速定位根因，进而反向优化数据维护与业务流程；指标由此不断逼近业务真实、重获信任与使用，数据链路从“一次性交付”转为“持续校正、越用越准”的正向循环，真正在华东内部运转起来——这也是数仓能长期产生价值、而非沦为沉睡资产的关键。</w:t>
      </w:r>
    </w:p>
    <w:p w14:paraId="32CB6BAE">
      <w:pPr>
        <w:spacing w:after="60" w:line="300" w:lineRule="auto"/>
        <w:rPr>
          <w:lang w:eastAsia="zh-CN"/>
        </w:rPr>
      </w:pPr>
      <w:r>
        <w:rPr>
          <w:lang w:eastAsia="zh-CN"/>
        </w:rPr>
        <w:t>长期战略蓝图（二期及以后）：在本期数据底座之上持续扩展——①运营全量分析与 CTMS 全量接入，覆盖项目 / 中心 / CRA 全运营链路；②跨试验组合（Portfolio）分析与智能预测（入组 / 发药 / 人力调配、中心质量与依从性基准；数据越积累越准，形成平台型壁垒）；③主数据治理体系（MDM）与数据治理委员会，统一核心实体与口径；④AI 智能应用（智能质量预警、医学异常识别、AI 辅助 SDTM 映射、自然语言自助分析）；⑤指标知识资产沉淀复用、更多源系统（IRT / eTMF / 财务）接入。</w:t>
      </w:r>
    </w:p>
    <w:p w14:paraId="77107AB7">
      <w:pPr>
        <w:spacing w:after="60" w:line="300" w:lineRule="auto"/>
        <w:ind w:firstLine="420" w:firstLineChars="200"/>
        <w:rPr>
          <w:lang w:eastAsia="zh-CN"/>
        </w:rPr>
      </w:pPr>
      <w:r>
        <w:rPr>
          <w:lang w:eastAsia="zh-CN"/>
        </w:rPr>
        <w:t>最终建成“数据驱动的临床研发运营与决策平台”，使一次性投入持续增值；经济效益测算为辅证（见下）。</w:t>
      </w:r>
    </w:p>
    <w:p w14:paraId="6EF7B341">
      <w:pPr>
        <w:spacing w:before="120" w:after="40"/>
        <w:rPr>
          <w:lang w:eastAsia="zh-CN"/>
        </w:rPr>
      </w:pPr>
      <w:r>
        <w:rPr>
          <w:rFonts w:ascii="黑体" w:hAnsi="黑体" w:eastAsia="黑体"/>
          <w:b/>
          <w:sz w:val="22"/>
          <w:lang w:eastAsia="zh-CN"/>
        </w:rPr>
        <w:t>（二）经济效益</w:t>
      </w:r>
    </w:p>
    <w:p w14:paraId="110CCA30">
      <w:pPr>
        <w:spacing w:after="60"/>
        <w:ind w:firstLine="420"/>
        <w:rPr>
          <w:lang w:eastAsia="zh-CN"/>
        </w:rPr>
      </w:pPr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多系统并存下的数据孤岛困境：公司目前在临床试验各环节使用多个独立系统，包括 EDC（电子数据采集）、CTMS（临床试验管理系统）、IWRS/RTSM（随机与试验药品管理）、Safety 数据库、eTMF（试验主文件）、医学编码工具、中心管理平台等。这些系统各自独立运行，数据标准不一致、接口缺失，形成了典型的数据孤岛。其直接后果是：同一受试者的信息分散在 3～5 个系统中，任何一个需要跨系统视角的工作——无论是医学监查的个例审查、PV 的信号检测、还是运营的入组跟踪——都必须依赖人工整合，耗时且易出错。</w:t>
      </w:r>
    </w:p>
    <w:p w14:paraId="3D29DCD0">
      <w:pPr>
        <w:spacing w:after="60"/>
        <w:ind w:firstLine="420"/>
        <w:rPr>
          <w:lang w:eastAsia="zh-CN"/>
        </w:rPr>
      </w:pPr>
      <w:r>
        <w:rPr>
          <w:rFonts w:hint="eastAsia"/>
          <w:lang w:eastAsia="zh-CN"/>
        </w:rPr>
        <w:t>2. 数据链接的核心价值：从"点"到"线"到"面"：数仓的建设本质是建立一套以受试者为中心的数据链接体系，将分散在各系统中的数据按照统一标识（Subject ID、Visit ID、Site ID 等）进行关联与整合。这一链接带来的价值体现在三个层次：</w:t>
      </w:r>
    </w:p>
    <w:p w14:paraId="660793BA">
      <w:pPr>
        <w:spacing w:after="60"/>
        <w:ind w:firstLine="420"/>
        <w:rPr>
          <w:lang w:eastAsia="zh-CN"/>
        </w:rPr>
      </w:pPr>
      <w:r>
        <w:rPr>
          <w:rFonts w:hint="eastAsia"/>
          <w:lang w:eastAsia="zh-CN"/>
        </w:rPr>
        <w:t>• 个体层面：将同一受试者的入组信息、访视数据、不良事件、合并用药、实验室检查等串联为完整的个体档案，为医学监查提供"一站式"视图，显著提升个例审查效率与准确性。</w:t>
      </w:r>
    </w:p>
    <w:p w14:paraId="128AC454">
      <w:pPr>
        <w:spacing w:after="60"/>
        <w:ind w:firstLine="420"/>
        <w:rPr>
          <w:lang w:eastAsia="zh-CN"/>
        </w:rPr>
      </w:pPr>
      <w:r>
        <w:rPr>
          <w:rFonts w:hint="eastAsia"/>
          <w:lang w:eastAsia="zh-CN"/>
        </w:rPr>
        <w:t>• 项目层面：将各中心、各受试者的数据汇总为项目全景，支持实时入组进度追踪、中心间横向对比、数据完整性检查等，为运营决策提供及时、可靠的数据支撑。</w:t>
      </w:r>
    </w:p>
    <w:p w14:paraId="7B8B06C2">
      <w:pPr>
        <w:spacing w:after="60"/>
        <w:ind w:firstLine="420"/>
        <w:rPr>
          <w:lang w:eastAsia="zh-CN"/>
        </w:rPr>
      </w:pPr>
      <w:r>
        <w:rPr>
          <w:rFonts w:hint="eastAsia"/>
          <w:lang w:eastAsia="zh-CN"/>
        </w:rPr>
        <w:t>• 跨项目层面：打通不同项目之间的数据壁垒，形成公司级的数据资产。这使得跨项目的疗效趋势分析、安全性信号横向比对、历史项目经验复用等成为可能，直接赋能 BD 尽调、管线决策与监管沟通。</w:t>
      </w:r>
    </w:p>
    <w:p w14:paraId="65F92753">
      <w:pPr>
        <w:numPr>
          <w:ilvl w:val="0"/>
          <w:numId w:val="7"/>
        </w:numPr>
        <w:spacing w:after="60"/>
        <w:ind w:firstLine="420"/>
        <w:rPr>
          <w:lang w:eastAsia="zh-CN"/>
        </w:rPr>
      </w:pPr>
      <w:r>
        <w:rPr>
          <w:rFonts w:hint="eastAsia"/>
          <w:lang w:eastAsia="zh-CN"/>
        </w:rPr>
        <w:t>数据资产的长期复利效应：与一次性外包服务不同，数仓中的数据资产会随着项目积累持续增值。每新增一个项目，历史数据的参考价值就更大——类似疾病领域的患者特征对比、同类药物的安全性基线、特定中心的历史绩效评估等，这些在孤立系统中无法实现的分析，在数据链接打通后将自然产生。数据资产不是消耗品，而是随着使用不断增值的基础设施，这也是数仓与传统 IT 项目最本质的区别。</w:t>
      </w:r>
    </w:p>
    <w:p w14:paraId="483C081D">
      <w:pPr>
        <w:numPr>
          <w:ilvl w:val="0"/>
          <w:numId w:val="7"/>
        </w:numPr>
        <w:spacing w:after="60"/>
        <w:ind w:firstLine="420"/>
        <w:rPr>
          <w:lang w:eastAsia="zh-CN"/>
        </w:rPr>
      </w:pPr>
      <w:r>
        <w:rPr>
          <w:rFonts w:hint="eastAsia"/>
          <w:lang w:eastAsia="zh-CN"/>
        </w:rPr>
        <w:t>医学监查能力内化与业务扩展：</w:t>
      </w:r>
      <w:r>
        <w:rPr>
          <w:lang w:eastAsia="zh-CN"/>
        </w:rPr>
        <w:t xml:space="preserve"> 公司医学监查工作原依赖杉云i-MR系统（定制化平台，主要用于临床三期项目，偶有二期项目使用）。杉云系统曾独立用于两个创新药中心项目，合同累计支付70万元。因成本较高，后转为采用 CRO 外包服务。单项目 CRO 外包后，杉云 i-MR 系统费用约 20-25 万元/个。数仓系统上线后，借助统一数据视图与标准化报告模板，团队可自行完成医学监查的数据准备与信息整合，显著降低对外包服务以及外部系统的依赖。根据立项配置方案，预计可承接项目约20-30项，使得单项目系统费用降低至15万元/个。</w:t>
      </w:r>
    </w:p>
    <w:p w14:paraId="01040D34">
      <w:pPr>
        <w:spacing w:after="60"/>
        <w:rPr>
          <w:rFonts w:hint="eastAsia"/>
          <w:lang w:eastAsia="zh-CN"/>
        </w:rPr>
      </w:pPr>
    </w:p>
    <w:p w14:paraId="639E9A06">
      <w:pPr>
        <w:spacing w:after="60"/>
        <w:rPr>
          <w:lang w:eastAsia="zh-CN"/>
        </w:rPr>
      </w:pPr>
      <w:r>
        <w:rPr>
          <w:rFonts w:ascii="黑体" w:hAnsi="黑体" w:eastAsia="黑体"/>
          <w:b/>
          <w:sz w:val="22"/>
          <w:lang w:eastAsia="zh-CN"/>
        </w:rPr>
        <w:t>（三）管理与质量效益（定性）</w:t>
      </w:r>
    </w:p>
    <w:p w14:paraId="61003997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加速临床运营决策、强化质量与风险管理（RBQM）、保障药物安全、提升质量合规与核查就绪度、沉淀可复用的标准化数据资产并赋能医学监查等下游系统、辅助高层决策——详见《信息化项目投资效益评估表》。</w:t>
      </w:r>
    </w:p>
    <w:p w14:paraId="3E691C08">
      <w:pPr>
        <w:spacing w:before="120" w:after="40"/>
        <w:rPr>
          <w:lang w:eastAsia="zh-CN"/>
        </w:rPr>
      </w:pPr>
      <w:r>
        <w:rPr>
          <w:rFonts w:ascii="黑体" w:hAnsi="黑体" w:eastAsia="黑体"/>
          <w:b/>
          <w:sz w:val="22"/>
          <w:lang w:eastAsia="zh-CN"/>
        </w:rPr>
        <w:t>（四）AI 应用赋能与数据资产增值（远期战略价值）</w:t>
      </w:r>
    </w:p>
    <w:p w14:paraId="7BAC45E5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本项目建设的治理后标准化数据资产（SDTM Lite 标准库 + 统一指标层）是临床研发 AI 应用的数据底座。在本期数据基础之上，可在后续阶段按需构建以下智能应用，使一次性投入的数据资产持续增值：</w:t>
      </w:r>
    </w:p>
    <w:p w14:paraId="2C4FE0B3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1. 智能质量风险预警：基于离群检测与风险量化评分的动态预警，强化主动</w:t>
      </w:r>
      <w:r>
        <w:rPr>
          <w:rFonts w:hint="eastAsia"/>
          <w:lang w:eastAsia="zh-CN"/>
        </w:rPr>
        <w:t>风险可视预警管理</w:t>
      </w:r>
      <w:r>
        <w:rPr>
          <w:lang w:eastAsia="zh-CN"/>
        </w:rPr>
        <w:t>。</w:t>
      </w:r>
    </w:p>
    <w:p w14:paraId="34ACD4F7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2. 医学异常智能识别：AE × 实验室 × 合并用药交叉分析、安全信号识别。</w:t>
      </w:r>
    </w:p>
    <w:p w14:paraId="3DA94EFA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3. 跨试验智能预测：入组、发药、人力调配预测与中心质量/依从性基准——依托跨项目标准化数据积累，数据越多越准，是平台型壁垒。</w:t>
      </w:r>
    </w:p>
    <w:p w14:paraId="45A88835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4. AI 增强 SDTM 映射：基于历史映射的自动化辅助映射 + 人工审核，显著降低后续每个试验的映射成本与周期。</w:t>
      </w:r>
    </w:p>
    <w:p w14:paraId="548059CF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5. 自然语言自助分析：基于标准化指标层的智能问数与洞察（NL2SQL），降低业务取数门槛、释放数据自助消费能力。</w:t>
      </w:r>
    </w:p>
    <w:p w14:paraId="271D84B6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>上述 AI 能力作为二期进阶模块按需建设；本期重点在于打好高质量、可被 AI 复用的数据治理基础，从而放大长期投资回报——这也是“先把数据治理做对、再做 AI”的稳健路径。</w:t>
      </w:r>
    </w:p>
    <w:p w14:paraId="2959378F">
      <w:pPr>
        <w:spacing w:before="240" w:after="80"/>
      </w:pPr>
      <w:r>
        <w:rPr>
          <w:rFonts w:ascii="黑体" w:hAnsi="黑体" w:eastAsia="黑体"/>
          <w:b/>
          <w:sz w:val="26"/>
        </w:rPr>
        <w:t>九、风险因素分析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3693"/>
        <w:gridCol w:w="4247"/>
      </w:tblGrid>
      <w:tr w14:paraId="20889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4999BC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风险类别</w:t>
            </w:r>
          </w:p>
        </w:tc>
        <w:tc>
          <w:tcPr>
            <w:tcW w:w="3742" w:type="dxa"/>
          </w:tcPr>
          <w:p w14:paraId="086B3151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风险描述</w:t>
            </w:r>
          </w:p>
        </w:tc>
        <w:tc>
          <w:tcPr>
            <w:tcW w:w="4309" w:type="dxa"/>
          </w:tcPr>
          <w:p w14:paraId="4E4B004E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应对措施</w:t>
            </w:r>
          </w:p>
        </w:tc>
      </w:tr>
      <w:tr w14:paraId="6C649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C61C249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数据标准化（双 EDC 异构）</w:t>
            </w:r>
          </w:p>
        </w:tc>
        <w:tc>
          <w:tcPr>
            <w:tcW w:w="3742" w:type="dxa"/>
          </w:tcPr>
          <w:p w14:paraId="499B53B0">
            <w:pPr>
              <w:spacing w:after="0" w:line="240" w:lineRule="auto"/>
            </w:pPr>
            <w:r>
              <w:rPr>
                <w:sz w:val="19"/>
              </w:rPr>
              <w:t>Medidata Rave 与 太美 EDC 结构不同、表单灵活定义、CTMS 里程碑自由设置，指标难以统一计算</w:t>
            </w:r>
          </w:p>
        </w:tc>
        <w:tc>
          <w:tcPr>
            <w:tcW w:w="4309" w:type="dxa"/>
          </w:tcPr>
          <w:p w14:paraId="21F6A369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以 SDTM Lite 作为统一标准层归一化两套 EDC；联合 DM/统计/编程确立标准、与运营约定里程碑命名</w:t>
            </w:r>
          </w:p>
        </w:tc>
      </w:tr>
      <w:tr w14:paraId="7210E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0D9351A">
            <w:pPr>
              <w:spacing w:after="0" w:line="240" w:lineRule="auto"/>
              <w:jc w:val="center"/>
            </w:pPr>
            <w:r>
              <w:rPr>
                <w:sz w:val="19"/>
              </w:rPr>
              <w:t>EDC 接入范围</w:t>
            </w:r>
          </w:p>
        </w:tc>
        <w:tc>
          <w:tcPr>
            <w:tcW w:w="3742" w:type="dxa"/>
          </w:tcPr>
          <w:p w14:paraId="0D6AEF28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双 EDC（太美 EDC + Medidata Rave）均一期接入，工作量较大、需分批推进</w:t>
            </w:r>
          </w:p>
        </w:tc>
        <w:tc>
          <w:tcPr>
            <w:tcW w:w="4309" w:type="dxa"/>
          </w:tcPr>
          <w:p w14:paraId="4A8F6CDF">
            <w:pPr>
              <w:spacing w:after="0" w:line="240" w:lineRule="auto"/>
            </w:pPr>
            <w:r>
              <w:rPr>
                <w:sz w:val="19"/>
              </w:rPr>
              <w:t>两套 EDC 一期内按在研项目优先级分批接入，以 SDTM Lite 统一标准归一；范围调整走变更（Change Order）</w:t>
            </w:r>
          </w:p>
        </w:tc>
      </w:tr>
      <w:tr w14:paraId="23CB3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BE1586E">
            <w:pPr>
              <w:spacing w:after="0" w:line="240" w:lineRule="auto"/>
              <w:jc w:val="center"/>
            </w:pPr>
            <w:r>
              <w:rPr>
                <w:sz w:val="19"/>
              </w:rPr>
              <w:t>数据源接入</w:t>
            </w:r>
          </w:p>
        </w:tc>
        <w:tc>
          <w:tcPr>
            <w:tcW w:w="3742" w:type="dxa"/>
          </w:tcPr>
          <w:p w14:paraId="0C9EB88F">
            <w:pPr>
              <w:spacing w:after="0" w:line="240" w:lineRule="auto"/>
            </w:pPr>
            <w:r>
              <w:rPr>
                <w:sz w:val="19"/>
              </w:rPr>
              <w:t>Argus（Oracle）受限直连配置复杂、安全要求高</w:t>
            </w:r>
          </w:p>
        </w:tc>
        <w:tc>
          <w:tcPr>
            <w:tcW w:w="4309" w:type="dxa"/>
          </w:tcPr>
          <w:p w14:paraId="01727F89">
            <w:pPr>
              <w:spacing w:after="0" w:line="240" w:lineRule="auto"/>
            </w:pPr>
            <w:r>
              <w:rPr>
                <w:sz w:val="19"/>
              </w:rPr>
              <w:t>采用 ODI ETL + Oracle 视图 + 受限直连安全配置，提前与 IT 确认方案</w:t>
            </w:r>
          </w:p>
        </w:tc>
      </w:tr>
      <w:tr w14:paraId="4FB2A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C926ED1">
            <w:pPr>
              <w:spacing w:after="0" w:line="240" w:lineRule="auto"/>
              <w:jc w:val="center"/>
            </w:pPr>
            <w:r>
              <w:rPr>
                <w:sz w:val="19"/>
              </w:rPr>
              <w:t>数据质量</w:t>
            </w:r>
          </w:p>
        </w:tc>
        <w:tc>
          <w:tcPr>
            <w:tcW w:w="3742" w:type="dxa"/>
          </w:tcPr>
          <w:p w14:paraId="13FB7595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源数据质量参差，影响指标准确性</w:t>
            </w:r>
          </w:p>
        </w:tc>
        <w:tc>
          <w:tcPr>
            <w:tcW w:w="4309" w:type="dxa"/>
          </w:tcPr>
          <w:p w14:paraId="53F87B43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建立 SDTM 依从性与中间层质量校验规则，分层把关</w:t>
            </w:r>
          </w:p>
        </w:tc>
      </w:tr>
      <w:tr w14:paraId="12E91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78C7F88D">
            <w:pPr>
              <w:spacing w:after="0" w:line="240" w:lineRule="auto"/>
              <w:jc w:val="center"/>
            </w:pPr>
            <w:r>
              <w:rPr>
                <w:sz w:val="19"/>
              </w:rPr>
              <w:t>范围与预算控制</w:t>
            </w:r>
          </w:p>
        </w:tc>
        <w:tc>
          <w:tcPr>
            <w:tcW w:w="3742" w:type="dxa"/>
          </w:tcPr>
          <w:p w14:paraId="1F51DA57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一期范围与投资固定，存在范围蔓延风险</w:t>
            </w:r>
          </w:p>
        </w:tc>
        <w:tc>
          <w:tcPr>
            <w:tcW w:w="4309" w:type="dxa"/>
          </w:tcPr>
          <w:p w14:paraId="02B6C112">
            <w:pPr>
              <w:spacing w:after="0" w:line="240" w:lineRule="auto"/>
            </w:pPr>
            <w:r>
              <w:rPr>
                <w:sz w:val="19"/>
              </w:rPr>
              <w:t>严格范围管理，新增需求走变更（Change Order）独立报价、由二期承接</w:t>
            </w:r>
          </w:p>
        </w:tc>
      </w:tr>
      <w:tr w14:paraId="3AF32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3697643">
            <w:pPr>
              <w:spacing w:after="0" w:line="240" w:lineRule="auto"/>
              <w:jc w:val="center"/>
            </w:pPr>
            <w:r>
              <w:rPr>
                <w:sz w:val="19"/>
              </w:rPr>
              <w:t>组织协同</w:t>
            </w:r>
          </w:p>
        </w:tc>
        <w:tc>
          <w:tcPr>
            <w:tcW w:w="3742" w:type="dxa"/>
          </w:tcPr>
          <w:p w14:paraId="5B02EEE4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指标口径确认依赖华东多部门业务参与</w:t>
            </w:r>
          </w:p>
        </w:tc>
        <w:tc>
          <w:tcPr>
            <w:tcW w:w="4309" w:type="dxa"/>
          </w:tcPr>
          <w:p w14:paraId="2879E688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建立联合项目组与定期沟通机制，关键口径会议决策留痕</w:t>
            </w:r>
          </w:p>
        </w:tc>
      </w:tr>
      <w:tr w14:paraId="49433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8F0F9AC">
            <w:pPr>
              <w:spacing w:after="0" w:line="240" w:lineRule="auto"/>
              <w:jc w:val="center"/>
            </w:pPr>
            <w:r>
              <w:rPr>
                <w:sz w:val="19"/>
              </w:rPr>
              <w:t>盲态合规</w:t>
            </w:r>
          </w:p>
        </w:tc>
        <w:tc>
          <w:tcPr>
            <w:tcW w:w="3742" w:type="dxa"/>
          </w:tcPr>
          <w:p w14:paraId="76F5E74C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EDC 开放试验分组信息存在盲态泄露风险</w:t>
            </w:r>
          </w:p>
        </w:tc>
        <w:tc>
          <w:tcPr>
            <w:tcW w:w="4309" w:type="dxa"/>
          </w:tcPr>
          <w:p w14:paraId="4CA71F5F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对分析人员保持盲态、行列权限控制，符合盲法指导原则</w:t>
            </w:r>
          </w:p>
        </w:tc>
      </w:tr>
    </w:tbl>
    <w:p w14:paraId="376FC286">
      <w:pPr>
        <w:spacing w:before="240" w:after="80"/>
        <w:rPr>
          <w:lang w:eastAsia="zh-CN"/>
        </w:rPr>
      </w:pPr>
      <w:r>
        <w:rPr>
          <w:rFonts w:ascii="黑体" w:hAnsi="黑体" w:eastAsia="黑体"/>
          <w:b/>
          <w:sz w:val="26"/>
          <w:lang w:eastAsia="zh-CN"/>
        </w:rPr>
        <w:t>十、项目结论</w:t>
      </w:r>
    </w:p>
    <w:p w14:paraId="4A3FE43C">
      <w:pPr>
        <w:spacing w:after="60" w:line="300" w:lineRule="auto"/>
        <w:ind w:firstLine="420"/>
        <w:rPr>
          <w:lang w:eastAsia="zh-CN"/>
        </w:rPr>
      </w:pPr>
      <w:r>
        <w:rPr>
          <w:lang w:eastAsia="zh-CN"/>
        </w:rPr>
        <w:t xml:space="preserve">本项目以 </w:t>
      </w:r>
      <w:r>
        <w:rPr>
          <w:highlight w:val="yellow"/>
          <w:lang w:eastAsia="zh-CN"/>
        </w:rPr>
        <w:t>1</w:t>
      </w:r>
      <w:r>
        <w:rPr>
          <w:rFonts w:hint="eastAsia"/>
          <w:highlight w:val="yellow"/>
          <w:lang w:val="en-US" w:eastAsia="zh-CN"/>
        </w:rPr>
        <w:t>95</w:t>
      </w:r>
      <w:r>
        <w:rPr>
          <w:highlight w:val="yellow"/>
          <w:lang w:eastAsia="zh-CN"/>
        </w:rPr>
        <w:t xml:space="preserve"> </w:t>
      </w:r>
      <w:r>
        <w:rPr>
          <w:lang w:eastAsia="zh-CN"/>
        </w:rPr>
        <w:t>万元</w:t>
      </w:r>
      <w:r>
        <w:rPr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包括</w:t>
      </w:r>
      <w:r>
        <w:rPr>
          <w:lang w:eastAsia="zh-CN"/>
        </w:rPr>
        <w:t>一期投</w:t>
      </w:r>
      <w:r>
        <w:rPr>
          <w:rFonts w:hint="eastAsia"/>
          <w:lang w:val="en-US" w:eastAsia="zh-CN"/>
        </w:rPr>
        <w:t>150万元和</w:t>
      </w:r>
      <w:r>
        <w:rPr>
          <w:highlight w:val="yellow"/>
          <w:lang w:eastAsia="zh-CN"/>
        </w:rPr>
        <w:t>数据资源/云平台预算</w:t>
      </w:r>
      <w:r>
        <w:rPr>
          <w:rFonts w:hint="eastAsia"/>
          <w:highlight w:val="yellow"/>
          <w:lang w:eastAsia="zh-CN"/>
        </w:rPr>
        <w:t>45万元</w:t>
      </w:r>
      <w:r>
        <w:rPr>
          <w:highlight w:val="yellow"/>
          <w:lang w:eastAsia="zh-CN"/>
        </w:rPr>
        <w:t>；数仓上线后的后续整体运维费用按年度计费、约 8 万元/年，另行列支），</w:t>
      </w:r>
      <w:r>
        <w:rPr>
          <w:lang w:eastAsia="zh-CN"/>
        </w:rPr>
        <w:t>聚焦质量/</w:t>
      </w:r>
      <w:r>
        <w:rPr>
          <w:rFonts w:hint="eastAsia"/>
          <w:lang w:eastAsia="zh-CN"/>
        </w:rPr>
        <w:t>运营风险管理</w:t>
      </w:r>
      <w:r>
        <w:rPr>
          <w:lang w:eastAsia="zh-CN"/>
        </w:rPr>
        <w:t>、药物警戒、高层看板、医学监查四大高价值、易见效模块，采用阿里云 MaxCompute + DataWorks + QuickBI 成熟技术栈与 SDTM Lite 标准化方法，分期实施以控制风险与预算。在临床运营提效、质量与安全风险管理、合规核查就绪、标准化数据资产沉淀及下游赋能等方面产生显著长期管理效益；其沉淀的治理后数据资产更是后续 AI 应用（智能质量预警、医学异常识别、跨试验预测、AI 辅助 SDTM 映射、自然语言自助分析等）的核心底座，使长期投资回报持续放大。综合评估，本项目技术可行、效益明确、风险可控，建议立项实施。</w:t>
      </w:r>
    </w:p>
    <w:p w14:paraId="1248F5E5">
      <w:pPr>
        <w:spacing w:after="60" w:line="300" w:lineRule="auto"/>
        <w:ind w:firstLine="420"/>
      </w:pPr>
      <w:r>
        <w:rPr>
          <w:highlight w:val="green"/>
          <w:lang w:eastAsia="zh-CN"/>
        </w:rPr>
        <w:t>根据2026年</w:t>
      </w:r>
      <w:r>
        <w:rPr>
          <w:rFonts w:hint="eastAsia"/>
          <w:highlight w:val="green"/>
          <w:lang w:val="en-US" w:eastAsia="zh-CN"/>
        </w:rPr>
        <w:t>临床</w:t>
      </w:r>
      <w:r>
        <w:rPr>
          <w:highlight w:val="green"/>
          <w:lang w:eastAsia="zh-CN"/>
        </w:rPr>
        <w:t>部门预算执行情况看，2026年预计</w:t>
      </w:r>
      <w:r>
        <w:rPr>
          <w:rFonts w:hint="eastAsia"/>
          <w:highlight w:val="green"/>
          <w:lang w:val="en-US" w:eastAsia="zh-CN"/>
        </w:rPr>
        <w:t>支出</w:t>
      </w:r>
      <w:r>
        <w:rPr>
          <w:highlight w:val="green"/>
          <w:lang w:eastAsia="zh-CN"/>
        </w:rPr>
        <w:t>，</w:t>
      </w:r>
      <w:r>
        <w:rPr>
          <w:rFonts w:hint="eastAsia"/>
          <w:highlight w:val="green"/>
          <w:lang w:val="en-US" w:eastAsia="zh-CN"/>
        </w:rPr>
        <w:t>在</w:t>
      </w:r>
      <w:r>
        <w:rPr>
          <w:highlight w:val="green"/>
          <w:lang w:eastAsia="zh-CN"/>
        </w:rPr>
        <w:t>部门费用预算内平衡。</w:t>
      </w:r>
      <w:bookmarkStart w:id="0" w:name="_GoBack"/>
      <w:bookmarkEnd w:id="0"/>
    </w:p>
    <w:p w14:paraId="4EEC9994">
      <w:pPr>
        <w:spacing w:after="60" w:line="300" w:lineRule="auto"/>
        <w:ind w:firstLine="420"/>
      </w:pPr>
    </w:p>
    <w:p w14:paraId="2E768CAB">
      <w:pPr>
        <w:spacing w:after="60" w:line="300" w:lineRule="auto"/>
        <w:ind w:firstLine="420"/>
        <w:rPr>
          <w:lang w:eastAsia="zh-CN"/>
        </w:rPr>
      </w:pPr>
    </w:p>
    <w:tbl>
      <w:tblPr>
        <w:tblStyle w:val="35"/>
        <w:tblW w:w="9408" w:type="dxa"/>
        <w:tblInd w:w="1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1118"/>
        <w:gridCol w:w="872"/>
        <w:gridCol w:w="1171"/>
        <w:gridCol w:w="5022"/>
      </w:tblGrid>
      <w:tr w14:paraId="43C55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</w:trPr>
        <w:tc>
          <w:tcPr>
            <w:tcW w:w="1225" w:type="dxa"/>
            <w:tcBorders>
              <w:top w:val="single" w:color="D0D0D0" w:sz="4" w:space="0"/>
              <w:left w:val="single" w:color="D0D0D0" w:sz="4" w:space="0"/>
              <w:bottom w:val="single" w:color="333333" w:sz="8" w:space="0"/>
              <w:right w:val="single" w:color="D0D0D0" w:sz="4" w:space="0"/>
            </w:tcBorders>
            <w:shd w:val="clear" w:color="333300" w:fill="333333"/>
            <w:noWrap/>
            <w:vAlign w:val="center"/>
          </w:tcPr>
          <w:p w14:paraId="726281A5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期次</w:t>
            </w:r>
          </w:p>
        </w:tc>
        <w:tc>
          <w:tcPr>
            <w:tcW w:w="1118" w:type="dxa"/>
            <w:tcBorders>
              <w:top w:val="single" w:color="D0D0D0" w:sz="4" w:space="0"/>
              <w:left w:val="single" w:color="D0D0D0" w:sz="4" w:space="0"/>
              <w:bottom w:val="single" w:color="333333" w:sz="8" w:space="0"/>
              <w:right w:val="single" w:color="D0D0D0" w:sz="4" w:space="0"/>
            </w:tcBorders>
            <w:shd w:val="clear" w:color="333300" w:fill="333333"/>
            <w:noWrap/>
            <w:vAlign w:val="center"/>
          </w:tcPr>
          <w:p w14:paraId="053A88BC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时间</w:t>
            </w:r>
          </w:p>
        </w:tc>
        <w:tc>
          <w:tcPr>
            <w:tcW w:w="872" w:type="dxa"/>
            <w:tcBorders>
              <w:top w:val="single" w:color="D0D0D0" w:sz="4" w:space="0"/>
              <w:left w:val="single" w:color="D0D0D0" w:sz="4" w:space="0"/>
              <w:bottom w:val="single" w:color="333333" w:sz="8" w:space="0"/>
              <w:right w:val="single" w:color="D0D0D0" w:sz="4" w:space="0"/>
            </w:tcBorders>
            <w:shd w:val="clear" w:color="333300" w:fill="333333"/>
            <w:noWrap/>
            <w:vAlign w:val="center"/>
          </w:tcPr>
          <w:p w14:paraId="2FEAAB2A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比例</w:t>
            </w:r>
          </w:p>
        </w:tc>
        <w:tc>
          <w:tcPr>
            <w:tcW w:w="1171" w:type="dxa"/>
            <w:tcBorders>
              <w:top w:val="single" w:color="D0D0D0" w:sz="4" w:space="0"/>
              <w:left w:val="single" w:color="D0D0D0" w:sz="4" w:space="0"/>
              <w:bottom w:val="single" w:color="333333" w:sz="8" w:space="0"/>
              <w:right w:val="single" w:color="D0D0D0" w:sz="4" w:space="0"/>
            </w:tcBorders>
            <w:shd w:val="clear" w:color="333300" w:fill="333333"/>
            <w:noWrap/>
            <w:vAlign w:val="center"/>
          </w:tcPr>
          <w:p w14:paraId="1E4633E9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金额</w:t>
            </w:r>
          </w:p>
        </w:tc>
        <w:tc>
          <w:tcPr>
            <w:tcW w:w="5022" w:type="dxa"/>
            <w:tcBorders>
              <w:top w:val="single" w:color="D0D0D0" w:sz="4" w:space="0"/>
              <w:left w:val="single" w:color="D0D0D0" w:sz="4" w:space="0"/>
              <w:bottom w:val="single" w:color="333333" w:sz="8" w:space="0"/>
              <w:right w:val="single" w:color="D0D0D0" w:sz="4" w:space="0"/>
            </w:tcBorders>
            <w:shd w:val="clear" w:color="333300" w:fill="333333"/>
            <w:noWrap/>
            <w:vAlign w:val="center"/>
          </w:tcPr>
          <w:p w14:paraId="508630F5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付款里程碑</w:t>
            </w:r>
          </w:p>
        </w:tc>
      </w:tr>
      <w:tr w14:paraId="58726F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225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9F9F9" w:fill="FFFFFF"/>
            <w:noWrap/>
            <w:vAlign w:val="center"/>
          </w:tcPr>
          <w:p w14:paraId="5DFA250C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第一期</w:t>
            </w:r>
          </w:p>
        </w:tc>
        <w:tc>
          <w:tcPr>
            <w:tcW w:w="1118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9F9F9" w:fill="FFFFFF"/>
            <w:noWrap/>
            <w:vAlign w:val="center"/>
          </w:tcPr>
          <w:p w14:paraId="1B24D192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2026.07</w:t>
            </w:r>
          </w:p>
        </w:tc>
        <w:tc>
          <w:tcPr>
            <w:tcW w:w="868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9F9F9" w:fill="FFFFFF"/>
            <w:noWrap/>
            <w:vAlign w:val="center"/>
          </w:tcPr>
          <w:p w14:paraId="75BD2B6D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30%</w:t>
            </w:r>
          </w:p>
        </w:tc>
        <w:tc>
          <w:tcPr>
            <w:tcW w:w="1166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9F9F9" w:fill="FFFFFF"/>
            <w:noWrap/>
            <w:vAlign w:val="center"/>
          </w:tcPr>
          <w:p w14:paraId="1588D096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45万</w:t>
            </w:r>
          </w:p>
        </w:tc>
        <w:tc>
          <w:tcPr>
            <w:tcW w:w="4995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9F9F9" w:fill="FFFFFF"/>
            <w:noWrap/>
            <w:vAlign w:val="center"/>
          </w:tcPr>
          <w:p w14:paraId="0CE3D64D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合同签署 &amp; 项目启动会</w:t>
            </w:r>
          </w:p>
        </w:tc>
      </w:tr>
      <w:tr w14:paraId="73447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1225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FFFFF" w:fill="F9F9F9"/>
            <w:noWrap/>
            <w:vAlign w:val="center"/>
          </w:tcPr>
          <w:p w14:paraId="1548FC6E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第二期</w:t>
            </w:r>
          </w:p>
        </w:tc>
        <w:tc>
          <w:tcPr>
            <w:tcW w:w="1118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FFFFF" w:fill="F9F9F9"/>
            <w:noWrap/>
            <w:vAlign w:val="center"/>
          </w:tcPr>
          <w:p w14:paraId="50082A26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2026.09</w:t>
            </w:r>
          </w:p>
        </w:tc>
        <w:tc>
          <w:tcPr>
            <w:tcW w:w="868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FFFFF" w:fill="F9F9F9"/>
            <w:noWrap/>
            <w:vAlign w:val="center"/>
          </w:tcPr>
          <w:p w14:paraId="06072411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25%</w:t>
            </w:r>
          </w:p>
        </w:tc>
        <w:tc>
          <w:tcPr>
            <w:tcW w:w="1166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FFFFF" w:fill="F9F9F9"/>
            <w:noWrap/>
            <w:vAlign w:val="center"/>
          </w:tcPr>
          <w:p w14:paraId="36BEB602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37.5万</w:t>
            </w:r>
          </w:p>
        </w:tc>
        <w:tc>
          <w:tcPr>
            <w:tcW w:w="4995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FFFFF" w:fill="F9F9F9"/>
            <w:noWrap/>
            <w:vAlign w:val="center"/>
          </w:tcPr>
          <w:p w14:paraId="7C401890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多源数据接入完成 + SDTM Lite标准评审通过 + 蓝图交付</w:t>
            </w:r>
          </w:p>
        </w:tc>
      </w:tr>
      <w:tr w14:paraId="49E664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1225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9F9F9" w:fill="FFFFFF"/>
            <w:noWrap/>
            <w:vAlign w:val="center"/>
          </w:tcPr>
          <w:p w14:paraId="6697BDC9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第三期</w:t>
            </w:r>
          </w:p>
        </w:tc>
        <w:tc>
          <w:tcPr>
            <w:tcW w:w="1118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9F9F9" w:fill="FFFFFF"/>
            <w:noWrap/>
            <w:vAlign w:val="center"/>
          </w:tcPr>
          <w:p w14:paraId="0C80EA8E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2026.12</w:t>
            </w:r>
          </w:p>
        </w:tc>
        <w:tc>
          <w:tcPr>
            <w:tcW w:w="868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9F9F9" w:fill="FFFFFF"/>
            <w:noWrap/>
            <w:vAlign w:val="center"/>
          </w:tcPr>
          <w:p w14:paraId="2DEE8CA2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10%</w:t>
            </w:r>
          </w:p>
        </w:tc>
        <w:tc>
          <w:tcPr>
            <w:tcW w:w="1166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9F9F9" w:fill="FFFFFF"/>
            <w:noWrap/>
            <w:vAlign w:val="center"/>
          </w:tcPr>
          <w:p w14:paraId="439ED44D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15万</w:t>
            </w:r>
          </w:p>
        </w:tc>
        <w:tc>
          <w:tcPr>
            <w:tcW w:w="4995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9F9F9" w:fill="FFFFFF"/>
            <w:noWrap/>
            <w:vAlign w:val="center"/>
          </w:tcPr>
          <w:p w14:paraId="3E8821C3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四大分析模块UAT验收通过 + 系统正式上线</w:t>
            </w:r>
          </w:p>
        </w:tc>
      </w:tr>
      <w:tr w14:paraId="10A77A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1225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FFFFF" w:fill="F9F9F9"/>
            <w:noWrap/>
            <w:vAlign w:val="center"/>
          </w:tcPr>
          <w:p w14:paraId="676E65B9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第四期</w:t>
            </w:r>
          </w:p>
        </w:tc>
        <w:tc>
          <w:tcPr>
            <w:tcW w:w="1118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FFFFF" w:fill="F9F9F9"/>
            <w:noWrap/>
            <w:vAlign w:val="center"/>
          </w:tcPr>
          <w:p w14:paraId="34922F1A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2027.03</w:t>
            </w:r>
          </w:p>
        </w:tc>
        <w:tc>
          <w:tcPr>
            <w:tcW w:w="868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FFFFF" w:fill="F9F9F9"/>
            <w:noWrap/>
            <w:vAlign w:val="center"/>
          </w:tcPr>
          <w:p w14:paraId="206F480B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</w:t>
            </w:r>
            <w:r>
              <w:rPr>
                <w:rFonts w:hint="eastAsia"/>
                <w:sz w:val="18"/>
                <w:szCs w:val="18"/>
                <w:lang w:eastAsia="zh-CN"/>
              </w:rPr>
              <w:t>5%</w:t>
            </w:r>
          </w:p>
        </w:tc>
        <w:tc>
          <w:tcPr>
            <w:tcW w:w="1166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FFFFF" w:fill="F9F9F9"/>
            <w:noWrap/>
            <w:vAlign w:val="center"/>
          </w:tcPr>
          <w:p w14:paraId="170FEB7D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37.5万</w:t>
            </w:r>
          </w:p>
        </w:tc>
        <w:tc>
          <w:tcPr>
            <w:tcW w:w="4995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FFFFF" w:fill="F9F9F9"/>
            <w:noWrap/>
            <w:vAlign w:val="center"/>
          </w:tcPr>
          <w:p w14:paraId="1528DDBA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最终验收</w:t>
            </w:r>
          </w:p>
        </w:tc>
      </w:tr>
      <w:tr w14:paraId="5401F1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1225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FFFFF" w:fill="F9F9F9"/>
            <w:noWrap/>
            <w:vAlign w:val="center"/>
          </w:tcPr>
          <w:p w14:paraId="136D9D72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第五期</w:t>
            </w:r>
          </w:p>
        </w:tc>
        <w:tc>
          <w:tcPr>
            <w:tcW w:w="1118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FFFFF" w:fill="F9F9F9"/>
            <w:noWrap/>
            <w:vAlign w:val="center"/>
          </w:tcPr>
          <w:p w14:paraId="6F3DE212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2</w:t>
            </w:r>
            <w:r>
              <w:rPr>
                <w:sz w:val="18"/>
                <w:szCs w:val="18"/>
                <w:lang w:eastAsia="zh-CN"/>
              </w:rPr>
              <w:t>028.03</w:t>
            </w:r>
          </w:p>
        </w:tc>
        <w:tc>
          <w:tcPr>
            <w:tcW w:w="868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FFFFF" w:fill="F9F9F9"/>
            <w:noWrap/>
            <w:vAlign w:val="center"/>
          </w:tcPr>
          <w:p w14:paraId="3416CD91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1</w:t>
            </w:r>
            <w:r>
              <w:rPr>
                <w:sz w:val="18"/>
                <w:szCs w:val="18"/>
                <w:lang w:eastAsia="zh-CN"/>
              </w:rPr>
              <w:t>0%</w:t>
            </w:r>
          </w:p>
        </w:tc>
        <w:tc>
          <w:tcPr>
            <w:tcW w:w="1166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FFFFF" w:fill="F9F9F9"/>
            <w:noWrap/>
            <w:vAlign w:val="center"/>
          </w:tcPr>
          <w:p w14:paraId="69D9056C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1</w:t>
            </w:r>
            <w:r>
              <w:rPr>
                <w:sz w:val="18"/>
                <w:szCs w:val="18"/>
                <w:lang w:eastAsia="zh-CN"/>
              </w:rPr>
              <w:t>5</w:t>
            </w:r>
            <w:r>
              <w:rPr>
                <w:rFonts w:hint="eastAsia"/>
                <w:sz w:val="18"/>
                <w:szCs w:val="18"/>
                <w:lang w:eastAsia="zh-CN"/>
              </w:rPr>
              <w:t>万</w:t>
            </w:r>
          </w:p>
        </w:tc>
        <w:tc>
          <w:tcPr>
            <w:tcW w:w="4995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FFFFFF" w:fill="F9F9F9"/>
            <w:noWrap/>
            <w:vAlign w:val="center"/>
          </w:tcPr>
          <w:p w14:paraId="45B1E098">
            <w:pPr>
              <w:spacing w:after="60" w:line="300" w:lineRule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质保期满</w:t>
            </w:r>
          </w:p>
        </w:tc>
      </w:tr>
      <w:tr w14:paraId="3FBA92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7A37D1">
            <w:pPr>
              <w:spacing w:after="60" w:line="300" w:lineRule="auto"/>
              <w:ind w:firstLine="420"/>
              <w:rPr>
                <w:sz w:val="18"/>
                <w:szCs w:val="18"/>
                <w:lang w:eastAsia="zh-CN"/>
              </w:rPr>
            </w:pP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EFB230">
            <w:pPr>
              <w:spacing w:after="60" w:line="300" w:lineRule="auto"/>
              <w:ind w:firstLine="420"/>
              <w:rPr>
                <w:sz w:val="18"/>
                <w:szCs w:val="18"/>
                <w:lang w:eastAsia="zh-CN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CA8888">
            <w:pPr>
              <w:spacing w:after="60" w:line="300" w:lineRule="auto"/>
              <w:ind w:firstLine="420"/>
              <w:rPr>
                <w:sz w:val="18"/>
                <w:szCs w:val="18"/>
                <w:lang w:eastAsia="zh-CN"/>
              </w:rPr>
            </w:pP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CCCD67">
            <w:pPr>
              <w:spacing w:after="60" w:line="300" w:lineRule="auto"/>
              <w:ind w:firstLine="420"/>
              <w:rPr>
                <w:sz w:val="18"/>
                <w:szCs w:val="18"/>
                <w:lang w:eastAsia="zh-CN"/>
              </w:rPr>
            </w:pPr>
          </w:p>
        </w:tc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768C9A">
            <w:pPr>
              <w:spacing w:after="60" w:line="300" w:lineRule="auto"/>
              <w:ind w:firstLine="420"/>
              <w:rPr>
                <w:sz w:val="18"/>
                <w:szCs w:val="18"/>
                <w:lang w:eastAsia="zh-CN"/>
              </w:rPr>
            </w:pPr>
          </w:p>
        </w:tc>
      </w:tr>
      <w:tr w14:paraId="6E8780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9408" w:type="dxa"/>
            <w:gridSpan w:val="5"/>
            <w:tcBorders>
              <w:top w:val="single" w:color="333333" w:sz="8" w:space="0"/>
              <w:left w:val="nil"/>
              <w:bottom w:val="single" w:color="333333" w:sz="8" w:space="0"/>
              <w:right w:val="nil"/>
            </w:tcBorders>
            <w:shd w:val="clear" w:color="F9F9F9" w:fill="E8F5E9"/>
            <w:noWrap/>
            <w:vAlign w:val="center"/>
          </w:tcPr>
          <w:p w14:paraId="03B42DB8">
            <w:pPr>
              <w:spacing w:after="60" w:line="300" w:lineRule="auto"/>
              <w:ind w:firstLine="420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2026年合计：97.5万（65.0%）   满足≤65%约束。2027年37.5万为</w:t>
            </w:r>
            <w:r>
              <w:rPr>
                <w:rFonts w:hint="eastAsia"/>
                <w:sz w:val="18"/>
                <w:szCs w:val="18"/>
                <w:lang w:eastAsia="zh-CN"/>
              </w:rPr>
              <w:t>最终验收</w:t>
            </w:r>
            <w:r>
              <w:rPr>
                <w:sz w:val="18"/>
                <w:szCs w:val="18"/>
                <w:lang w:eastAsia="zh-CN"/>
              </w:rPr>
              <w:t>。</w:t>
            </w:r>
            <w:r>
              <w:rPr>
                <w:rFonts w:hint="eastAsia"/>
                <w:sz w:val="18"/>
                <w:szCs w:val="18"/>
                <w:lang w:eastAsia="zh-CN"/>
              </w:rPr>
              <w:t>2</w:t>
            </w:r>
            <w:r>
              <w:rPr>
                <w:sz w:val="18"/>
                <w:szCs w:val="18"/>
                <w:lang w:eastAsia="zh-CN"/>
              </w:rPr>
              <w:t>028</w:t>
            </w:r>
            <w:r>
              <w:rPr>
                <w:rFonts w:hint="eastAsia"/>
                <w:sz w:val="18"/>
                <w:szCs w:val="18"/>
                <w:lang w:eastAsia="zh-CN"/>
              </w:rPr>
              <w:t>年1</w:t>
            </w:r>
            <w:r>
              <w:rPr>
                <w:sz w:val="18"/>
                <w:szCs w:val="18"/>
                <w:lang w:eastAsia="zh-CN"/>
              </w:rPr>
              <w:t>5</w:t>
            </w:r>
            <w:r>
              <w:rPr>
                <w:rFonts w:hint="eastAsia"/>
                <w:sz w:val="18"/>
                <w:szCs w:val="18"/>
                <w:lang w:eastAsia="zh-CN"/>
              </w:rPr>
              <w:t>万为质保保证金</w:t>
            </w:r>
          </w:p>
        </w:tc>
      </w:tr>
    </w:tbl>
    <w:p w14:paraId="12BFD5DC">
      <w:pPr>
        <w:spacing w:after="60" w:line="300" w:lineRule="auto"/>
        <w:ind w:firstLine="420"/>
        <w:rPr>
          <w:lang w:eastAsia="zh-CN"/>
        </w:rPr>
      </w:pPr>
    </w:p>
    <w:p w14:paraId="0BBFD2BE">
      <w:pPr>
        <w:spacing w:after="60" w:line="300" w:lineRule="auto"/>
        <w:ind w:firstLine="420"/>
        <w:rPr>
          <w:lang w:eastAsia="zh-CN"/>
        </w:rPr>
      </w:pPr>
      <w:r>
        <w:rPr>
          <w:rFonts w:hint="eastAsia"/>
          <w:lang w:eastAsia="zh-CN"/>
        </w:rPr>
        <w:t>另外，阿里云云资源采购费用（约 45 万元），预计在 2026 年需要一次性支付；数仓上线后的后续整体运维费用（约 8 万元/年）另行列支。</w:t>
      </w:r>
      <w:r>
        <w:rPr>
          <w:rFonts w:hint="eastAsia"/>
          <w:lang w:val="en-US" w:eastAsia="zh-CN"/>
        </w:rPr>
      </w:r>
      <w:r>
        <w:rPr>
          <w:rFonts w:hint="eastAsia"/>
          <w:lang w:eastAsia="zh-CN"/>
        </w:rPr>
      </w:r>
    </w:p>
    <w:p w14:paraId="10C800DE">
      <w:pPr>
        <w:spacing w:after="60" w:line="300" w:lineRule="auto"/>
        <w:ind w:firstLine="420"/>
        <w:rPr>
          <w:lang w:eastAsia="zh-CN"/>
        </w:rPr>
      </w:pPr>
    </w:p>
    <w:sectPr>
      <w:pgSz w:w="12240" w:h="15840"/>
      <w:pgMar w:top="1361" w:right="1474" w:bottom="1361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5A7FB6"/>
    <w:multiLevelType w:val="singleLevel"/>
    <w:tmpl w:val="B85A7FB6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trackRevisions w:val="1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AA1"/>
    <w:rsid w:val="000307EA"/>
    <w:rsid w:val="00034616"/>
    <w:rsid w:val="00037B5C"/>
    <w:rsid w:val="0006063C"/>
    <w:rsid w:val="00086C92"/>
    <w:rsid w:val="000F044E"/>
    <w:rsid w:val="001034E4"/>
    <w:rsid w:val="0015074B"/>
    <w:rsid w:val="001B1975"/>
    <w:rsid w:val="001C0979"/>
    <w:rsid w:val="001C4289"/>
    <w:rsid w:val="001E3B30"/>
    <w:rsid w:val="0021408E"/>
    <w:rsid w:val="00267B42"/>
    <w:rsid w:val="0029639D"/>
    <w:rsid w:val="00316796"/>
    <w:rsid w:val="00326B04"/>
    <w:rsid w:val="00326F90"/>
    <w:rsid w:val="00354FCC"/>
    <w:rsid w:val="003A1B3A"/>
    <w:rsid w:val="00454FF8"/>
    <w:rsid w:val="004638D6"/>
    <w:rsid w:val="004666C0"/>
    <w:rsid w:val="0047383A"/>
    <w:rsid w:val="00477A4D"/>
    <w:rsid w:val="00481A87"/>
    <w:rsid w:val="004C1B8F"/>
    <w:rsid w:val="004D0558"/>
    <w:rsid w:val="004D7F59"/>
    <w:rsid w:val="00504BDF"/>
    <w:rsid w:val="005067D9"/>
    <w:rsid w:val="005852AB"/>
    <w:rsid w:val="005B0378"/>
    <w:rsid w:val="006156EE"/>
    <w:rsid w:val="0061576C"/>
    <w:rsid w:val="0062618F"/>
    <w:rsid w:val="00651CCA"/>
    <w:rsid w:val="00684743"/>
    <w:rsid w:val="0069174D"/>
    <w:rsid w:val="006A4943"/>
    <w:rsid w:val="006A6577"/>
    <w:rsid w:val="006B3F2E"/>
    <w:rsid w:val="006C4D97"/>
    <w:rsid w:val="006D2E05"/>
    <w:rsid w:val="006D3D17"/>
    <w:rsid w:val="006F0E2E"/>
    <w:rsid w:val="00730D3D"/>
    <w:rsid w:val="00736F77"/>
    <w:rsid w:val="007A7BE4"/>
    <w:rsid w:val="007F45F2"/>
    <w:rsid w:val="008E3C81"/>
    <w:rsid w:val="0091429F"/>
    <w:rsid w:val="00930F6C"/>
    <w:rsid w:val="00955436"/>
    <w:rsid w:val="00A22C64"/>
    <w:rsid w:val="00A27822"/>
    <w:rsid w:val="00AA1D8D"/>
    <w:rsid w:val="00AC3369"/>
    <w:rsid w:val="00AE4CD5"/>
    <w:rsid w:val="00B0356D"/>
    <w:rsid w:val="00B121E1"/>
    <w:rsid w:val="00B16962"/>
    <w:rsid w:val="00B329E9"/>
    <w:rsid w:val="00B47730"/>
    <w:rsid w:val="00C93673"/>
    <w:rsid w:val="00CB0664"/>
    <w:rsid w:val="00CE383A"/>
    <w:rsid w:val="00DC0889"/>
    <w:rsid w:val="00ED5DB2"/>
    <w:rsid w:val="00F610BF"/>
    <w:rsid w:val="00F74FA2"/>
    <w:rsid w:val="00FC693F"/>
    <w:rsid w:val="00FE7F3A"/>
    <w:rsid w:val="00FF44B8"/>
    <w:rsid w:val="02D923D4"/>
    <w:rsid w:val="033A0C2B"/>
    <w:rsid w:val="0A977F0A"/>
    <w:rsid w:val="0CA644C5"/>
    <w:rsid w:val="11AB78C4"/>
    <w:rsid w:val="23BC3F00"/>
    <w:rsid w:val="24454D52"/>
    <w:rsid w:val="25A822CA"/>
    <w:rsid w:val="275FB052"/>
    <w:rsid w:val="2FE640AD"/>
    <w:rsid w:val="34177016"/>
    <w:rsid w:val="348524E3"/>
    <w:rsid w:val="3DFE425A"/>
    <w:rsid w:val="3FFB2815"/>
    <w:rsid w:val="40F83147"/>
    <w:rsid w:val="44352E99"/>
    <w:rsid w:val="470E352E"/>
    <w:rsid w:val="472C25B8"/>
    <w:rsid w:val="51675DFA"/>
    <w:rsid w:val="52110875"/>
    <w:rsid w:val="55D10233"/>
    <w:rsid w:val="5BEB1153"/>
    <w:rsid w:val="5C54188A"/>
    <w:rsid w:val="5D5853A3"/>
    <w:rsid w:val="61795F44"/>
    <w:rsid w:val="6E7F7607"/>
    <w:rsid w:val="71C05399"/>
    <w:rsid w:val="77FFFC9F"/>
    <w:rsid w:val="7EFE6024"/>
    <w:rsid w:val="7FFE85E7"/>
    <w:rsid w:val="D7EF65B7"/>
    <w:rsid w:val="EFFD8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link w:val="168"/>
    <w:semiHidden/>
    <w:unhideWhenUsed/>
    <w:qFormat/>
    <w:uiPriority w:val="99"/>
  </w:style>
  <w:style w:type="paragraph" w:styleId="18">
    <w:name w:val="Body Text 3"/>
    <w:basedOn w:val="1"/>
    <w:link w:val="150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8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Balloon Text"/>
    <w:basedOn w:val="1"/>
    <w:link w:val="170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26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4">
    <w:name w:val="annotation subject"/>
    <w:basedOn w:val="17"/>
    <w:next w:val="17"/>
    <w:link w:val="169"/>
    <w:semiHidden/>
    <w:unhideWhenUsed/>
    <w:qFormat/>
    <w:uiPriority w:val="99"/>
    <w:rPr>
      <w:b/>
      <w:bCs/>
    </w:rPr>
  </w:style>
  <w:style w:type="table" w:styleId="36">
    <w:name w:val="Table Grid"/>
    <w:basedOn w:val="3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7">
    <w:name w:val="Light Shading"/>
    <w:basedOn w:val="35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styleId="138">
    <w:name w:val="annotation reference"/>
    <w:basedOn w:val="135"/>
    <w:semiHidden/>
    <w:unhideWhenUsed/>
    <w:qFormat/>
    <w:uiPriority w:val="99"/>
    <w:rPr>
      <w:sz w:val="21"/>
      <w:szCs w:val="21"/>
    </w:rPr>
  </w:style>
  <w:style w:type="character" w:customStyle="1" w:styleId="139">
    <w:name w:val="页眉 字符"/>
    <w:basedOn w:val="135"/>
    <w:link w:val="27"/>
    <w:qFormat/>
    <w:uiPriority w:val="99"/>
  </w:style>
  <w:style w:type="character" w:customStyle="1" w:styleId="140">
    <w:name w:val="页脚 字符"/>
    <w:basedOn w:val="135"/>
    <w:link w:val="26"/>
    <w:qFormat/>
    <w:uiPriority w:val="99"/>
  </w:style>
  <w:style w:type="paragraph" w:styleId="141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标题 1 字符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标题 2 字符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标题 3 字符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标题 字符"/>
    <w:basedOn w:val="135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副标题 字符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正文文本 字符"/>
    <w:basedOn w:val="135"/>
    <w:link w:val="20"/>
    <w:qFormat/>
    <w:uiPriority w:val="99"/>
  </w:style>
  <w:style w:type="character" w:customStyle="1" w:styleId="149">
    <w:name w:val="正文文本 2 字符"/>
    <w:basedOn w:val="135"/>
    <w:link w:val="30"/>
    <w:qFormat/>
    <w:uiPriority w:val="99"/>
  </w:style>
  <w:style w:type="character" w:customStyle="1" w:styleId="150">
    <w:name w:val="正文文本 3 字符"/>
    <w:basedOn w:val="135"/>
    <w:link w:val="18"/>
    <w:qFormat/>
    <w:uiPriority w:val="99"/>
    <w:rPr>
      <w:sz w:val="16"/>
      <w:szCs w:val="16"/>
    </w:rPr>
  </w:style>
  <w:style w:type="character" w:customStyle="1" w:styleId="151">
    <w:name w:val="宏文本 字符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引用 字符"/>
    <w:basedOn w:val="135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标题 4 字符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标题 5 字符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标题 6 字符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标题 7 字符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标题 8 字符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标题 9 字符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明显引用 字符"/>
    <w:basedOn w:val="135"/>
    <w:link w:val="1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不明显强调1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明显强调1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不明显参考1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明显参考1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书籍标题1"/>
    <w:basedOn w:val="135"/>
    <w:qFormat/>
    <w:uiPriority w:val="33"/>
    <w:rPr>
      <w:b/>
      <w:bCs/>
      <w:smallCaps/>
      <w:spacing w:val="5"/>
    </w:rPr>
  </w:style>
  <w:style w:type="paragraph" w:customStyle="1" w:styleId="167">
    <w:name w:val="TOC 标题1"/>
    <w:basedOn w:val="3"/>
    <w:next w:val="1"/>
    <w:semiHidden/>
    <w:unhideWhenUsed/>
    <w:qFormat/>
    <w:uiPriority w:val="39"/>
    <w:pPr>
      <w:outlineLvl w:val="9"/>
    </w:pPr>
  </w:style>
  <w:style w:type="character" w:customStyle="1" w:styleId="168">
    <w:name w:val="批注文字 字符"/>
    <w:basedOn w:val="135"/>
    <w:link w:val="17"/>
    <w:semiHidden/>
    <w:qFormat/>
    <w:uiPriority w:val="99"/>
    <w:rPr>
      <w:rFonts w:ascii="宋体" w:hAnsi="宋体" w:eastAsia="宋体"/>
      <w:sz w:val="21"/>
      <w:szCs w:val="22"/>
      <w:lang w:eastAsia="en-US"/>
    </w:rPr>
  </w:style>
  <w:style w:type="character" w:customStyle="1" w:styleId="169">
    <w:name w:val="批注主题 字符"/>
    <w:basedOn w:val="168"/>
    <w:link w:val="34"/>
    <w:semiHidden/>
    <w:qFormat/>
    <w:uiPriority w:val="99"/>
    <w:rPr>
      <w:rFonts w:ascii="宋体" w:hAnsi="宋体" w:eastAsia="宋体"/>
      <w:b/>
      <w:bCs/>
      <w:sz w:val="21"/>
      <w:szCs w:val="22"/>
      <w:lang w:eastAsia="en-US"/>
    </w:rPr>
  </w:style>
  <w:style w:type="character" w:customStyle="1" w:styleId="170">
    <w:name w:val="批注框文本 字符"/>
    <w:basedOn w:val="135"/>
    <w:link w:val="25"/>
    <w:semiHidden/>
    <w:qFormat/>
    <w:uiPriority w:val="99"/>
    <w:rPr>
      <w:rFonts w:ascii="宋体" w:hAnsi="宋体" w:cstheme="minorBidi"/>
      <w:sz w:val="18"/>
      <w:szCs w:val="18"/>
      <w:lang w:eastAsia="en-U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F2FC08-D087-4C96-9CBE-09F899EBB16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5865</Words>
  <Characters>6951</Characters>
  <Lines>84</Lines>
  <Paragraphs>23</Paragraphs>
  <TotalTime>30</TotalTime>
  <ScaleCrop>false</ScaleCrop>
  <LinksUpToDate>false</LinksUpToDate>
  <CharactersWithSpaces>7417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2026-06-18T09:05:00Z</dcterms:created>
  <dc:creator>python-docx</dc:creator>
  <dc:description>generated by python-docx</dc:description>
  <cp:lastModifiedBy>谢蒙生</cp:lastModifiedBy>
  <dcterms:modified xsi:type="dcterms:W3CDTF">2026-06-24T08:24:20Z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453F2C0BA0FD4238A2F481805C21BE89_13</vt:lpwstr>
  </property>
  <property fmtid="{D5CDD505-2E9C-101B-9397-08002B2CF9AE}" pid="4" name="KSOTemplateDocerSaveRecord">
    <vt:lpwstr>eyJoZGlkIjoiYWNhYWU5MGI4ZDE1YTU1ZTUyOThlMmJkZjRiODViODUiLCJ1c2VySWQiOiI0NTYyNTk1MDIifQ==</vt:lpwstr>
  </property>
</Properties>
</file>