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563880</wp:posOffset>
                </wp:positionH>
                <wp:positionV relativeFrom="page">
                  <wp:posOffset>669925</wp:posOffset>
                </wp:positionV>
                <wp:extent cx="642493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4.4pt,52.75pt" to="550.3pt,52.7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563880</wp:posOffset>
                </wp:positionH>
                <wp:positionV relativeFrom="page">
                  <wp:posOffset>847090</wp:posOffset>
                </wp:positionV>
                <wp:extent cx="642493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4.4pt,66.7pt" to="550.3pt,66.7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566420</wp:posOffset>
                </wp:positionH>
                <wp:positionV relativeFrom="page">
                  <wp:posOffset>667385</wp:posOffset>
                </wp:positionV>
                <wp:extent cx="0" cy="830516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3051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4.6pt,52.55pt" to="44.6pt,706.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563880</wp:posOffset>
                </wp:positionH>
                <wp:positionV relativeFrom="page">
                  <wp:posOffset>1737360</wp:posOffset>
                </wp:positionV>
                <wp:extent cx="642493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4.4pt,136.8pt" to="550.3pt,136.8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6985635</wp:posOffset>
                </wp:positionH>
                <wp:positionV relativeFrom="page">
                  <wp:posOffset>667385</wp:posOffset>
                </wp:positionV>
                <wp:extent cx="0" cy="830516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3051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0.05pt,52.55pt" to="550.05pt,706.5pt" o:allowincell="f" strokecolor="#000000" strokeweight="0.4799pt">
                <w10:wrap anchorx="page" anchory="page"/>
              </v:line>
            </w:pict>
          </mc:Fallback>
        </mc:AlternateContent>
        <w:t>Company name: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Brand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Fater Electronic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176530</wp:posOffset>
            </wp:positionV>
            <wp:extent cx="6424930" cy="18700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187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176530</wp:posOffset>
            </wp:positionV>
            <wp:extent cx="6424930" cy="18700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187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4"/>
          <w:szCs w:val="24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43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Product Specifications:   </w:t>
            </w:r>
            <w:r>
              <w:rPr>
                <w:rFonts w:ascii="Calibri" w:cs="Calibri" w:eastAsia="Calibri" w:hAnsi="Calibri"/>
                <w:sz w:val="48"/>
                <w:szCs w:val="48"/>
                <w:b w:val="1"/>
                <w:bCs w:val="1"/>
                <w:color w:val="auto"/>
              </w:rPr>
              <w:t>B629 TC</w:t>
            </w:r>
          </w:p>
        </w:tc>
        <w:tc>
          <w:tcPr>
            <w:tcW w:w="170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Product photo: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4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4" w:lineRule="exact"/>
        <w:rPr>
          <w:sz w:val="24"/>
          <w:szCs w:val="24"/>
          <w:color w:val="auto"/>
        </w:rPr>
      </w:pPr>
    </w:p>
    <w:p>
      <w:pPr>
        <w:jc w:val="center"/>
        <w:ind w:right="54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55 liter incubator</w:t>
      </w:r>
    </w:p>
    <w:p>
      <w:pPr>
        <w:jc w:val="center"/>
        <w:ind w:right="54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10 STEP programmable setting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180" w:right="5600" w:firstLine="304"/>
        <w:spacing w:after="0" w:line="226" w:lineRule="auto"/>
        <w:tabs>
          <w:tab w:leader="none" w:pos="751" w:val="left"/>
        </w:tabs>
        <w:numPr>
          <w:ilvl w:val="0"/>
          <w:numId w:val="1"/>
        </w:numP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</w:pP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single step include data logger (available sizes from 55L up to 2000L)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production capacity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288925</wp:posOffset>
                </wp:positionV>
                <wp:extent cx="642493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22.75pt" to="506.3pt,22.7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offer price in China ($):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US$ 880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287655</wp:posOffset>
                </wp:positionV>
                <wp:extent cx="642493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22.65pt" to="506.3pt,22.6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20" w:type="dxa"/>
            <w:vAlign w:val="bottom"/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Maximum order/Minimum delivery time (EX: one ton/one month or 1000/year or ….):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48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200 pcs  /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45 days</w:t>
            </w: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3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80" w:type="dxa"/>
            <w:vAlign w:val="bottom"/>
            <w:gridSpan w:val="3"/>
          </w:tcPr>
          <w:p>
            <w:pPr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MSDS OR Technical data sheet: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20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50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Technical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50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MODEL: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40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MODEL: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MODEL: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ind w:left="44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MODEL: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3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Specifications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B629 TC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B630 TC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B631 TC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B632TC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9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Test Volume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Liters</w:t>
            </w: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4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Interior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mm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330×420×400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460×330×400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330×700×500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400×800×600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Dimension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4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Exterior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mm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450×560×500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450×600×500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450×800×600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500×900×700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Dimension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8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Shelf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Pcs</w:t>
            </w: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8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Touch Display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``5.7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Color LCD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Color LCD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Color LCD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Color LCD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4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Temperature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1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ambient up to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ambient up to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ambient up to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ambient up to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Range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+60  C ± 0.1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+60  C ± 0.1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+60  C ± 0.1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+60  C ± 0.1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8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power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</w:t>
            </w: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600</w:t>
            </w: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1000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4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Electrical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V/Hz</w:t>
            </w:r>
          </w:p>
        </w:tc>
        <w:tc>
          <w:tcPr>
            <w:tcW w:w="1260" w:type="dxa"/>
            <w:vAlign w:val="bottom"/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50/220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50/220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50/220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50/220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6"/>
        </w:trPr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Connection</w:t>
            </w: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0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contact person: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 Arghavan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40" w:type="dxa"/>
            <w:vAlign w:val="bottom"/>
            <w:gridSpan w:val="3"/>
          </w:tcPr>
          <w:p>
            <w:pPr>
              <w:ind w:left="1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Company contact: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4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Website: www.fater.ir (www.fater-electronic.com)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+98- 9121272405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8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  <w:gridSpan w:val="3"/>
          </w:tcPr>
          <w:p>
            <w:pPr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</w:t>
            </w: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: Tehran-Iran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8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+98 -21 88552340-42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0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ind w:left="10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Fax:</w:t>
            </w:r>
          </w:p>
        </w:tc>
        <w:tc>
          <w:tcPr>
            <w:tcW w:w="3200" w:type="dxa"/>
            <w:vAlign w:val="bottom"/>
            <w:gridSpan w:val="2"/>
          </w:tcPr>
          <w:p>
            <w:pPr>
              <w:ind w:left="18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+98 – 21 88552305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77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ind w:left="100"/>
              <w:spacing w:after="0" w:line="27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Address: No.14, 18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St., Vozara Ave., Tehran-Iran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5646420</wp:posOffset>
            </wp:positionH>
            <wp:positionV relativeFrom="paragraph">
              <wp:posOffset>-1739900</wp:posOffset>
            </wp:positionV>
            <wp:extent cx="88265" cy="1689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5646420</wp:posOffset>
            </wp:positionH>
            <wp:positionV relativeFrom="paragraph">
              <wp:posOffset>-1739900</wp:posOffset>
            </wp:positionV>
            <wp:extent cx="88265" cy="1689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4599940</wp:posOffset>
            </wp:positionH>
            <wp:positionV relativeFrom="paragraph">
              <wp:posOffset>-1739900</wp:posOffset>
            </wp:positionV>
            <wp:extent cx="88265" cy="1689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4599940</wp:posOffset>
            </wp:positionH>
            <wp:positionV relativeFrom="paragraph">
              <wp:posOffset>-1739900</wp:posOffset>
            </wp:positionV>
            <wp:extent cx="88265" cy="1689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3554095</wp:posOffset>
            </wp:positionH>
            <wp:positionV relativeFrom="paragraph">
              <wp:posOffset>-1739900</wp:posOffset>
            </wp:positionV>
            <wp:extent cx="88265" cy="1689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3554095</wp:posOffset>
            </wp:positionH>
            <wp:positionV relativeFrom="paragraph">
              <wp:posOffset>-1739900</wp:posOffset>
            </wp:positionV>
            <wp:extent cx="88265" cy="1689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2508250</wp:posOffset>
            </wp:positionH>
            <wp:positionV relativeFrom="paragraph">
              <wp:posOffset>-1739900</wp:posOffset>
            </wp:positionV>
            <wp:extent cx="88265" cy="1689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2508250</wp:posOffset>
            </wp:positionH>
            <wp:positionV relativeFrom="paragraph">
              <wp:posOffset>-1739900</wp:posOffset>
            </wp:positionV>
            <wp:extent cx="88265" cy="1689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1184910</wp:posOffset>
            </wp:positionH>
            <wp:positionV relativeFrom="paragraph">
              <wp:posOffset>-1907540</wp:posOffset>
            </wp:positionV>
            <wp:extent cx="88265" cy="1663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6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1184910</wp:posOffset>
            </wp:positionH>
            <wp:positionV relativeFrom="paragraph">
              <wp:posOffset>-1907540</wp:posOffset>
            </wp:positionV>
            <wp:extent cx="88265" cy="1663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16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120"/>
          </w:cols>
          <w:pgMar w:left="880" w:top="1055" w:right="906" w:bottom="1440" w:gutter="0" w:footer="0" w:header="0"/>
        </w:sectPr>
      </w:pPr>
    </w:p>
    <w:bookmarkStart w:id="1" w:name="page2"/>
    <w:bookmarkEnd w:id="1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236220</wp:posOffset>
                </wp:positionH>
                <wp:positionV relativeFrom="page">
                  <wp:posOffset>417195</wp:posOffset>
                </wp:positionV>
                <wp:extent cx="707898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8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8.6pt,32.85pt" to="576pt,32.85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236220</wp:posOffset>
                </wp:positionH>
                <wp:positionV relativeFrom="page">
                  <wp:posOffset>593725</wp:posOffset>
                </wp:positionV>
                <wp:extent cx="7078980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8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8.6pt,46.75pt" to="576pt,46.7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238760</wp:posOffset>
                </wp:positionH>
                <wp:positionV relativeFrom="page">
                  <wp:posOffset>414020</wp:posOffset>
                </wp:positionV>
                <wp:extent cx="0" cy="989203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892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8.8pt,32.6pt" to="18.8pt,811.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7312025</wp:posOffset>
                </wp:positionH>
                <wp:positionV relativeFrom="page">
                  <wp:posOffset>414020</wp:posOffset>
                </wp:positionV>
                <wp:extent cx="0" cy="989203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892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5.75pt,32.6pt" to="575.75pt,811.5pt" o:allowincell="f" strokecolor="#000000" strokeweight="0.4799pt">
                <w10:wrap anchorx="page" anchory="page"/>
              </v:line>
            </w:pict>
          </mc:Fallback>
        </mc:AlternateContent>
        <w:t>Company name:</w:t>
      </w:r>
    </w:p>
    <w:p>
      <w:pPr>
        <w:spacing w:after="0" w:line="1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20" w:type="dxa"/>
            <w:vAlign w:val="bottom"/>
            <w:gridSpan w:val="2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Brand</w:t>
            </w:r>
          </w:p>
        </w:tc>
      </w:tr>
      <w:tr>
        <w:trPr>
          <w:trHeight w:val="854"/>
        </w:trPr>
        <w:tc>
          <w:tcPr>
            <w:tcW w:w="4520" w:type="dxa"/>
            <w:vAlign w:val="bottom"/>
          </w:tcPr>
          <w:p>
            <w:pPr>
              <w:jc w:val="center"/>
              <w:ind w:right="10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8"/>
                <w:szCs w:val="48"/>
                <w:b w:val="1"/>
                <w:bCs w:val="1"/>
                <w:color w:val="auto"/>
              </w:rPr>
              <w:t>Fater Electronic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8"/>
        </w:trPr>
        <w:tc>
          <w:tcPr>
            <w:tcW w:w="4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0"/>
        </w:trPr>
        <w:tc>
          <w:tcPr>
            <w:tcW w:w="4520" w:type="dxa"/>
            <w:vAlign w:val="bottom"/>
          </w:tcPr>
          <w:p>
            <w:pPr>
              <w:jc w:val="right"/>
              <w:ind w:right="2227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Specifications: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360" w:type="dxa"/>
            <w:vAlign w:val="bottom"/>
          </w:tcPr>
          <w:p>
            <w:pPr>
              <w:ind w:left="100"/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photo:</w:t>
            </w:r>
          </w:p>
        </w:tc>
      </w:tr>
      <w:tr>
        <w:trPr>
          <w:trHeight w:val="584"/>
        </w:trPr>
        <w:tc>
          <w:tcPr>
            <w:tcW w:w="4520" w:type="dxa"/>
            <w:vAlign w:val="bottom"/>
          </w:tcPr>
          <w:p>
            <w:pPr>
              <w:jc w:val="right"/>
              <w:ind w:right="287"/>
              <w:spacing w:after="0" w:line="584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8"/>
                <w:szCs w:val="48"/>
                <w:b w:val="1"/>
                <w:bCs w:val="1"/>
                <w:color w:val="auto"/>
              </w:rPr>
              <w:t>620G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41"/>
        </w:trPr>
        <w:tc>
          <w:tcPr>
            <w:tcW w:w="4520" w:type="dxa"/>
            <w:vAlign w:val="bottom"/>
          </w:tcPr>
          <w:p>
            <w:pPr>
              <w:jc w:val="center"/>
              <w:ind w:right="10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55"/>
        </w:trPr>
        <w:tc>
          <w:tcPr>
            <w:tcW w:w="4520" w:type="dxa"/>
            <w:vAlign w:val="bottom"/>
          </w:tcPr>
          <w:p>
            <w:pPr>
              <w:jc w:val="right"/>
              <w:ind w:right="35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.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1"/>
        </w:trPr>
        <w:tc>
          <w:tcPr>
            <w:tcW w:w="4520" w:type="dxa"/>
            <w:vAlign w:val="bottom"/>
          </w:tcPr>
          <w:p>
            <w:pPr>
              <w:jc w:val="right"/>
              <w:ind w:right="24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.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14"/>
        </w:trPr>
        <w:tc>
          <w:tcPr>
            <w:tcW w:w="4520" w:type="dxa"/>
            <w:vAlign w:val="bottom"/>
          </w:tcPr>
          <w:p>
            <w:pPr>
              <w:jc w:val="center"/>
              <w:ind w:right="10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:</w:t>
            </w:r>
          </w:p>
        </w:tc>
        <w:tc>
          <w:tcPr>
            <w:tcW w:w="5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779"/>
        </w:trPr>
        <w:tc>
          <w:tcPr>
            <w:tcW w:w="4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66675</wp:posOffset>
            </wp:positionH>
            <wp:positionV relativeFrom="paragraph">
              <wp:posOffset>-3335020</wp:posOffset>
            </wp:positionV>
            <wp:extent cx="6938645" cy="31115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645" cy="311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66675</wp:posOffset>
            </wp:positionH>
            <wp:positionV relativeFrom="paragraph">
              <wp:posOffset>-3335020</wp:posOffset>
            </wp:positionV>
            <wp:extent cx="6938645" cy="31115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645" cy="311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production capacity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5715</wp:posOffset>
                </wp:positionV>
                <wp:extent cx="7078345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8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0.45pt" to="557pt,0.45pt" o:allowincell="f" strokecolor="#000000" strokeweight="0.48pt"/>
            </w:pict>
          </mc:Fallback>
        </mc:AlternateConten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offer price in China ($):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US$ 3,450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6985</wp:posOffset>
                </wp:positionV>
                <wp:extent cx="7078345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8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0.55pt" to="557pt,0.55pt" o:allowincell="f" strokecolor="#000000" strokeweight="0.48pt"/>
            </w:pict>
          </mc:Fallback>
        </mc:AlternateContent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Maximum order/Minimum delivery time (EX: one ton/one month or 1000/year or ….):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1060" w:val="left"/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20 pcs</w:t>
        <w:tab/>
        <w:t>/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45 days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5715</wp:posOffset>
                </wp:positionV>
                <wp:extent cx="7078345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8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0.45pt" to="557pt,0.45pt" o:allowincell="f" strokecolor="#000000" strokeweight="0.4799pt"/>
            </w:pict>
          </mc:Fallback>
        </mc:AlternateContent>
      </w:r>
    </w:p>
    <w:p>
      <w:pPr>
        <w:spacing w:after="0" w:line="22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09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ind w:right="2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:</w:t>
            </w:r>
          </w:p>
        </w:tc>
        <w:tc>
          <w:tcPr>
            <w:tcW w:w="22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1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46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: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8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jc w:val="right"/>
              <w:ind w:right="13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.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164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0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jc w:val="right"/>
              <w:ind w:right="284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: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361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: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37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jc w:val="right"/>
              <w:ind w:right="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. %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%  . .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1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</w:t>
            </w:r>
          </w:p>
        </w:tc>
        <w:tc>
          <w:tcPr>
            <w:tcW w:w="2280" w:type="dxa"/>
            <w:vAlign w:val="bottom"/>
          </w:tcPr>
          <w:p>
            <w:pPr>
              <w:jc w:val="right"/>
              <w:ind w:right="17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 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18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: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1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1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jc w:val="right"/>
              <w:ind w:right="3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.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2"/>
        </w:trPr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contact person:</w:t>
            </w:r>
          </w:p>
        </w:tc>
        <w:tc>
          <w:tcPr>
            <w:tcW w:w="2280" w:type="dxa"/>
            <w:vAlign w:val="bottom"/>
          </w:tcPr>
          <w:p>
            <w:pPr>
              <w:jc w:val="right"/>
              <w:ind w:right="983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 Arghavan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260" w:type="dxa"/>
            <w:vAlign w:val="bottom"/>
          </w:tcPr>
          <w:p>
            <w:pPr>
              <w:ind w:left="10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Company contact: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Website: www.fater.ir (www.fater-electronic.com)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+98- 9121272405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Email: head@fater.ir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8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  <w:gridSpan w:val="2"/>
          </w:tcPr>
          <w:p>
            <w:pPr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</w:t>
            </w: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: Tehran-Iran</w:t>
            </w: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Tell: +98 -21 88552340-42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0"/>
        </w:trPr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60" w:type="dxa"/>
            <w:vAlign w:val="bottom"/>
          </w:tcPr>
          <w:p>
            <w:pPr>
              <w:ind w:left="100"/>
              <w:spacing w:after="0" w:line="22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Fax:  +98 – 21 88552305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77"/>
        </w:trPr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27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Address: No.14, 18</w:t>
            </w:r>
            <w:r>
              <w:rPr>
                <w:rFonts w:ascii="Calibri" w:cs="Calibri" w:eastAsia="Calibri" w:hAnsi="Calibri"/>
                <w:sz w:val="27"/>
                <w:szCs w:val="27"/>
                <w:color w:val="auto"/>
                <w:vertAlign w:val="superscript"/>
              </w:rPr>
              <w:t>th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St., Vozara Ave., Tehran-Iran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3602990</wp:posOffset>
            </wp:positionH>
            <wp:positionV relativeFrom="paragraph">
              <wp:posOffset>-3928745</wp:posOffset>
            </wp:positionV>
            <wp:extent cx="675005" cy="1720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3602990</wp:posOffset>
            </wp:positionH>
            <wp:positionV relativeFrom="paragraph">
              <wp:posOffset>-3928745</wp:posOffset>
            </wp:positionV>
            <wp:extent cx="675005" cy="17208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3602990</wp:posOffset>
            </wp:positionH>
            <wp:positionV relativeFrom="paragraph">
              <wp:posOffset>-3705860</wp:posOffset>
            </wp:positionV>
            <wp:extent cx="3211830" cy="1492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3602990</wp:posOffset>
            </wp:positionH>
            <wp:positionV relativeFrom="paragraph">
              <wp:posOffset>-3705860</wp:posOffset>
            </wp:positionV>
            <wp:extent cx="3211830" cy="1492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138430</wp:posOffset>
            </wp:positionH>
            <wp:positionV relativeFrom="paragraph">
              <wp:posOffset>-3928745</wp:posOffset>
            </wp:positionV>
            <wp:extent cx="5554980" cy="13214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2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138430</wp:posOffset>
            </wp:positionH>
            <wp:positionV relativeFrom="paragraph">
              <wp:posOffset>-3928745</wp:posOffset>
            </wp:positionV>
            <wp:extent cx="5554980" cy="13214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2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3602990</wp:posOffset>
            </wp:positionH>
            <wp:positionV relativeFrom="paragraph">
              <wp:posOffset>-2407920</wp:posOffset>
            </wp:positionV>
            <wp:extent cx="1027430" cy="17399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3602990</wp:posOffset>
            </wp:positionH>
            <wp:positionV relativeFrom="paragraph">
              <wp:posOffset>-2407920</wp:posOffset>
            </wp:positionV>
            <wp:extent cx="1027430" cy="17399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7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138430</wp:posOffset>
            </wp:positionH>
            <wp:positionV relativeFrom="paragraph">
              <wp:posOffset>-2407920</wp:posOffset>
            </wp:positionV>
            <wp:extent cx="6543040" cy="114173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138430</wp:posOffset>
            </wp:positionH>
            <wp:positionV relativeFrom="paragraph">
              <wp:posOffset>-2407920</wp:posOffset>
            </wp:positionV>
            <wp:extent cx="6543040" cy="114173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1140"/>
          </w:cols>
          <w:pgMar w:left="380" w:top="654" w:right="386" w:bottom="43" w:gutter="0" w:footer="0" w:header="0"/>
        </w:sectPr>
      </w:pPr>
    </w:p>
    <w:bookmarkStart w:id="2" w:name="page3"/>
    <w:bookmarkEnd w:id="2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911860</wp:posOffset>
            </wp:positionH>
            <wp:positionV relativeFrom="page">
              <wp:posOffset>161290</wp:posOffset>
            </wp:positionV>
            <wp:extent cx="5944870" cy="908431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908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Company name: Qeshmvoltage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Brand: </w:t>
      </w: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Qeshmvoltage</w:t>
      </w:r>
    </w:p>
    <w:p>
      <w:pPr>
        <w:spacing w:after="0" w:line="4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4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Specifications:</w:t>
            </w:r>
          </w:p>
        </w:tc>
        <w:tc>
          <w:tcPr>
            <w:tcW w:w="38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7"/>
              </w:rPr>
              <w:t>Product photo:</w:t>
            </w:r>
          </w:p>
        </w:tc>
      </w:tr>
    </w:tbl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820" w:hanging="352"/>
        <w:spacing w:after="0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Simple coding</w:t>
      </w:r>
    </w:p>
    <w:p>
      <w:pPr>
        <w:spacing w:after="0" w:line="26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right="2480" w:hanging="352"/>
        <w:spacing w:after="0" w:line="262" w:lineRule="auto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The ability of cooperation with other QVR-KIN-DX51 robots automatically &amp; real time in different ways (more than 5 robots)</w:t>
      </w:r>
    </w:p>
    <w:p>
      <w:pPr>
        <w:spacing w:after="0" w:line="364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hanging="352"/>
        <w:spacing w:after="0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Doing the same thing the same time</w:t>
      </w:r>
    </w:p>
    <w:p>
      <w:pPr>
        <w:spacing w:after="0" w:line="23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right="2560" w:hanging="352"/>
        <w:spacing w:after="0" w:line="256" w:lineRule="auto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Manipulating one robot &amp; the other one or ones would follow the path real time &amp; Simultaneously</w:t>
      </w:r>
    </w:p>
    <w:p>
      <w:pPr>
        <w:spacing w:after="0" w:line="1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hanging="352"/>
        <w:spacing w:after="0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Using MATLAB &amp; LABVIEW</w:t>
      </w:r>
    </w:p>
    <w:p>
      <w:pPr>
        <w:spacing w:after="0" w:line="23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right="3080" w:hanging="352"/>
        <w:spacing w:after="0" w:line="255" w:lineRule="auto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The ability of observing the robot or robots &amp; the computer simulation Simultaneously</w:t>
      </w:r>
    </w:p>
    <w:p>
      <w:pPr>
        <w:spacing w:after="0" w:line="3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right="2780" w:hanging="352"/>
        <w:spacing w:after="0" w:line="255" w:lineRule="auto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Wireless connection with computer &amp; other robots</w:t>
      </w:r>
    </w:p>
    <w:p>
      <w:pPr>
        <w:spacing w:after="0" w:line="2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hanging="352"/>
        <w:spacing w:after="0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Using virtual reality</w:t>
      </w:r>
    </w:p>
    <w:p>
      <w:pPr>
        <w:spacing w:after="0" w:line="25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hanging="352"/>
        <w:spacing w:after="0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5 degrees of freedom</w:t>
      </w:r>
    </w:p>
    <w:p>
      <w:pPr>
        <w:spacing w:after="0" w:line="23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right="2460" w:hanging="352"/>
        <w:spacing w:after="0" w:line="262" w:lineRule="auto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The ability to change the way the joints move just with a simple setting change in computer (full explanation in manual)</w:t>
      </w:r>
    </w:p>
    <w:p>
      <w:pPr>
        <w:spacing w:after="0" w:line="364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hanging="352"/>
        <w:spacing w:after="0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J0 rotation space is almost 270 degrees</w:t>
      </w:r>
    </w:p>
    <w:p>
      <w:pPr>
        <w:spacing w:after="0" w:line="25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hanging="352"/>
        <w:spacing w:after="0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Work space is between 60 to 80 CM</w:t>
      </w:r>
    </w:p>
    <w:p>
      <w:pPr>
        <w:spacing w:after="0" w:line="23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hanging="352"/>
        <w:spacing w:after="0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Using ARM processor</w:t>
      </w:r>
    </w:p>
    <w:p>
      <w:pPr>
        <w:spacing w:after="0" w:line="25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hanging="352"/>
        <w:spacing w:after="0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Having torque feedback in motors</w:t>
      </w:r>
    </w:p>
    <w:p>
      <w:pPr>
        <w:spacing w:after="0" w:line="23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right="2480" w:hanging="352"/>
        <w:spacing w:after="0" w:line="256" w:lineRule="auto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Using COSMOS software to analyze the robot &amp; its components dynamically &amp; statically</w:t>
      </w:r>
    </w:p>
    <w:p>
      <w:pPr>
        <w:spacing w:after="0" w:line="1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right="2720" w:hanging="352"/>
        <w:spacing w:after="0" w:line="255" w:lineRule="auto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Small dimensions can make the robot work a lot easier wherever the customer wants</w:t>
      </w:r>
    </w:p>
    <w:p>
      <w:pPr>
        <w:spacing w:after="0" w:line="3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hanging="352"/>
        <w:spacing w:after="0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Strong aluminum structure</w:t>
      </w:r>
    </w:p>
    <w:p>
      <w:pPr>
        <w:spacing w:after="0" w:line="25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right="2860" w:hanging="352"/>
        <w:spacing w:after="0" w:line="266" w:lineRule="auto"/>
        <w:tabs>
          <w:tab w:leader="none" w:pos="820" w:val="left"/>
        </w:tabs>
        <w:numPr>
          <w:ilvl w:val="0"/>
          <w:numId w:val="2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A handmade board which could be used for other purposes such as</w:t>
      </w:r>
    </w:p>
    <w:p>
      <w:pPr>
        <w:sectPr>
          <w:pgSz w:w="12240" w:h="15840" w:orient="portrait"/>
          <w:cols w:equalWidth="0" w:num="1">
            <w:col w:w="9360"/>
          </w:cols>
          <w:pgMar w:left="1440" w:top="255" w:right="1440" w:bottom="690" w:gutter="0" w:footer="0" w:header="0"/>
        </w:sectPr>
      </w:pPr>
    </w:p>
    <w:bookmarkStart w:id="3" w:name="page4"/>
    <w:bookmarkEnd w:id="3"/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911860</wp:posOffset>
            </wp:positionH>
            <wp:positionV relativeFrom="page">
              <wp:posOffset>13970</wp:posOffset>
            </wp:positionV>
            <wp:extent cx="5944870" cy="836485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836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research, etc.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820" w:right="3080" w:hanging="352"/>
        <w:spacing w:after="0" w:line="255" w:lineRule="auto"/>
        <w:tabs>
          <w:tab w:leader="none" w:pos="820" w:val="left"/>
        </w:tabs>
        <w:numPr>
          <w:ilvl w:val="0"/>
          <w:numId w:val="3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Usable in electronic, mechatronics, robotics, etc. labs</w:t>
      </w:r>
    </w:p>
    <w:p>
      <w:pPr>
        <w:spacing w:after="0" w:line="2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right="2520" w:hanging="352"/>
        <w:spacing w:after="0" w:line="255" w:lineRule="auto"/>
        <w:tabs>
          <w:tab w:leader="none" w:pos="820" w:val="left"/>
        </w:tabs>
        <w:numPr>
          <w:ilvl w:val="0"/>
          <w:numId w:val="3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The ability of analyzing motor torques &amp; other mechanical parameters using the software so that it could be used in dynamic &amp; control labs</w:t>
      </w:r>
    </w:p>
    <w:p>
      <w:pPr>
        <w:spacing w:after="0" w:line="6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right="3080" w:hanging="352"/>
        <w:spacing w:after="0" w:line="255" w:lineRule="auto"/>
        <w:tabs>
          <w:tab w:leader="none" w:pos="820" w:val="left"/>
        </w:tabs>
        <w:numPr>
          <w:ilvl w:val="0"/>
          <w:numId w:val="3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The ability of observing the robot or robots &amp; the computer simulation Simultaneously</w:t>
      </w:r>
    </w:p>
    <w:p>
      <w:pPr>
        <w:spacing w:after="0" w:line="3" w:lineRule="exact"/>
        <w:rPr>
          <w:rFonts w:ascii="Wingdings" w:cs="Wingdings" w:eastAsia="Wingdings" w:hAnsi="Wingdings"/>
          <w:sz w:val="32"/>
          <w:szCs w:val="32"/>
          <w:color w:val="auto"/>
        </w:rPr>
      </w:pPr>
    </w:p>
    <w:p>
      <w:pPr>
        <w:ind w:left="820" w:right="2920" w:hanging="352"/>
        <w:spacing w:after="0" w:line="256" w:lineRule="auto"/>
        <w:tabs>
          <w:tab w:leader="none" w:pos="820" w:val="left"/>
        </w:tabs>
        <w:numPr>
          <w:ilvl w:val="0"/>
          <w:numId w:val="3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Servo motors are used in this robot &amp; they are DYNAMIXEL.</w:t>
      </w:r>
    </w:p>
    <w:p>
      <w:pPr>
        <w:ind w:left="820" w:hanging="352"/>
        <w:spacing w:after="0"/>
        <w:tabs>
          <w:tab w:leader="none" w:pos="820" w:val="left"/>
        </w:tabs>
        <w:numPr>
          <w:ilvl w:val="0"/>
          <w:numId w:val="3"/>
        </w:numPr>
        <w:rPr>
          <w:rFonts w:ascii="Wingdings" w:cs="Wingdings" w:eastAsia="Wingdings" w:hAnsi="Wingdings"/>
          <w:sz w:val="32"/>
          <w:szCs w:val="32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Some of other options are as follows: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0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top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</w:rPr>
              <w:t>Type</w:t>
            </w:r>
          </w:p>
        </w:tc>
        <w:tc>
          <w:tcPr>
            <w:tcW w:w="1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  <w:shd w:val="clear" w:color="auto" w:fill="B2A1C7"/>
              </w:rPr>
              <w:t>Weig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top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</w:rPr>
              <w:t>Power</w:t>
            </w:r>
          </w:p>
        </w:tc>
        <w:tc>
          <w:tcPr>
            <w:tcW w:w="1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top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  <w:w w:val="98"/>
                <w:shd w:val="clear" w:color="auto" w:fill="B2A1C7"/>
              </w:rPr>
              <w:t>Position</w:t>
            </w:r>
          </w:p>
        </w:tc>
        <w:tc>
          <w:tcPr>
            <w:tcW w:w="1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  <w:w w:val="99"/>
                <w:shd w:val="clear" w:color="auto" w:fill="B2A1C7"/>
              </w:rPr>
              <w:t>IP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6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shd w:val="clear" w:color="auto" w:fill="B2A1C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</w:rPr>
              <w:t>ht</w:t>
            </w:r>
          </w:p>
        </w:tc>
        <w:tc>
          <w:tcPr>
            <w:tcW w:w="8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shd w:val="clear" w:color="auto" w:fill="B2A1C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</w:rPr>
              <w:t>Supply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shd w:val="clear" w:color="auto" w:fill="B2A1C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</w:rPr>
              <w:t>Repeat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B2A1C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  <w:w w:val="88"/>
                <w:shd w:val="clear" w:color="auto" w:fill="B2A1C7"/>
              </w:rPr>
              <w:t>Pr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4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shd w:val="clear" w:color="auto" w:fill="B2A1C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  <w:w w:val="98"/>
                <w:shd w:val="clear" w:color="auto" w:fill="B2A1C7"/>
              </w:rPr>
              <w:t>Accurac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B2A1C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  <w:w w:val="76"/>
                <w:shd w:val="clear" w:color="auto" w:fill="B2A1C7"/>
              </w:rPr>
              <w:t>on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8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</w:rPr>
              <w:t>y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shd w:val="clear" w:color="auto" w:fill="B2A1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8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</w:rPr>
              <w:t>QVR-KIN-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</w:rPr>
              <w:t>4 Kg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</w:rPr>
              <w:t>220 VAC or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</w:rPr>
              <w:t>1 mm</w:t>
            </w:r>
          </w:p>
        </w:tc>
        <w:tc>
          <w:tcPr>
            <w:tcW w:w="42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  <w:w w:val="84"/>
              </w:rPr>
              <w:t>54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6"/>
        </w:trPr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</w:rPr>
              <w:t>DX51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</w:rPr>
              <w:t>12 VDC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89"/>
        </w:trPr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color w:val="auto"/>
              </w:rPr>
              <w:t>2.5 A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39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production capacity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100 Devices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per year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offer price in China($):</w:t>
      </w: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Total Price FCA BANDAR ABBAS: 4,431$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Remark: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1280" w:hanging="365"/>
        <w:spacing w:after="0"/>
        <w:tabs>
          <w:tab w:leader="none" w:pos="128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The above price includes the Robot body &amp; control System.</w:t>
      </w:r>
    </w:p>
    <w:p>
      <w:pPr>
        <w:spacing w:after="0" w:line="1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280" w:hanging="365"/>
        <w:spacing w:after="0"/>
        <w:tabs>
          <w:tab w:leader="none" w:pos="128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This listed price is without the service and commissioning charge.</w:t>
      </w:r>
    </w:p>
    <w:p>
      <w:pPr>
        <w:spacing w:after="0" w:line="1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280" w:right="800" w:hanging="365"/>
        <w:spacing w:after="0" w:line="255" w:lineRule="auto"/>
        <w:tabs>
          <w:tab w:leader="none" w:pos="128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The warranty time is 18 months after delivery or 12 months after commissioning, whichever comes the first.</w:t>
      </w:r>
    </w:p>
    <w:p>
      <w:pPr>
        <w:spacing w:after="0" w:line="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280" w:hanging="365"/>
        <w:spacing w:after="0"/>
        <w:tabs>
          <w:tab w:leader="none" w:pos="128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Payment condition: 100% advance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Maximum order/Minimum delivery time (EX: one ton/one month or 1000/year or ….):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1 month after Payment for 10 devices .</w:t>
      </w:r>
    </w:p>
    <w:p>
      <w:pPr>
        <w:sectPr>
          <w:pgSz w:w="12240" w:h="15840" w:orient="portrait"/>
          <w:cols w:equalWidth="0" w:num="1">
            <w:col w:w="9360"/>
          </w:cols>
          <w:pgMar w:left="1440" w:top="35" w:right="1440" w:bottom="1440" w:gutter="0" w:footer="0" w:header="0"/>
        </w:sectPr>
      </w:pP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MSDS OR Technical data sheet:</w:t>
      </w:r>
    </w:p>
    <w:p>
      <w:pPr>
        <w:sectPr>
          <w:pgSz w:w="12240" w:h="15840" w:orient="portrait"/>
          <w:cols w:equalWidth="0" w:num="1">
            <w:col w:w="9360"/>
          </w:cols>
          <w:pgMar w:left="1440" w:top="35" w:right="1440" w:bottom="144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911860</wp:posOffset>
            </wp:positionH>
            <wp:positionV relativeFrom="page">
              <wp:posOffset>13970</wp:posOffset>
            </wp:positionV>
            <wp:extent cx="5944870" cy="667131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667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contact person: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Email:</w:t>
      </w: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as1.support@Qeshmvoltage.com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Tell:</w:t>
      </w: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00982166733040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Address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: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Unit 10 , No.14 , Karimi Alley , Lalezarno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St, Enqelab Ave ,Tehran.Iran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Company contact</w:t>
      </w: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:</w:t>
      </w:r>
    </w:p>
    <w:p>
      <w:pPr>
        <w:ind w:left="120"/>
        <w:spacing w:after="0" w:line="235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Website: </w:t>
      </w:r>
      <w:hyperlink r:id="rId35">
        <w:r>
          <w:rPr>
            <w:rFonts w:ascii="Calibri" w:cs="Calibri" w:eastAsia="Calibri" w:hAnsi="Calibri"/>
            <w:sz w:val="22"/>
            <w:szCs w:val="22"/>
            <w:u w:val="single" w:color="auto"/>
            <w:color w:val="0563C1"/>
          </w:rPr>
          <w:t>www.Qeshmvoltage.com</w:t>
        </w:r>
      </w:hyperlink>
    </w:p>
    <w:p>
      <w:pPr>
        <w:ind w:left="120"/>
        <w:spacing w:after="0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Email: </w:t>
      </w:r>
      <w:hyperlink r:id="rId36">
        <w:r>
          <w:rPr>
            <w:rFonts w:ascii="Calibri" w:cs="Calibri" w:eastAsia="Calibri" w:hAnsi="Calibri"/>
            <w:sz w:val="22"/>
            <w:szCs w:val="22"/>
            <w:u w:val="single" w:color="auto"/>
            <w:color w:val="0563C1"/>
          </w:rPr>
          <w:t>info@Qeshmvoltage.com</w:t>
        </w:r>
      </w:hyperlink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Tell :</w:t>
      </w: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00982166733040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Fax:</w:t>
      </w: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00982166760281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Address</w:t>
      </w: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:Unit 10 , No.14 , Karimi Alley , Lalezarno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St, Enqelab Ave ,Tehran.Iran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5" w:name="page6"/>
    <w:bookmarkEnd w:id="5"/>
    <w:p>
      <w:pPr>
        <w:spacing w:after="0" w:line="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908685</wp:posOffset>
            </wp:positionH>
            <wp:positionV relativeFrom="page">
              <wp:posOffset>915670</wp:posOffset>
            </wp:positionV>
            <wp:extent cx="6296660" cy="810006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810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Company name:KOOPA PAZHOOHESH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Brand: KOOPA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4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Specifications:</w:t>
            </w:r>
          </w:p>
        </w:tc>
        <w:tc>
          <w:tcPr>
            <w:tcW w:w="29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Product photo:</w:t>
            </w:r>
          </w:p>
        </w:tc>
      </w:tr>
      <w:tr>
        <w:trPr>
          <w:trHeight w:val="281"/>
        </w:trPr>
        <w:tc>
          <w:tcPr>
            <w:tcW w:w="44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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 Auto-reload impact device mechanism</w:t>
            </w:r>
          </w:p>
        </w:tc>
        <w:tc>
          <w:tcPr>
            <w:tcW w:w="29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Portable Hardness Tester D06</w:t>
            </w:r>
          </w:p>
        </w:tc>
      </w:tr>
    </w:tbl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One-hand test experience</w:t>
      </w:r>
    </w:p>
    <w:p>
      <w:pPr>
        <w:spacing w:after="0" w:line="38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Software user calibration</w:t>
      </w:r>
    </w:p>
    <w:p>
      <w:pPr>
        <w:spacing w:after="0" w:line="10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right="5380" w:hanging="356"/>
        <w:spacing w:after="0" w:line="230" w:lineRule="auto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High accuracy in magnetic-radiated environments</w:t>
      </w:r>
    </w:p>
    <w:p>
      <w:pPr>
        <w:spacing w:after="0" w:line="4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3000 tests with fully-charged battery</w:t>
      </w:r>
    </w:p>
    <w:p>
      <w:pPr>
        <w:spacing w:after="0" w:line="4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Plug and play impact device D</w:t>
      </w:r>
    </w:p>
    <w:p>
      <w:pPr>
        <w:spacing w:after="0" w:line="38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Auto power-off</w:t>
      </w:r>
    </w:p>
    <w:p>
      <w:pPr>
        <w:spacing w:after="0" w:line="4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USB port</w:t>
      </w:r>
    </w:p>
    <w:p>
      <w:pPr>
        <w:spacing w:after="0" w:line="38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1500 built-in memory</w:t>
      </w:r>
    </w:p>
    <w:p>
      <w:pPr>
        <w:spacing w:after="0" w:line="4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Same indentation energy in all directions</w:t>
      </w:r>
    </w:p>
    <w:p>
      <w:pPr>
        <w:spacing w:after="0" w:line="99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right="4880" w:hanging="356"/>
        <w:spacing w:after="0" w:line="249" w:lineRule="auto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Hardness testing of 8 widely-used materials, i.e., LS, HS, GG, 3G, AL, BS, BG, and CU</w:t>
      </w:r>
    </w:p>
    <w:p>
      <w:pPr>
        <w:spacing w:after="0" w:line="9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right="4920" w:hanging="356"/>
        <w:spacing w:after="0" w:line="249" w:lineRule="auto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Automatic conversion to Brinell, Vickers, Rockwell, Superficial Rockwell, Shore, and tensile strength</w:t>
      </w:r>
    </w:p>
    <w:p>
      <w:pPr>
        <w:spacing w:after="0" w:line="9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right="4920" w:hanging="356"/>
        <w:spacing w:after="0" w:line="231" w:lineRule="auto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Designed based on ISO 16859 and ASTM A956 standards</w:t>
      </w:r>
    </w:p>
    <w:p>
      <w:pPr>
        <w:spacing w:after="0" w:line="10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right="5100" w:hanging="356"/>
        <w:spacing w:after="0" w:line="230" w:lineRule="auto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Hardness testing conversion using DIN 50150 and ASTM E140 standards</w:t>
      </w:r>
    </w:p>
    <w:p>
      <w:pPr>
        <w:spacing w:after="0" w:line="10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right="4860" w:hanging="356"/>
        <w:spacing w:after="0" w:line="230" w:lineRule="auto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Automatic statistical calculation such as maximum, average, minimum, and range</w:t>
      </w:r>
    </w:p>
    <w:p>
      <w:pPr>
        <w:spacing w:after="0" w:line="4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Auto angle compensation function</w:t>
      </w:r>
    </w:p>
    <w:p>
      <w:pPr>
        <w:spacing w:after="0" w:line="4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Auto-reload impact device mechanism</w:t>
      </w:r>
    </w:p>
    <w:p>
      <w:pPr>
        <w:spacing w:after="0" w:line="38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One-hand test experience</w:t>
      </w:r>
    </w:p>
    <w:p>
      <w:pPr>
        <w:spacing w:after="0" w:line="4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Software user calibration</w:t>
      </w:r>
    </w:p>
    <w:p>
      <w:pPr>
        <w:spacing w:after="0" w:line="100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right="5500" w:hanging="356"/>
        <w:spacing w:after="0" w:line="231" w:lineRule="auto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High accuracy in electromagnetic-radiated environments</w:t>
      </w:r>
    </w:p>
    <w:p>
      <w:pPr>
        <w:spacing w:after="0" w:line="4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1500 memory for data storage</w:t>
      </w:r>
    </w:p>
    <w:p>
      <w:pPr>
        <w:spacing w:after="0" w:line="38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Data transfer</w:t>
      </w:r>
    </w:p>
    <w:p>
      <w:pPr>
        <w:spacing w:after="0" w:line="4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Hardness testing in all directions</w:t>
      </w:r>
    </w:p>
    <w:p>
      <w:pPr>
        <w:spacing w:after="0" w:line="38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56"/>
        <w:spacing w:after="0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Same impact energy in all directions</w:t>
      </w:r>
    </w:p>
    <w:p>
      <w:pPr>
        <w:spacing w:after="0" w:line="10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right="5140" w:hanging="356"/>
        <w:spacing w:after="0" w:line="230" w:lineRule="auto"/>
        <w:tabs>
          <w:tab w:leader="none" w:pos="8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Hardness testing on flat, concave, and convex surfaces</w:t>
      </w:r>
    </w:p>
    <w:sectPr>
      <w:pgSz w:w="12240" w:h="15840" w:orient="portrait"/>
      <w:cols w:equalWidth="0" w:num="1">
        <w:col w:w="9360"/>
      </w:cols>
      <w:pgMar w:left="1440" w:top="1440" w:right="1440" w:bottom="113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variable"/>
    <w:sig w:usb0="00000000" w:usb1="00000000" w:usb2="00000000" w:usb3="00000000" w:csb0="80000000" w:csb1="00000000"/>
  </w:font>
  <w:font w:name="Symbol">
    <w:panose1 w:val="05050102010706020507"/>
    <w:charset w:val="00"/>
    <w:family w:val="roman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6DF1"/>
    <w:multiLevelType w:val="hybridMultilevel"/>
    <w:lvl w:ilvl="0">
      <w:lvlJc w:val="left"/>
      <w:lvlText w:val="&amp;"/>
      <w:numFmt w:val="bullet"/>
      <w:start w:val="1"/>
    </w:lvl>
  </w:abstractNum>
  <w:abstractNum w:abstractNumId="1">
    <w:nsid w:val="5AF1"/>
    <w:multiLevelType w:val="hybridMultilevel"/>
    <w:lvl w:ilvl="0">
      <w:lvlJc w:val="left"/>
      <w:lvlText w:val=""/>
      <w:numFmt w:val="bullet"/>
      <w:start w:val="1"/>
    </w:lvl>
  </w:abstractNum>
  <w:abstractNum w:abstractNumId="2">
    <w:nsid w:val="41BB"/>
    <w:multiLevelType w:val="hybridMultilevel"/>
    <w:lvl w:ilvl="0">
      <w:lvlJc w:val="left"/>
      <w:lvlText w:val=""/>
      <w:numFmt w:val="bullet"/>
      <w:start w:val="1"/>
    </w:lvl>
  </w:abstractNum>
  <w:abstractNum w:abstractNumId="3">
    <w:nsid w:val="26E9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1EB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7" Type="http://schemas.openxmlformats.org/officeDocument/2006/relationships/image" Target="media/image28.jpeg"/><Relationship Id="rId35" Type="http://schemas.openxmlformats.org/officeDocument/2006/relationships/hyperlink" Target="http://www.qeshmvoltage.com/" TargetMode="External"/><Relationship Id="rId36" Type="http://schemas.openxmlformats.org/officeDocument/2006/relationships/hyperlink" Target="mailto:info@Qeshmvoltage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2018-01-15T19:04:55Z</dcterms:created>
  <dcterms:modified xsi:type="dcterms:W3CDTF">2018-01-15T19:04:55Z</dcterms:modified>
</cp:coreProperties>
</file>