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5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1" w:hRule="atLeast"/>
        </w:trPr>
        <w:tc>
          <w:tcPr>
            <w:tcW w:w="8509"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jc w:val="center"/>
              <w:rPr>
                <w:rFonts w:ascii="黑体" w:hAnsi="宋体" w:eastAsia="黑体" w:cs="宋体"/>
                <w:kern w:val="0"/>
                <w:sz w:val="32"/>
                <w:szCs w:val="32"/>
              </w:rPr>
            </w:pPr>
          </w:p>
          <w:p>
            <w:pPr>
              <w:widowControl/>
              <w:spacing w:before="100" w:beforeAutospacing="1" w:after="100" w:afterAutospacing="1"/>
              <w:jc w:val="center"/>
              <w:rPr>
                <w:rFonts w:ascii="黑体" w:hAnsi="宋体" w:eastAsia="黑体" w:cs="宋体"/>
                <w:kern w:val="0"/>
                <w:sz w:val="32"/>
                <w:szCs w:val="32"/>
              </w:rPr>
            </w:pPr>
            <w:r>
              <w:rPr>
                <w:rFonts w:hint="eastAsia" w:ascii="黑体" w:hAnsi="宋体" w:eastAsia="黑体" w:cs="宋体"/>
                <w:kern w:val="0"/>
                <w:sz w:val="32"/>
                <w:szCs w:val="32"/>
              </w:rPr>
              <w:t>20</w:t>
            </w:r>
            <w:r>
              <w:rPr>
                <w:rFonts w:hint="eastAsia" w:ascii="黑体" w:hAnsi="宋体" w:eastAsia="黑体" w:cs="宋体"/>
                <w:kern w:val="0"/>
                <w:sz w:val="32"/>
                <w:szCs w:val="32"/>
                <w:lang w:val="en-US" w:eastAsia="zh-CN"/>
              </w:rPr>
              <w:t>18</w:t>
            </w:r>
            <w:r>
              <w:rPr>
                <w:rFonts w:hint="eastAsia" w:ascii="黑体" w:hAnsi="宋体" w:eastAsia="黑体" w:cs="宋体"/>
                <w:kern w:val="0"/>
                <w:sz w:val="32"/>
                <w:szCs w:val="32"/>
              </w:rPr>
              <w:t xml:space="preserve"> -20</w:t>
            </w:r>
            <w:r>
              <w:rPr>
                <w:rFonts w:hint="eastAsia" w:ascii="黑体" w:hAnsi="宋体" w:eastAsia="黑体" w:cs="宋体"/>
                <w:kern w:val="0"/>
                <w:sz w:val="32"/>
                <w:szCs w:val="32"/>
                <w:lang w:val="en-US" w:eastAsia="zh-CN"/>
              </w:rPr>
              <w:t>19</w:t>
            </w:r>
            <w:r>
              <w:rPr>
                <w:rFonts w:hint="eastAsia" w:ascii="黑体" w:hAnsi="宋体" w:eastAsia="黑体" w:cs="宋体"/>
                <w:kern w:val="0"/>
                <w:sz w:val="32"/>
                <w:szCs w:val="32"/>
              </w:rPr>
              <w:t xml:space="preserve"> 学年   第 </w:t>
            </w:r>
            <w:r>
              <w:rPr>
                <w:rFonts w:hint="eastAsia" w:ascii="黑体" w:hAnsi="宋体" w:eastAsia="黑体" w:cs="宋体"/>
                <w:kern w:val="0"/>
                <w:sz w:val="32"/>
                <w:szCs w:val="32"/>
                <w:lang w:val="en-US" w:eastAsia="zh-CN"/>
              </w:rPr>
              <w:t>二</w:t>
            </w:r>
            <w:r>
              <w:rPr>
                <w:rFonts w:hint="eastAsia" w:ascii="黑体" w:hAnsi="宋体" w:eastAsia="黑体" w:cs="宋体"/>
                <w:kern w:val="0"/>
                <w:sz w:val="32"/>
                <w:szCs w:val="32"/>
              </w:rPr>
              <w:t xml:space="preserve"> 学期</w:t>
            </w:r>
          </w:p>
          <w:p>
            <w:pPr>
              <w:widowControl/>
              <w:spacing w:before="100" w:beforeAutospacing="1" w:after="100" w:afterAutospacing="1"/>
              <w:jc w:val="center"/>
              <w:rPr>
                <w:rFonts w:ascii="黑体" w:hAnsi="宋体" w:eastAsia="黑体" w:cs="宋体"/>
                <w:kern w:val="0"/>
                <w:sz w:val="32"/>
                <w:szCs w:val="32"/>
              </w:rPr>
            </w:pPr>
            <w:r>
              <w:rPr>
                <w:rFonts w:hint="eastAsia" w:ascii="黑体" w:hAnsi="宋体" w:eastAsia="黑体" w:cs="宋体"/>
                <w:kern w:val="0"/>
                <w:sz w:val="32"/>
                <w:szCs w:val="32"/>
              </w:rPr>
              <w:t xml:space="preserve">《 </w:t>
            </w:r>
            <w:r>
              <w:rPr>
                <w:rFonts w:hint="eastAsia" w:ascii="黑体" w:hAnsi="宋体" w:eastAsia="黑体" w:cs="宋体"/>
                <w:kern w:val="0"/>
                <w:sz w:val="32"/>
                <w:szCs w:val="32"/>
                <w:lang w:val="en-US" w:eastAsia="zh-CN"/>
              </w:rPr>
              <w:t xml:space="preserve">创业基础 </w:t>
            </w:r>
            <w:r>
              <w:rPr>
                <w:rFonts w:hint="eastAsia" w:ascii="黑体" w:hAnsi="宋体" w:eastAsia="黑体" w:cs="宋体"/>
                <w:kern w:val="0"/>
                <w:sz w:val="32"/>
                <w:szCs w:val="32"/>
              </w:rPr>
              <w:t>》课程论文</w:t>
            </w:r>
          </w:p>
          <w:p>
            <w:pPr>
              <w:widowControl/>
              <w:spacing w:before="100" w:beforeAutospacing="1" w:after="100" w:afterAutospacing="1"/>
              <w:jc w:val="left"/>
              <w:rPr>
                <w:rFonts w:hint="eastAsia" w:ascii="黑体" w:hAnsi="宋体" w:eastAsia="黑体" w:cs="宋体"/>
                <w:kern w:val="0"/>
                <w:sz w:val="32"/>
                <w:szCs w:val="32"/>
                <w:lang w:val="en-US" w:eastAsia="zh-CN"/>
              </w:rPr>
            </w:pPr>
            <w:r>
              <w:rPr>
                <w:rFonts w:hint="eastAsia" w:ascii="黑体" w:hAnsi="宋体" w:eastAsia="黑体" w:cs="宋体"/>
                <w:kern w:val="0"/>
                <w:sz w:val="32"/>
                <w:szCs w:val="32"/>
              </w:rPr>
              <w:t xml:space="preserve">   题目：</w:t>
            </w:r>
            <w:r>
              <w:rPr>
                <w:rFonts w:hint="eastAsia" w:ascii="黑体" w:hAnsi="宋体" w:eastAsia="黑体" w:cs="宋体"/>
                <w:kern w:val="0"/>
                <w:sz w:val="32"/>
                <w:szCs w:val="32"/>
                <w:u w:val="single"/>
                <w:lang w:val="en-US" w:eastAsia="zh-CN"/>
              </w:rPr>
              <w:t>上海拉夏贝尔服饰股份有限公司基本面分析</w:t>
            </w:r>
            <w:r>
              <w:rPr>
                <w:rFonts w:hint="eastAsia" w:ascii="黑体" w:hAnsi="宋体" w:eastAsia="黑体" w:cs="宋体"/>
                <w:kern w:val="0"/>
                <w:sz w:val="32"/>
                <w:szCs w:val="32"/>
                <w:u w:val="single"/>
              </w:rPr>
              <w:t xml:space="preserve">           </w:t>
            </w:r>
            <w:r>
              <w:rPr>
                <w:rFonts w:hint="eastAsia" w:ascii="黑体" w:hAnsi="宋体" w:eastAsia="黑体" w:cs="宋体"/>
                <w:kern w:val="0"/>
                <w:sz w:val="32"/>
                <w:szCs w:val="32"/>
                <w:u w:val="single"/>
                <w:lang w:val="en-US" w:eastAsia="zh-CN"/>
              </w:rPr>
              <w:t xml:space="preserve"> </w:t>
            </w:r>
          </w:p>
          <w:p>
            <w:pPr>
              <w:widowControl/>
              <w:spacing w:before="100" w:beforeAutospacing="1" w:after="100" w:afterAutospacing="1"/>
              <w:jc w:val="left"/>
              <w:rPr>
                <w:rFonts w:ascii="仿宋_GB2312" w:hAnsi="宋体" w:eastAsia="仿宋_GB2312" w:cs="宋体"/>
                <w:kern w:val="0"/>
                <w:sz w:val="24"/>
              </w:rPr>
            </w:pPr>
          </w:p>
          <w:p>
            <w:pPr>
              <w:widowControl/>
              <w:spacing w:before="100" w:beforeAutospacing="1" w:after="100" w:afterAutospacing="1"/>
              <w:ind w:firstLine="1200" w:firstLineChars="500"/>
              <w:jc w:val="left"/>
              <w:rPr>
                <w:rFonts w:ascii="黑体" w:hAnsi="黑体" w:eastAsia="黑体" w:cs="宋体"/>
                <w:kern w:val="0"/>
                <w:sz w:val="24"/>
                <w:szCs w:val="24"/>
                <w:u w:val="single"/>
              </w:rPr>
            </w:pPr>
            <w:r>
              <w:rPr>
                <w:rFonts w:hint="eastAsia" w:ascii="黑体" w:hAnsi="黑体" w:eastAsia="黑体" w:cs="宋体"/>
                <w:kern w:val="0"/>
                <w:sz w:val="24"/>
                <w:szCs w:val="24"/>
              </w:rPr>
              <w:t>姓名：</w:t>
            </w:r>
            <w:r>
              <w:rPr>
                <w:rFonts w:hint="eastAsia" w:ascii="黑体" w:hAnsi="黑体" w:eastAsia="黑体" w:cs="宋体"/>
                <w:kern w:val="0"/>
                <w:sz w:val="24"/>
                <w:szCs w:val="24"/>
                <w:u w:val="single"/>
              </w:rPr>
              <w:t xml:space="preserve">   </w:t>
            </w:r>
            <w:r>
              <w:rPr>
                <w:rFonts w:hint="eastAsia" w:ascii="黑体" w:hAnsi="黑体" w:eastAsia="黑体" w:cs="宋体"/>
                <w:kern w:val="0"/>
                <w:sz w:val="24"/>
                <w:szCs w:val="24"/>
                <w:u w:val="single"/>
                <w:lang w:val="en-US" w:eastAsia="zh-CN"/>
              </w:rPr>
              <w:t>卢寅达</w:t>
            </w:r>
            <w:r>
              <w:rPr>
                <w:rFonts w:hint="eastAsia" w:ascii="黑体" w:hAnsi="黑体" w:eastAsia="黑体" w:cs="宋体"/>
                <w:kern w:val="0"/>
                <w:sz w:val="24"/>
                <w:szCs w:val="24"/>
                <w:u w:val="single"/>
              </w:rPr>
              <w:t xml:space="preserve">    </w:t>
            </w:r>
          </w:p>
          <w:p>
            <w:pPr>
              <w:widowControl/>
              <w:spacing w:before="100" w:beforeAutospacing="1" w:after="100" w:afterAutospacing="1"/>
              <w:ind w:firstLine="1200" w:firstLineChars="500"/>
              <w:jc w:val="left"/>
              <w:rPr>
                <w:rFonts w:ascii="黑体" w:hAnsi="黑体" w:eastAsia="黑体" w:cs="宋体"/>
                <w:kern w:val="0"/>
                <w:sz w:val="24"/>
                <w:szCs w:val="24"/>
              </w:rPr>
            </w:pPr>
            <w:r>
              <w:rPr>
                <w:rFonts w:hint="eastAsia" w:ascii="黑体" w:hAnsi="黑体" w:eastAsia="黑体" w:cs="宋体"/>
                <w:kern w:val="0"/>
                <w:sz w:val="24"/>
                <w:szCs w:val="24"/>
              </w:rPr>
              <w:t>学号：</w:t>
            </w:r>
            <w:r>
              <w:rPr>
                <w:rFonts w:hint="eastAsia" w:ascii="黑体" w:hAnsi="黑体" w:eastAsia="黑体" w:cs="宋体"/>
                <w:kern w:val="0"/>
                <w:sz w:val="24"/>
                <w:szCs w:val="24"/>
                <w:u w:val="single"/>
              </w:rPr>
              <w:t xml:space="preserve">  </w:t>
            </w:r>
            <w:r>
              <w:rPr>
                <w:rFonts w:hint="eastAsia" w:ascii="黑体" w:hAnsi="黑体" w:eastAsia="黑体" w:cs="宋体"/>
                <w:kern w:val="0"/>
                <w:sz w:val="24"/>
                <w:szCs w:val="24"/>
                <w:u w:val="single"/>
                <w:lang w:val="en-US" w:eastAsia="zh-CN"/>
              </w:rPr>
              <w:t>171360317</w:t>
            </w:r>
            <w:r>
              <w:rPr>
                <w:rFonts w:hint="eastAsia" w:ascii="黑体" w:hAnsi="黑体" w:eastAsia="黑体" w:cs="宋体"/>
                <w:kern w:val="0"/>
                <w:sz w:val="24"/>
                <w:szCs w:val="24"/>
                <w:u w:val="single"/>
              </w:rPr>
              <w:t xml:space="preserve">  </w:t>
            </w:r>
          </w:p>
          <w:p>
            <w:pPr>
              <w:widowControl/>
              <w:spacing w:before="100" w:beforeAutospacing="1" w:after="100" w:afterAutospacing="1"/>
              <w:ind w:firstLine="1200" w:firstLineChars="500"/>
              <w:jc w:val="left"/>
              <w:rPr>
                <w:rFonts w:hint="default" w:ascii="黑体" w:hAnsi="黑体" w:eastAsia="黑体" w:cs="宋体"/>
                <w:kern w:val="0"/>
                <w:sz w:val="24"/>
                <w:szCs w:val="24"/>
                <w:u w:val="single"/>
                <w:lang w:val="en-US" w:eastAsia="zh-CN"/>
              </w:rPr>
            </w:pPr>
            <w:r>
              <w:rPr>
                <w:rFonts w:hint="eastAsia" w:ascii="黑体" w:hAnsi="黑体" w:eastAsia="黑体" w:cs="宋体"/>
                <w:kern w:val="0"/>
                <w:sz w:val="24"/>
                <w:szCs w:val="24"/>
              </w:rPr>
              <w:t>班级：</w:t>
            </w:r>
            <w:r>
              <w:rPr>
                <w:rFonts w:hint="eastAsia" w:ascii="黑体" w:hAnsi="黑体" w:eastAsia="黑体" w:cs="宋体"/>
                <w:kern w:val="0"/>
                <w:sz w:val="24"/>
                <w:szCs w:val="24"/>
                <w:u w:val="single"/>
              </w:rPr>
              <w:t xml:space="preserve"> </w:t>
            </w:r>
            <w:r>
              <w:rPr>
                <w:rFonts w:hint="eastAsia" w:ascii="黑体" w:hAnsi="黑体" w:eastAsia="黑体" w:cs="宋体"/>
                <w:kern w:val="0"/>
                <w:sz w:val="24"/>
                <w:szCs w:val="24"/>
                <w:u w:val="single"/>
                <w:lang w:val="en-US" w:eastAsia="zh-CN"/>
              </w:rPr>
              <w:t xml:space="preserve">金融科技一班 </w:t>
            </w:r>
          </w:p>
          <w:p>
            <w:pPr>
              <w:widowControl/>
              <w:spacing w:before="100" w:beforeAutospacing="1" w:after="100" w:afterAutospacing="1"/>
              <w:ind w:firstLine="1200" w:firstLineChars="500"/>
              <w:jc w:val="left"/>
              <w:rPr>
                <w:rFonts w:ascii="仿宋_GB2312" w:hAnsi="宋体" w:eastAsia="仿宋_GB2312" w:cs="宋体"/>
                <w:kern w:val="0"/>
                <w:sz w:val="24"/>
                <w:u w:val="single"/>
              </w:rPr>
            </w:pPr>
          </w:p>
          <w:p>
            <w:pPr>
              <w:widowControl/>
              <w:rPr>
                <w:rFonts w:ascii="黑体" w:hAnsi="宋体" w:eastAsia="黑体" w:cs="宋体"/>
                <w:kern w:val="0"/>
                <w:sz w:val="24"/>
                <w:szCs w:val="24"/>
              </w:rPr>
            </w:pPr>
          </w:p>
          <w:tbl>
            <w:tblPr>
              <w:tblStyle w:val="7"/>
              <w:tblW w:w="7434" w:type="dxa"/>
              <w:jc w:val="center"/>
              <w:tblInd w:w="4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19"/>
              <w:gridCol w:w="107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jc w:val="center"/>
              </w:trPr>
              <w:tc>
                <w:tcPr>
                  <w:tcW w:w="5419" w:type="dxa"/>
                </w:tcPr>
                <w:p>
                  <w:pPr>
                    <w:widowControl/>
                    <w:spacing w:line="480" w:lineRule="auto"/>
                    <w:jc w:val="center"/>
                    <w:rPr>
                      <w:rFonts w:ascii="黑体" w:hAnsi="宋体" w:eastAsia="黑体" w:cs="宋体"/>
                      <w:kern w:val="0"/>
                      <w:sz w:val="24"/>
                      <w:szCs w:val="24"/>
                    </w:rPr>
                  </w:pPr>
                  <w:r>
                    <w:rPr>
                      <w:rFonts w:hint="eastAsia" w:ascii="黑体" w:hAnsi="宋体" w:eastAsia="黑体" w:cs="宋体"/>
                      <w:kern w:val="0"/>
                      <w:sz w:val="24"/>
                      <w:szCs w:val="24"/>
                    </w:rPr>
                    <w:t>评分项目（分值）</w:t>
                  </w:r>
                </w:p>
              </w:tc>
              <w:tc>
                <w:tcPr>
                  <w:tcW w:w="1071" w:type="dxa"/>
                </w:tcPr>
                <w:p>
                  <w:pPr>
                    <w:widowControl/>
                    <w:spacing w:line="480" w:lineRule="auto"/>
                    <w:jc w:val="center"/>
                    <w:rPr>
                      <w:rFonts w:ascii="黑体" w:hAnsi="宋体" w:eastAsia="黑体" w:cs="宋体"/>
                      <w:kern w:val="0"/>
                      <w:sz w:val="24"/>
                      <w:szCs w:val="24"/>
                    </w:rPr>
                  </w:pPr>
                  <w:r>
                    <w:rPr>
                      <w:rFonts w:hint="eastAsia" w:ascii="黑体" w:hAnsi="宋体" w:eastAsia="黑体" w:cs="宋体"/>
                      <w:kern w:val="0"/>
                      <w:sz w:val="24"/>
                      <w:szCs w:val="24"/>
                    </w:rPr>
                    <w:t>得分</w:t>
                  </w:r>
                </w:p>
              </w:tc>
              <w:tc>
                <w:tcPr>
                  <w:tcW w:w="944" w:type="dxa"/>
                </w:tcPr>
                <w:p>
                  <w:pPr>
                    <w:widowControl/>
                    <w:spacing w:line="480" w:lineRule="auto"/>
                    <w:jc w:val="center"/>
                    <w:rPr>
                      <w:rFonts w:ascii="黑体" w:hAnsi="宋体" w:eastAsia="黑体" w:cs="宋体"/>
                      <w:kern w:val="0"/>
                      <w:sz w:val="24"/>
                      <w:szCs w:val="24"/>
                    </w:rPr>
                  </w:pPr>
                  <w:r>
                    <w:rPr>
                      <w:rFonts w:hint="eastAsia" w:ascii="黑体" w:hAnsi="宋体" w:eastAsia="黑体" w:cs="宋体"/>
                      <w:kern w:val="0"/>
                      <w:sz w:val="24"/>
                      <w:szCs w:val="24"/>
                    </w:rPr>
                    <w:t>总分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jc w:val="center"/>
              </w:trPr>
              <w:tc>
                <w:tcPr>
                  <w:tcW w:w="5419" w:type="dxa"/>
                </w:tcPr>
                <w:p>
                  <w:pPr>
                    <w:widowControl/>
                    <w:spacing w:line="480" w:lineRule="auto"/>
                    <w:jc w:val="center"/>
                    <w:rPr>
                      <w:rFonts w:hint="eastAsia" w:ascii="黑体" w:hAnsi="宋体" w:eastAsia="黑体" w:cs="宋体"/>
                      <w:kern w:val="0"/>
                      <w:sz w:val="24"/>
                      <w:szCs w:val="24"/>
                      <w:lang w:eastAsia="zh-CN"/>
                    </w:rPr>
                  </w:pPr>
                  <w:r>
                    <w:rPr>
                      <w:rFonts w:hint="eastAsia" w:ascii="黑体" w:hAnsi="宋体" w:eastAsia="黑体" w:cs="宋体"/>
                      <w:kern w:val="0"/>
                      <w:sz w:val="24"/>
                      <w:szCs w:val="24"/>
                      <w:lang w:eastAsia="zh-CN"/>
                    </w:rPr>
                    <w:t>财务报表类评述（</w:t>
                  </w:r>
                  <w:r>
                    <w:rPr>
                      <w:rFonts w:hint="eastAsia" w:ascii="黑体" w:hAnsi="宋体" w:eastAsia="黑体" w:cs="宋体"/>
                      <w:kern w:val="0"/>
                      <w:sz w:val="24"/>
                      <w:szCs w:val="24"/>
                      <w:lang w:val="en-US" w:eastAsia="zh-CN"/>
                    </w:rPr>
                    <w:t>25分</w:t>
                  </w:r>
                  <w:r>
                    <w:rPr>
                      <w:rFonts w:hint="eastAsia" w:ascii="黑体" w:hAnsi="宋体" w:eastAsia="黑体" w:cs="宋体"/>
                      <w:kern w:val="0"/>
                      <w:sz w:val="24"/>
                      <w:szCs w:val="24"/>
                      <w:lang w:eastAsia="zh-CN"/>
                    </w:rPr>
                    <w:t>）</w:t>
                  </w:r>
                </w:p>
              </w:tc>
              <w:tc>
                <w:tcPr>
                  <w:tcW w:w="1071" w:type="dxa"/>
                </w:tcPr>
                <w:p>
                  <w:pPr>
                    <w:widowControl/>
                    <w:spacing w:line="480" w:lineRule="auto"/>
                    <w:jc w:val="center"/>
                    <w:rPr>
                      <w:rFonts w:ascii="黑体" w:hAnsi="宋体" w:eastAsia="黑体" w:cs="宋体"/>
                      <w:kern w:val="0"/>
                      <w:sz w:val="24"/>
                      <w:szCs w:val="24"/>
                    </w:rPr>
                  </w:pPr>
                </w:p>
              </w:tc>
              <w:tc>
                <w:tcPr>
                  <w:tcW w:w="944" w:type="dxa"/>
                  <w:vMerge w:val="restart"/>
                  <w:vAlign w:val="center"/>
                </w:tcPr>
                <w:p>
                  <w:pPr>
                    <w:widowControl/>
                    <w:spacing w:line="480" w:lineRule="auto"/>
                    <w:jc w:val="center"/>
                    <w:rPr>
                      <w:rFonts w:ascii="黑体" w:hAnsi="宋体" w:eastAsia="黑体" w:cs="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jc w:val="center"/>
              </w:trPr>
              <w:tc>
                <w:tcPr>
                  <w:tcW w:w="5419" w:type="dxa"/>
                </w:tcPr>
                <w:p>
                  <w:pPr>
                    <w:widowControl/>
                    <w:spacing w:line="480" w:lineRule="auto"/>
                    <w:jc w:val="center"/>
                    <w:rPr>
                      <w:rFonts w:hint="eastAsia" w:ascii="黑体" w:hAnsi="宋体" w:eastAsia="黑体" w:cs="宋体"/>
                      <w:kern w:val="0"/>
                      <w:sz w:val="24"/>
                      <w:szCs w:val="24"/>
                      <w:lang w:eastAsia="zh-CN"/>
                    </w:rPr>
                  </w:pPr>
                  <w:r>
                    <w:rPr>
                      <w:rFonts w:hint="eastAsia" w:ascii="黑体" w:hAnsi="宋体" w:eastAsia="黑体" w:cs="宋体"/>
                      <w:kern w:val="0"/>
                      <w:sz w:val="24"/>
                      <w:szCs w:val="24"/>
                      <w:lang w:eastAsia="zh-CN"/>
                    </w:rPr>
                    <w:t>所在行业评述（</w:t>
                  </w:r>
                  <w:r>
                    <w:rPr>
                      <w:rFonts w:hint="eastAsia" w:ascii="黑体" w:hAnsi="宋体" w:eastAsia="黑体" w:cs="宋体"/>
                      <w:kern w:val="0"/>
                      <w:sz w:val="24"/>
                      <w:szCs w:val="24"/>
                      <w:lang w:val="en-US" w:eastAsia="zh-CN"/>
                    </w:rPr>
                    <w:t>25分</w:t>
                  </w:r>
                  <w:r>
                    <w:rPr>
                      <w:rFonts w:hint="eastAsia" w:ascii="黑体" w:hAnsi="宋体" w:eastAsia="黑体" w:cs="宋体"/>
                      <w:kern w:val="0"/>
                      <w:sz w:val="24"/>
                      <w:szCs w:val="24"/>
                      <w:lang w:eastAsia="zh-CN"/>
                    </w:rPr>
                    <w:t>）</w:t>
                  </w:r>
                </w:p>
              </w:tc>
              <w:tc>
                <w:tcPr>
                  <w:tcW w:w="1071" w:type="dxa"/>
                </w:tcPr>
                <w:p>
                  <w:pPr>
                    <w:widowControl/>
                    <w:spacing w:line="480" w:lineRule="auto"/>
                    <w:jc w:val="center"/>
                    <w:rPr>
                      <w:rFonts w:ascii="黑体" w:hAnsi="宋体" w:eastAsia="黑体" w:cs="宋体"/>
                      <w:kern w:val="0"/>
                      <w:sz w:val="24"/>
                      <w:szCs w:val="24"/>
                    </w:rPr>
                  </w:pPr>
                </w:p>
              </w:tc>
              <w:tc>
                <w:tcPr>
                  <w:tcW w:w="944" w:type="dxa"/>
                  <w:vMerge w:val="continue"/>
                </w:tcPr>
                <w:p>
                  <w:pPr>
                    <w:widowControl/>
                    <w:spacing w:line="480" w:lineRule="auto"/>
                    <w:jc w:val="center"/>
                    <w:rPr>
                      <w:rFonts w:ascii="黑体" w:hAnsi="宋体" w:eastAsia="黑体" w:cs="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jc w:val="center"/>
              </w:trPr>
              <w:tc>
                <w:tcPr>
                  <w:tcW w:w="5419" w:type="dxa"/>
                </w:tcPr>
                <w:p>
                  <w:pPr>
                    <w:widowControl/>
                    <w:spacing w:line="480" w:lineRule="auto"/>
                    <w:jc w:val="center"/>
                    <w:rPr>
                      <w:rFonts w:hint="eastAsia" w:ascii="黑体" w:hAnsi="宋体" w:eastAsia="黑体" w:cs="宋体"/>
                      <w:kern w:val="0"/>
                      <w:sz w:val="24"/>
                      <w:szCs w:val="24"/>
                      <w:lang w:eastAsia="zh-CN"/>
                    </w:rPr>
                  </w:pPr>
                  <w:r>
                    <w:rPr>
                      <w:rFonts w:hint="eastAsia" w:ascii="黑体" w:hAnsi="宋体" w:eastAsia="黑体" w:cs="宋体"/>
                      <w:kern w:val="0"/>
                      <w:sz w:val="24"/>
                      <w:szCs w:val="24"/>
                      <w:lang w:eastAsia="zh-CN"/>
                    </w:rPr>
                    <w:t>产品及市场分析评述（</w:t>
                  </w:r>
                  <w:r>
                    <w:rPr>
                      <w:rFonts w:hint="eastAsia" w:ascii="黑体" w:hAnsi="宋体" w:eastAsia="黑体" w:cs="宋体"/>
                      <w:kern w:val="0"/>
                      <w:sz w:val="24"/>
                      <w:szCs w:val="24"/>
                      <w:lang w:val="en-US" w:eastAsia="zh-CN"/>
                    </w:rPr>
                    <w:t>25分</w:t>
                  </w:r>
                  <w:r>
                    <w:rPr>
                      <w:rFonts w:hint="eastAsia" w:ascii="黑体" w:hAnsi="宋体" w:eastAsia="黑体" w:cs="宋体"/>
                      <w:kern w:val="0"/>
                      <w:sz w:val="24"/>
                      <w:szCs w:val="24"/>
                      <w:lang w:eastAsia="zh-CN"/>
                    </w:rPr>
                    <w:t>）</w:t>
                  </w:r>
                </w:p>
              </w:tc>
              <w:tc>
                <w:tcPr>
                  <w:tcW w:w="1071" w:type="dxa"/>
                </w:tcPr>
                <w:p>
                  <w:pPr>
                    <w:widowControl/>
                    <w:spacing w:line="480" w:lineRule="auto"/>
                    <w:jc w:val="center"/>
                    <w:rPr>
                      <w:rFonts w:ascii="黑体" w:hAnsi="宋体" w:eastAsia="黑体" w:cs="宋体"/>
                      <w:kern w:val="0"/>
                      <w:sz w:val="24"/>
                      <w:szCs w:val="24"/>
                    </w:rPr>
                  </w:pPr>
                </w:p>
              </w:tc>
              <w:tc>
                <w:tcPr>
                  <w:tcW w:w="944" w:type="dxa"/>
                  <w:vMerge w:val="continue"/>
                </w:tcPr>
                <w:p>
                  <w:pPr>
                    <w:widowControl/>
                    <w:spacing w:line="480" w:lineRule="auto"/>
                    <w:jc w:val="center"/>
                    <w:rPr>
                      <w:rFonts w:ascii="黑体" w:hAnsi="宋体" w:eastAsia="黑体" w:cs="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2" w:hRule="atLeast"/>
                <w:jc w:val="center"/>
              </w:trPr>
              <w:tc>
                <w:tcPr>
                  <w:tcW w:w="5419" w:type="dxa"/>
                </w:tcPr>
                <w:p>
                  <w:pPr>
                    <w:widowControl/>
                    <w:spacing w:line="480" w:lineRule="auto"/>
                    <w:jc w:val="center"/>
                    <w:rPr>
                      <w:rFonts w:hint="eastAsia" w:ascii="黑体" w:hAnsi="宋体" w:eastAsia="黑体" w:cs="宋体"/>
                      <w:kern w:val="0"/>
                      <w:sz w:val="24"/>
                      <w:szCs w:val="24"/>
                      <w:lang w:eastAsia="zh-CN"/>
                    </w:rPr>
                  </w:pPr>
                  <w:r>
                    <w:rPr>
                      <w:rFonts w:hint="eastAsia" w:ascii="黑体" w:hAnsi="宋体" w:eastAsia="黑体" w:cs="宋体"/>
                      <w:kern w:val="0"/>
                      <w:sz w:val="24"/>
                      <w:szCs w:val="24"/>
                      <w:lang w:eastAsia="zh-CN"/>
                    </w:rPr>
                    <w:t>公司文化及管理层评述（</w:t>
                  </w:r>
                  <w:r>
                    <w:rPr>
                      <w:rFonts w:hint="eastAsia" w:ascii="黑体" w:hAnsi="宋体" w:eastAsia="黑体" w:cs="宋体"/>
                      <w:kern w:val="0"/>
                      <w:sz w:val="24"/>
                      <w:szCs w:val="24"/>
                      <w:lang w:val="en-US" w:eastAsia="zh-CN"/>
                    </w:rPr>
                    <w:t>25分</w:t>
                  </w:r>
                  <w:r>
                    <w:rPr>
                      <w:rFonts w:hint="eastAsia" w:ascii="黑体" w:hAnsi="宋体" w:eastAsia="黑体" w:cs="宋体"/>
                      <w:kern w:val="0"/>
                      <w:sz w:val="24"/>
                      <w:szCs w:val="24"/>
                      <w:lang w:eastAsia="zh-CN"/>
                    </w:rPr>
                    <w:t>）</w:t>
                  </w:r>
                </w:p>
              </w:tc>
              <w:tc>
                <w:tcPr>
                  <w:tcW w:w="1071" w:type="dxa"/>
                </w:tcPr>
                <w:p>
                  <w:pPr>
                    <w:widowControl/>
                    <w:spacing w:line="480" w:lineRule="auto"/>
                    <w:jc w:val="center"/>
                    <w:rPr>
                      <w:rFonts w:ascii="黑体" w:hAnsi="宋体" w:eastAsia="黑体" w:cs="宋体"/>
                      <w:kern w:val="0"/>
                      <w:sz w:val="24"/>
                      <w:szCs w:val="24"/>
                    </w:rPr>
                  </w:pPr>
                </w:p>
              </w:tc>
              <w:tc>
                <w:tcPr>
                  <w:tcW w:w="944" w:type="dxa"/>
                  <w:vMerge w:val="continue"/>
                </w:tcPr>
                <w:p>
                  <w:pPr>
                    <w:widowControl/>
                    <w:spacing w:line="480" w:lineRule="auto"/>
                    <w:jc w:val="center"/>
                    <w:rPr>
                      <w:rFonts w:ascii="黑体" w:hAnsi="宋体" w:eastAsia="黑体" w:cs="宋体"/>
                      <w:kern w:val="0"/>
                      <w:sz w:val="24"/>
                      <w:szCs w:val="24"/>
                    </w:rPr>
                  </w:pPr>
                </w:p>
              </w:tc>
            </w:tr>
          </w:tbl>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r>
              <w:rPr>
                <w:rFonts w:hint="eastAsia" w:ascii="黑体" w:hAnsi="宋体" w:eastAsia="黑体" w:cs="宋体"/>
                <w:kern w:val="0"/>
                <w:sz w:val="24"/>
                <w:szCs w:val="24"/>
              </w:rPr>
              <w:t>上海立信会计金融学院工商管理学院</w:t>
            </w:r>
          </w:p>
          <w:p>
            <w:pPr>
              <w:widowControl/>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spacing w:before="100" w:beforeAutospacing="1" w:after="100" w:afterAutospacing="1"/>
              <w:jc w:val="left"/>
              <w:rPr>
                <w:rFonts w:hint="eastAsia" w:ascii="黑体" w:hAnsi="宋体" w:eastAsia="黑体" w:cs="宋体"/>
                <w:kern w:val="0"/>
                <w:sz w:val="32"/>
                <w:szCs w:val="32"/>
              </w:rPr>
            </w:pPr>
            <w:r>
              <w:rPr>
                <w:rFonts w:hint="eastAsia" w:ascii="黑体" w:hAnsi="宋体" w:eastAsia="黑体" w:cs="宋体"/>
                <w:kern w:val="0"/>
                <w:sz w:val="32"/>
                <w:szCs w:val="32"/>
              </w:rPr>
              <w:t>评语：</w:t>
            </w:r>
          </w:p>
          <w:p>
            <w:pPr>
              <w:widowControl/>
              <w:spacing w:before="100" w:beforeAutospacing="1" w:after="100" w:afterAutospacing="1"/>
              <w:jc w:val="left"/>
              <w:rPr>
                <w:rFonts w:hint="eastAsia" w:ascii="黑体" w:hAnsi="宋体" w:eastAsia="黑体" w:cs="宋体"/>
                <w:kern w:val="0"/>
                <w:sz w:val="32"/>
                <w:szCs w:val="32"/>
                <w:lang w:val="en-US" w:eastAsia="zh-CN"/>
              </w:rPr>
            </w:pPr>
          </w:p>
          <w:p>
            <w:pPr>
              <w:widowControl/>
              <w:spacing w:before="100" w:beforeAutospacing="1" w:after="100" w:afterAutospacing="1"/>
              <w:jc w:val="left"/>
              <w:rPr>
                <w:rFonts w:hint="eastAsia" w:ascii="黑体" w:hAnsi="宋体" w:eastAsia="黑体" w:cs="宋体"/>
                <w:kern w:val="0"/>
                <w:sz w:val="32"/>
                <w:szCs w:val="32"/>
                <w:lang w:val="en-US" w:eastAsia="zh-CN"/>
              </w:rPr>
            </w:pPr>
          </w:p>
          <w:p>
            <w:pPr>
              <w:widowControl/>
              <w:spacing w:before="100" w:beforeAutospacing="1" w:after="100" w:afterAutospacing="1"/>
              <w:ind w:firstLine="480" w:firstLineChars="200"/>
              <w:jc w:val="left"/>
              <w:rPr>
                <w:rFonts w:ascii="楷体" w:hAnsi="楷体" w:eastAsia="楷体" w:cs="楷体"/>
                <w:kern w:val="0"/>
                <w:sz w:val="24"/>
                <w:szCs w:val="24"/>
              </w:rPr>
            </w:pPr>
          </w:p>
          <w:p>
            <w:pPr>
              <w:widowControl/>
              <w:spacing w:before="100" w:beforeAutospacing="1" w:after="100" w:afterAutospacing="1"/>
              <w:ind w:firstLine="480" w:firstLineChars="200"/>
              <w:jc w:val="left"/>
              <w:rPr>
                <w:rFonts w:ascii="楷体" w:hAnsi="楷体" w:eastAsia="楷体" w:cs="楷体"/>
                <w:kern w:val="0"/>
                <w:sz w:val="24"/>
                <w:szCs w:val="24"/>
              </w:rPr>
            </w:pPr>
          </w:p>
          <w:p>
            <w:pPr>
              <w:widowControl/>
              <w:spacing w:before="100" w:beforeAutospacing="1" w:after="100" w:afterAutospacing="1"/>
              <w:jc w:val="left"/>
              <w:rPr>
                <w:rFonts w:ascii="楷体" w:hAnsi="楷体" w:eastAsia="楷体" w:cs="楷体"/>
                <w:kern w:val="0"/>
                <w:sz w:val="24"/>
                <w:szCs w:val="24"/>
              </w:rPr>
            </w:pPr>
          </w:p>
          <w:p>
            <w:pPr>
              <w:widowControl/>
              <w:spacing w:before="100" w:beforeAutospacing="1" w:after="100" w:afterAutospacing="1"/>
              <w:jc w:val="left"/>
              <w:rPr>
                <w:rFonts w:ascii="楷体" w:hAnsi="楷体" w:eastAsia="楷体" w:cs="楷体"/>
                <w:kern w:val="0"/>
                <w:sz w:val="24"/>
                <w:szCs w:val="24"/>
              </w:rPr>
            </w:pPr>
            <w:r>
              <w:rPr>
                <w:rFonts w:hint="eastAsia" w:ascii="楷体" w:hAnsi="楷体" w:eastAsia="楷体" w:cs="楷体"/>
                <w:kern w:val="0"/>
                <w:sz w:val="24"/>
                <w:szCs w:val="24"/>
              </w:rPr>
              <w:t xml:space="preserve"> </w:t>
            </w:r>
          </w:p>
          <w:p>
            <w:pPr>
              <w:widowControl/>
              <w:spacing w:before="100" w:beforeAutospacing="1" w:after="100" w:afterAutospacing="1"/>
              <w:jc w:val="left"/>
              <w:rPr>
                <w:rFonts w:ascii="黑体" w:hAnsi="宋体" w:eastAsia="黑体" w:cs="宋体"/>
                <w:kern w:val="0"/>
                <w:sz w:val="32"/>
                <w:szCs w:val="32"/>
              </w:rPr>
            </w:pPr>
          </w:p>
          <w:p>
            <w:pPr>
              <w:widowControl/>
              <w:spacing w:before="100" w:beforeAutospacing="1" w:after="100" w:afterAutospacing="1"/>
              <w:jc w:val="left"/>
              <w:rPr>
                <w:rFonts w:ascii="黑体" w:hAnsi="宋体" w:eastAsia="黑体" w:cs="宋体"/>
                <w:kern w:val="0"/>
                <w:sz w:val="32"/>
                <w:szCs w:val="32"/>
              </w:rPr>
            </w:pPr>
          </w:p>
          <w:p>
            <w:pPr>
              <w:widowControl/>
              <w:spacing w:before="100" w:beforeAutospacing="1" w:after="100" w:afterAutospacing="1"/>
              <w:jc w:val="left"/>
              <w:rPr>
                <w:rFonts w:ascii="黑体" w:hAnsi="宋体" w:eastAsia="黑体" w:cs="宋体"/>
                <w:kern w:val="0"/>
                <w:sz w:val="32"/>
                <w:szCs w:val="32"/>
              </w:rPr>
            </w:pPr>
          </w:p>
          <w:p>
            <w:pPr>
              <w:widowControl/>
              <w:spacing w:before="100" w:beforeAutospacing="1" w:after="100" w:afterAutospacing="1"/>
              <w:jc w:val="left"/>
              <w:rPr>
                <w:rFonts w:ascii="黑体" w:hAnsi="宋体" w:eastAsia="黑体" w:cs="宋体"/>
                <w:kern w:val="0"/>
                <w:sz w:val="32"/>
                <w:szCs w:val="32"/>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center"/>
              <w:rPr>
                <w:rFonts w:ascii="黑体" w:hAnsi="宋体" w:eastAsia="黑体" w:cs="宋体"/>
                <w:kern w:val="0"/>
                <w:sz w:val="24"/>
                <w:szCs w:val="24"/>
              </w:rPr>
            </w:pPr>
          </w:p>
          <w:p>
            <w:pPr>
              <w:widowControl/>
              <w:jc w:val="left"/>
              <w:rPr>
                <w:rFonts w:hint="eastAsia" w:ascii="黑体" w:hAnsi="宋体" w:eastAsia="黑体" w:cs="宋体"/>
                <w:kern w:val="0"/>
                <w:sz w:val="20"/>
                <w:szCs w:val="20"/>
                <w:lang w:eastAsia="zh-CN"/>
              </w:rPr>
            </w:pPr>
          </w:p>
          <w:p>
            <w:pPr>
              <w:widowControl/>
              <w:spacing w:before="100" w:beforeAutospacing="1" w:after="100" w:afterAutospacing="1"/>
              <w:jc w:val="center"/>
              <w:rPr>
                <w:rFonts w:hint="eastAsia" w:ascii="黑体" w:hAnsi="宋体" w:eastAsia="黑体" w:cs="宋体"/>
                <w:kern w:val="0"/>
                <w:sz w:val="32"/>
                <w:szCs w:val="32"/>
                <w:u w:val="single"/>
                <w:lang w:eastAsia="zh-CN"/>
              </w:rPr>
            </w:pPr>
            <w:r>
              <w:rPr>
                <w:rFonts w:hint="eastAsia" w:ascii="黑体" w:hAnsi="宋体" w:eastAsia="黑体" w:cs="宋体"/>
                <w:kern w:val="0"/>
                <w:sz w:val="32"/>
                <w:szCs w:val="32"/>
                <w:u w:val="single"/>
                <w:lang w:eastAsia="zh-CN"/>
              </w:rPr>
              <w:t>《</w:t>
            </w:r>
            <w:r>
              <w:rPr>
                <w:rFonts w:hint="eastAsia" w:ascii="黑体" w:hAnsi="宋体" w:eastAsia="黑体" w:cs="宋体"/>
                <w:kern w:val="0"/>
                <w:sz w:val="32"/>
                <w:szCs w:val="32"/>
                <w:u w:val="single"/>
                <w:lang w:val="en-US" w:eastAsia="zh-CN"/>
              </w:rPr>
              <w:t>上海拉夏贝尔服饰股份有限公司基本面分析</w:t>
            </w:r>
            <w:r>
              <w:rPr>
                <w:rFonts w:hint="eastAsia" w:ascii="黑体" w:hAnsi="宋体" w:eastAsia="黑体" w:cs="宋体"/>
                <w:kern w:val="0"/>
                <w:sz w:val="32"/>
                <w:szCs w:val="32"/>
                <w:u w:val="single"/>
                <w:lang w:eastAsia="zh-CN"/>
              </w:rPr>
              <w:t>》</w:t>
            </w:r>
          </w:p>
          <w:p>
            <w:pPr>
              <w:widowControl/>
              <w:jc w:val="left"/>
              <w:rPr>
                <w:rFonts w:hint="eastAsia" w:ascii="黑体" w:hAnsi="宋体" w:eastAsia="黑体" w:cs="宋体"/>
                <w:kern w:val="0"/>
                <w:sz w:val="22"/>
                <w:szCs w:val="22"/>
                <w:lang w:val="en-US" w:eastAsia="zh-CN"/>
              </w:rPr>
            </w:pPr>
            <w:r>
              <w:rPr>
                <w:rFonts w:hint="eastAsia" w:ascii="黑体" w:hAnsi="宋体" w:eastAsia="黑体" w:cs="宋体"/>
                <w:kern w:val="0"/>
                <w:sz w:val="22"/>
                <w:szCs w:val="22"/>
              </w:rPr>
              <w:t xml:space="preserve"> </w:t>
            </w:r>
            <w:r>
              <w:rPr>
                <w:rFonts w:hint="eastAsia" w:ascii="黑体" w:hAnsi="宋体" w:eastAsia="黑体" w:cs="宋体"/>
                <w:kern w:val="0"/>
                <w:sz w:val="22"/>
                <w:szCs w:val="22"/>
                <w:lang w:val="en-US" w:eastAsia="zh-CN"/>
              </w:rPr>
              <w:t xml:space="preserve">     公司名称：上海拉夏贝尔服饰股份有限公司</w:t>
            </w:r>
          </w:p>
          <w:p>
            <w:pPr>
              <w:widowControl/>
              <w:ind w:firstLine="660" w:firstLineChars="300"/>
              <w:jc w:val="left"/>
              <w:rPr>
                <w:rFonts w:hint="eastAsia" w:ascii="黑体" w:hAnsi="宋体" w:eastAsia="黑体" w:cs="宋体"/>
                <w:kern w:val="0"/>
                <w:sz w:val="22"/>
                <w:szCs w:val="22"/>
                <w:lang w:val="en-US" w:eastAsia="zh-CN"/>
              </w:rPr>
            </w:pPr>
            <w:r>
              <w:rPr>
                <w:rFonts w:hint="eastAsia" w:ascii="黑体" w:hAnsi="宋体" w:eastAsia="黑体" w:cs="宋体"/>
                <w:kern w:val="0"/>
                <w:sz w:val="22"/>
                <w:szCs w:val="22"/>
                <w:lang w:val="en-US" w:eastAsia="zh-CN"/>
              </w:rPr>
              <w:t>股票代码：603157.SH</w:t>
            </w:r>
          </w:p>
          <w:p>
            <w:pPr>
              <w:widowControl/>
              <w:ind w:firstLine="660" w:firstLineChars="300"/>
              <w:jc w:val="left"/>
              <w:rPr>
                <w:rFonts w:hint="eastAsia" w:ascii="黑体" w:hAnsi="宋体" w:eastAsia="黑体" w:cs="宋体"/>
                <w:kern w:val="0"/>
                <w:sz w:val="22"/>
                <w:szCs w:val="22"/>
                <w:lang w:val="en-US" w:eastAsia="zh-CN"/>
              </w:rPr>
            </w:pPr>
          </w:p>
          <w:p>
            <w:pPr>
              <w:widowControl/>
              <w:ind w:firstLine="660" w:firstLineChars="300"/>
              <w:jc w:val="left"/>
              <w:rPr>
                <w:rFonts w:hint="eastAsia" w:ascii="黑体" w:hAnsi="宋体" w:eastAsia="黑体" w:cs="宋体"/>
                <w:kern w:val="0"/>
                <w:sz w:val="22"/>
                <w:szCs w:val="22"/>
                <w:lang w:val="en-US" w:eastAsia="zh-CN"/>
              </w:rPr>
            </w:pPr>
            <w:r>
              <w:rPr>
                <w:rFonts w:hint="eastAsia" w:ascii="黑体" w:hAnsi="宋体" w:eastAsia="黑体" w:cs="宋体"/>
                <w:kern w:val="0"/>
                <w:sz w:val="22"/>
                <w:szCs w:val="22"/>
                <w:lang w:val="en-US" w:eastAsia="zh-CN"/>
              </w:rPr>
              <w:t>所属地域：上海</w:t>
            </w:r>
          </w:p>
          <w:p>
            <w:pPr>
              <w:widowControl/>
              <w:ind w:firstLine="660" w:firstLineChars="300"/>
              <w:jc w:val="left"/>
              <w:rPr>
                <w:rFonts w:hint="default" w:ascii="黑体" w:hAnsi="宋体" w:eastAsia="黑体" w:cs="宋体"/>
                <w:kern w:val="0"/>
                <w:sz w:val="22"/>
                <w:szCs w:val="22"/>
                <w:lang w:val="en-US" w:eastAsia="zh-CN"/>
              </w:rPr>
            </w:pPr>
            <w:r>
              <w:rPr>
                <w:rFonts w:hint="eastAsia" w:ascii="黑体" w:hAnsi="宋体" w:eastAsia="黑体" w:cs="宋体"/>
                <w:kern w:val="0"/>
                <w:sz w:val="22"/>
                <w:szCs w:val="22"/>
                <w:lang w:val="en-US" w:eastAsia="zh-CN"/>
              </w:rPr>
              <w:t>上市发行时间：20170914</w:t>
            </w:r>
          </w:p>
          <w:p>
            <w:pPr>
              <w:widowControl/>
              <w:ind w:firstLine="720" w:firstLineChars="300"/>
              <w:jc w:val="left"/>
              <w:rPr>
                <w:rFonts w:hint="eastAsia" w:ascii="楷体" w:hAnsi="楷体" w:eastAsia="楷体" w:cs="楷体"/>
                <w:kern w:val="0"/>
                <w:sz w:val="24"/>
                <w:szCs w:val="24"/>
                <w:lang w:val="en-US" w:eastAsia="zh-CN"/>
              </w:rPr>
            </w:pPr>
          </w:p>
          <w:p>
            <w:pPr>
              <w:widowControl/>
              <w:numPr>
                <w:ilvl w:val="0"/>
                <w:numId w:val="1"/>
              </w:numPr>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公司财务报表分析</w:t>
            </w:r>
            <w:r>
              <w:drawing>
                <wp:inline distT="0" distB="0" distL="114300" distR="114300">
                  <wp:extent cx="5417820" cy="22771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417820" cy="2277110"/>
                          </a:xfrm>
                          <a:prstGeom prst="rect">
                            <a:avLst/>
                          </a:prstGeom>
                          <a:noFill/>
                          <a:ln>
                            <a:noFill/>
                          </a:ln>
                        </pic:spPr>
                      </pic:pic>
                    </a:graphicData>
                  </a:graphic>
                </wp:inline>
              </w:drawing>
            </w:r>
            <w:r>
              <w:rPr>
                <w:rFonts w:hint="eastAsia"/>
                <w:lang w:val="en-US" w:eastAsia="zh-CN"/>
              </w:rPr>
              <w:t xml:space="preserve">     </w:t>
            </w:r>
            <w:r>
              <w:rPr>
                <w:rFonts w:hint="eastAsia" w:ascii="楷体" w:hAnsi="楷体" w:eastAsia="楷体" w:cs="楷体"/>
                <w:kern w:val="0"/>
                <w:sz w:val="24"/>
                <w:szCs w:val="24"/>
                <w:lang w:val="en-US" w:eastAsia="zh-CN"/>
              </w:rPr>
              <w:t>市盈率：每股市价/每股收益=-31.79</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每股收益：净利润/总股本=-0.2900</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每股净资产：年末股东权益/总股本=6.2947</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市净率：每股市价/每股净资产=-1.96%</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净资产收益率：净利润/平均股东权益=-4.31</w:t>
            </w:r>
          </w:p>
          <w:p>
            <w:pPr>
              <w:widowControl/>
              <w:numPr>
                <w:ilvl w:val="0"/>
                <w:numId w:val="0"/>
              </w:numPr>
              <w:ind w:firstLine="480" w:firstLineChars="200"/>
              <w:jc w:val="left"/>
              <w:rPr>
                <w:rFonts w:hint="default" w:ascii="楷体" w:hAnsi="楷体" w:eastAsia="楷体" w:cs="楷体"/>
                <w:kern w:val="0"/>
                <w:sz w:val="24"/>
                <w:szCs w:val="24"/>
                <w:lang w:val="en-US" w:eastAsia="zh-CN"/>
              </w:rPr>
            </w:pPr>
          </w:p>
          <w:p>
            <w:pPr>
              <w:widowControl/>
              <w:ind w:firstLine="720" w:firstLineChars="300"/>
              <w:jc w:val="left"/>
              <w:rPr>
                <w:rFonts w:hint="eastAsia" w:ascii="楷体" w:hAnsi="楷体" w:eastAsia="楷体" w:cs="楷体"/>
                <w:kern w:val="0"/>
                <w:sz w:val="24"/>
                <w:szCs w:val="24"/>
                <w:lang w:val="en-US" w:eastAsia="zh-CN"/>
              </w:rPr>
            </w:pPr>
          </w:p>
          <w:p>
            <w:pPr>
              <w:widowControl/>
              <w:numPr>
                <w:ilvl w:val="0"/>
                <w:numId w:val="2"/>
              </w:numPr>
              <w:ind w:left="720" w:hanging="720" w:hangingChars="300"/>
              <w:jc w:val="left"/>
              <w:rPr>
                <w:rFonts w:hint="eastAsia"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公司所在的行业分析</w:t>
            </w:r>
          </w:p>
          <w:p>
            <w:pPr>
              <w:widowControl/>
              <w:numPr>
                <w:ilvl w:val="0"/>
                <w:numId w:val="3"/>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行业分类经营范围</w:t>
            </w:r>
          </w:p>
          <w:p>
            <w:pPr>
              <w:widowControl/>
              <w:numPr>
                <w:ilvl w:val="0"/>
                <w:numId w:val="0"/>
              </w:numPr>
              <w:ind w:firstLine="48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经营范围：</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拉夏贝尔经营服装、服饰、鞋帽、皮革、箱包、面料、辅料、针织纺织、日用百货、床上用品、钟表眼镜(除角膜接触镜及护理液)、化妆品、工艺礼品(除文物)、玻璃制品、体育用品、办公用品、木制品家具、花卉的批发、零售、进出口、佣金代理(拍卖除外)及提供相关的配套服务;企业形象策划咨询,从事服装技术、新材料科技、计算机网络领域内技术开发、技术转让、技术咨询、技术服务。(不涉及国营贸易管理商品,涉及配额、许可证管理的,按国家有关规定办理申请)。</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default" w:ascii="楷体" w:hAnsi="楷体" w:eastAsia="楷体" w:cs="楷体"/>
                <w:kern w:val="0"/>
                <w:sz w:val="24"/>
                <w:szCs w:val="24"/>
                <w:lang w:val="en-US" w:eastAsia="zh-CN"/>
              </w:rPr>
              <w:t>公司是一家定位于大众消费市场的快时尚、多品牌、直营式时装集团,致力于为广大消费者提供兼具时尚、品质与高性价比的各式时装产品。公司现拥有LaChapelle、Puella、Candie's、7m及LaBabité等多个品牌风格差异互补、客群定位交织延展的大众时尚女装品牌,能够满足更广泛女性消费者多样化的衣着需求。</w:t>
            </w:r>
          </w:p>
          <w:p>
            <w:pPr>
              <w:widowControl/>
              <w:numPr>
                <w:ilvl w:val="0"/>
                <w:numId w:val="3"/>
              </w:numPr>
              <w:ind w:left="0" w:leftChars="0" w:firstLine="480" w:firstLineChars="200"/>
              <w:jc w:val="left"/>
              <w:rPr>
                <w:rFonts w:hint="eastAsia"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行业划分：</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行业分类-纺织服装-服装家纺-女装</w:t>
            </w:r>
          </w:p>
          <w:p>
            <w:pPr>
              <w:widowControl/>
              <w:numPr>
                <w:ilvl w:val="0"/>
                <w:numId w:val="0"/>
              </w:numPr>
              <w:ind w:firstLine="480" w:firstLineChars="200"/>
              <w:jc w:val="left"/>
              <w:rPr>
                <w:rFonts w:hint="eastAsia"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拉夏贝尔服饰股份有限公司所属的行业范围为第二产业，主要为</w:t>
            </w:r>
            <w:r>
              <w:rPr>
                <w:rFonts w:hint="default" w:ascii="楷体" w:hAnsi="楷体" w:eastAsia="楷体" w:cs="楷体"/>
                <w:kern w:val="0"/>
                <w:sz w:val="24"/>
                <w:szCs w:val="24"/>
                <w:lang w:val="en-US" w:eastAsia="zh-CN"/>
              </w:rPr>
              <w:t>纺织服装、服饰业</w:t>
            </w:r>
            <w:r>
              <w:rPr>
                <w:rFonts w:hint="eastAsia" w:ascii="楷体" w:hAnsi="楷体" w:eastAsia="楷体" w:cs="楷体"/>
                <w:kern w:val="0"/>
                <w:sz w:val="24"/>
                <w:szCs w:val="24"/>
                <w:lang w:val="en-US" w:eastAsia="zh-CN"/>
              </w:rPr>
              <w:t>，集中在女装行业，</w:t>
            </w:r>
            <w:r>
              <w:rPr>
                <w:rFonts w:hint="default" w:ascii="楷体" w:hAnsi="楷体" w:eastAsia="楷体" w:cs="楷体"/>
                <w:kern w:val="0"/>
                <w:sz w:val="24"/>
                <w:szCs w:val="24"/>
                <w:lang w:val="en-US" w:eastAsia="zh-CN"/>
              </w:rPr>
              <w:t>作为国内服装消费市场的“半壁江山”,女装市场的潜力被进一步发掘,且受消费升级等因素影响,呈现出新的特点。国家统计局公布的数据显示,2017年末中国大陆女性人口为67,871万人,同比增加415万人。巨大的人口基数和持续增量为女装市场提供了深入挖掘的潜力;与国外发达国家相比,我国女装市场在人均消费支出和女装占服装总消费比例上仍有增长空间。其中,随着经济发展和二、三、四线城市的迅速崛起,高端女装市场潜力巨大,有待进一步发掘。此外,由于女性消费者对时尚潮流有着更高的敏感性和关注度,女性收入提升和对品质生活的追求,未来女装品牌将更加聚焦于形象新颖、高性价比的产品。</w:t>
            </w:r>
          </w:p>
          <w:p>
            <w:pPr>
              <w:widowControl/>
              <w:numPr>
                <w:ilvl w:val="0"/>
                <w:numId w:val="3"/>
              </w:numPr>
              <w:ind w:left="0" w:leftChars="0" w:firstLine="480" w:firstLineChars="200"/>
              <w:jc w:val="left"/>
              <w:rPr>
                <w:rFonts w:hint="eastAsia"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行业分析：</w:t>
            </w:r>
            <w:r>
              <w:rPr>
                <w:rFonts w:hint="default" w:ascii="楷体" w:hAnsi="楷体" w:eastAsia="楷体" w:cs="楷体"/>
                <w:kern w:val="0"/>
                <w:sz w:val="24"/>
                <w:szCs w:val="24"/>
                <w:lang w:val="en-US" w:eastAsia="zh-CN"/>
              </w:rPr>
              <w:t>一季度纺织服装消费增长一定程度上受到了社会零售消费增速放缓等因素的影响，但从纺织服装行业板块的表现来看，春节后一直保持了稳定的增长趋势，后续随着减税降费政策的落地，纺织服装行业消费的复苏与增长可以预期。短期来看，市场行情维持了一定的热度，纺织服装类消费的复苏有望加速。</w:t>
            </w:r>
          </w:p>
          <w:p>
            <w:pPr>
              <w:widowControl/>
              <w:numPr>
                <w:ilvl w:val="0"/>
                <w:numId w:val="3"/>
              </w:numPr>
              <w:ind w:left="0" w:leftChars="0" w:firstLine="480" w:firstLineChars="200"/>
              <w:jc w:val="left"/>
              <w:rPr>
                <w:rFonts w:hint="eastAsia"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所在行业地位分析</w:t>
            </w:r>
          </w:p>
          <w:p>
            <w:pPr>
              <w:widowControl/>
              <w:numPr>
                <w:ilvl w:val="0"/>
                <w:numId w:val="0"/>
              </w:numPr>
              <w:ind w:leftChars="200"/>
              <w:jc w:val="left"/>
              <w:rPr>
                <w:rFonts w:hint="default" w:ascii="黑体" w:hAnsi="宋体" w:eastAsia="黑体" w:cs="宋体"/>
                <w:kern w:val="0"/>
                <w:sz w:val="24"/>
                <w:szCs w:val="24"/>
                <w:lang w:val="en-US" w:eastAsia="zh-CN"/>
              </w:rPr>
            </w:pPr>
            <w:r>
              <w:rPr>
                <w:rFonts w:hint="eastAsia" w:ascii="楷体" w:hAnsi="楷体" w:eastAsia="楷体" w:cs="楷体"/>
                <w:kern w:val="0"/>
                <w:sz w:val="24"/>
                <w:szCs w:val="24"/>
                <w:lang w:val="en-US" w:eastAsia="zh-CN"/>
              </w:rPr>
              <w:t>在三级行业分类-纺织服装-服装家纺-女装中排名行业第三</w:t>
            </w:r>
          </w:p>
          <w:p>
            <w:pPr>
              <w:widowControl/>
              <w:numPr>
                <w:ilvl w:val="0"/>
                <w:numId w:val="0"/>
              </w:numPr>
              <w:jc w:val="left"/>
            </w:pPr>
            <w:r>
              <w:drawing>
                <wp:inline distT="0" distB="0" distL="114300" distR="114300">
                  <wp:extent cx="5640070" cy="1826260"/>
                  <wp:effectExtent l="0" t="0" r="177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640070" cy="1826260"/>
                          </a:xfrm>
                          <a:prstGeom prst="rect">
                            <a:avLst/>
                          </a:prstGeom>
                          <a:noFill/>
                          <a:ln>
                            <a:noFill/>
                          </a:ln>
                        </pic:spPr>
                      </pic:pic>
                    </a:graphicData>
                  </a:graphic>
                </wp:inline>
              </w:drawing>
            </w:r>
          </w:p>
          <w:p>
            <w:pPr>
              <w:widowControl/>
              <w:numPr>
                <w:ilvl w:val="0"/>
                <w:numId w:val="0"/>
              </w:numPr>
              <w:jc w:val="left"/>
              <w:rPr>
                <w:rFonts w:hint="default" w:ascii="楷体" w:hAnsi="楷体" w:eastAsia="楷体" w:cs="楷体"/>
                <w:kern w:val="0"/>
                <w:sz w:val="24"/>
                <w:szCs w:val="24"/>
                <w:lang w:val="en-US" w:eastAsia="zh-CN"/>
              </w:rPr>
            </w:pPr>
            <w:r>
              <w:rPr>
                <w:rFonts w:hint="eastAsia"/>
                <w:lang w:val="en-US" w:eastAsia="zh-CN"/>
              </w:rPr>
              <w:t xml:space="preserve">   </w:t>
            </w:r>
            <w:r>
              <w:rPr>
                <w:rFonts w:hint="eastAsia" w:ascii="楷体" w:hAnsi="楷体" w:eastAsia="楷体" w:cs="楷体"/>
                <w:kern w:val="0"/>
                <w:sz w:val="24"/>
                <w:szCs w:val="24"/>
                <w:lang w:val="en-US" w:eastAsia="zh-CN"/>
              </w:rPr>
              <w:t>二级行业分类-纺织服装-服装家纺中排名行业17</w:t>
            </w:r>
          </w:p>
          <w:p>
            <w:pPr>
              <w:widowControl/>
              <w:numPr>
                <w:ilvl w:val="0"/>
                <w:numId w:val="0"/>
              </w:numPr>
              <w:jc w:val="left"/>
            </w:pPr>
            <w:r>
              <w:drawing>
                <wp:inline distT="0" distB="0" distL="114300" distR="114300">
                  <wp:extent cx="5265420" cy="1463675"/>
                  <wp:effectExtent l="0" t="0" r="1143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5420" cy="1463675"/>
                          </a:xfrm>
                          <a:prstGeom prst="rect">
                            <a:avLst/>
                          </a:prstGeom>
                          <a:noFill/>
                          <a:ln>
                            <a:noFill/>
                          </a:ln>
                        </pic:spPr>
                      </pic:pic>
                    </a:graphicData>
                  </a:graphic>
                </wp:inline>
              </w:drawing>
            </w:r>
          </w:p>
          <w:p>
            <w:pPr>
              <w:widowControl/>
              <w:numPr>
                <w:ilvl w:val="0"/>
                <w:numId w:val="3"/>
              </w:numPr>
              <w:ind w:left="0" w:leftChars="0" w:firstLine="480" w:firstLineChars="200"/>
              <w:jc w:val="left"/>
            </w:pPr>
            <w:r>
              <w:rPr>
                <w:rFonts w:hint="eastAsia" w:ascii="楷体" w:hAnsi="楷体" w:eastAsia="楷体" w:cs="楷体"/>
                <w:kern w:val="0"/>
                <w:sz w:val="24"/>
                <w:szCs w:val="24"/>
                <w:lang w:val="en-US" w:eastAsia="zh-CN"/>
              </w:rPr>
              <w:t>行业的成长分类：</w:t>
            </w:r>
            <w:r>
              <w:drawing>
                <wp:inline distT="0" distB="0" distL="114300" distR="114300">
                  <wp:extent cx="5258435" cy="1401445"/>
                  <wp:effectExtent l="0" t="0" r="184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58435" cy="1401445"/>
                          </a:xfrm>
                          <a:prstGeom prst="rect">
                            <a:avLst/>
                          </a:prstGeom>
                          <a:noFill/>
                          <a:ln>
                            <a:noFill/>
                          </a:ln>
                        </pic:spPr>
                      </pic:pic>
                    </a:graphicData>
                  </a:graphic>
                </wp:inline>
              </w:drawing>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（三）公司的产品和市场分析</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市场分析：成人休闲服装市场潜力较大，多品牌+全渠道+快时尚成为休闲服装行业趋势</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我国中档休闲服装市场规模逐年提升，在目前产业升级和消费升级背景下，多品牌+全渠道+快时尚已经成为行业趋势：1）多品牌战略可以突破单一品牌带来的运营风险和销售瓶颈，同时企业希望通过各品牌的自有特色和差异化的风格满足不同类型消费者的消费需求。2）全渠道：线上电商已经成为企业必争之地，2016年服装电商渗透率达到36%，销售规模5年复合增长率达36%，基于大数据和信息系统，企业通过高效的供应链体系，打造全渠道O2O模式，实现线上线下相互协同，提升品牌竞争力。3）快时尚：我国大众休闲服装品牌在经过快时尚品牌的冲击后，都进行了品牌升级和转型，类似太平鸟、拉夏贝尔等通过品牌升级和供应链体系逐步完善，已经成为具备供应链优势和快时尚基因的时尚休闲品牌。</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公司产品：拉夏贝尔是中档大众休闲服饰龙头，不断扩充品牌阵营，收入规模稳健增长</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公司定位大众休闲服装市场，不断通过自主培育和投资并购，现拥有19个品牌（今年4月收购法国时尚女装品牌NAFNAF40%股权，再次扩大品牌阵营），意在覆盖女装、男装及儿童领域，以差异化多品牌战略深度挖掘市场。目前，女装仍然是主要收入来源，收入占比达到80%以上。从业绩表现来看，公司营业收入持续增长，净利润自16年下滑后有所回调。2017营收/净利润增速分别为+5%/-6%，主要系：1）百货渠道转型导致公司专柜收入下降；2）公司培育品牌尚未盈利，影响业绩。2018Q1多方调整效果逐步显现业绩转好，收入/净利润增速为25%/25%</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具备高效供应链体系符合快时尚趋势，看好多品牌+全渠道+全直营战略</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拉夏贝尔作为中档休闲服饰龙头，深耕大众市场，目前具备多品牌及渠道规模优势，并且拥有高效的参与式供应链体系。1）品牌运营：公司一直实行“多品牌+多品类”的差异化战略，使产品能够满足不同消费者的需求，同时通过各品牌之间的协同作用，有助于提升市场渗透率，目前公司在女装市场的市占率为1.7%（国内品牌中市占率第一），未来在多品牌协同发力下市占率有望持续提升。2）渠道方面：线下渠道具备规模及先发优势，电商业务成为新的业绩驱动力。一方面，公司采用全直营战略，及时掌握终端数据，精准决策，截至17年共计9448家店，在同行业中处于领先地位，具备规模优势；另外，公司率先深耕低线城市，17年二三线渠道占比65%，在低线城市消费升级趋势下，具备先发优势；另一方面，电商业务占比逐年提高，17年电商收入增速为45%。全渠道布局协同发展下，各渠道持续贡献业绩。3）供应链：公司具备高度参与式供应链体系，利用RFID电子标签使公司能够及时了解市场需求，提升供应链的快速反应能力和营运效率。维持“买入”评级，3—6个月目标价20.8元</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公司拥有高效供应链体系，符合快时尚趋势；另外，独特的多品牌+全渠道+全直营模式为公司业绩提供持续增长动力。预计公司18—20年EPS为1.04/1.13/1.16元，对应PE为15/14/14倍。考虑到次新股因素，以及行业相对平均估值为19，并且公司不断扩大品牌阵营以及渠道规模，相比同行业具备较强的增长动力，因此我们给予18年20倍估值，调整目标价至20.8元。</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（四）公司文化和管理层素质分析</w:t>
            </w:r>
          </w:p>
          <w:p>
            <w:pPr>
              <w:widowControl/>
              <w:numPr>
                <w:ilvl w:val="0"/>
                <w:numId w:val="0"/>
              </w:numPr>
              <w:ind w:firstLine="480" w:firstLineChars="200"/>
              <w:jc w:val="left"/>
              <w:rPr>
                <w:rFonts w:hint="eastAsia"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公司文化：拉夏贝尔一直追求强调个性化的设计， 是将设计渗透人文文化的时尚品牌。公司的经营理念是“企业利益第一、用数据说话；快乐、环保；求实、诚信、创新、进取”。公司的文化理念是“真诚、快乐、尊重、倾听”。</w:t>
            </w:r>
          </w:p>
          <w:p>
            <w:pPr>
              <w:widowControl/>
              <w:numPr>
                <w:ilvl w:val="0"/>
                <w:numId w:val="0"/>
              </w:numPr>
              <w:ind w:firstLine="480" w:firstLineChars="200"/>
              <w:jc w:val="left"/>
              <w:rPr>
                <w:rFonts w:hint="default" w:ascii="楷体" w:hAnsi="楷体" w:eastAsia="楷体" w:cs="楷体"/>
                <w:kern w:val="0"/>
                <w:sz w:val="24"/>
                <w:szCs w:val="24"/>
                <w:lang w:val="en-US" w:eastAsia="zh-CN"/>
              </w:rPr>
            </w:pPr>
            <w:r>
              <w:rPr>
                <w:rFonts w:hint="eastAsia" w:ascii="楷体" w:hAnsi="楷体" w:eastAsia="楷体" w:cs="楷体"/>
                <w:kern w:val="0"/>
                <w:sz w:val="24"/>
                <w:szCs w:val="24"/>
                <w:lang w:val="en-US" w:eastAsia="zh-CN"/>
              </w:rPr>
              <w:t xml:space="preserve"> 管理层素质分析：管理层学历多为本科及以上，毕业院校多为双一流院校，分析可得公司管理层的素质较高。</w:t>
            </w:r>
            <w:r>
              <w:drawing>
                <wp:inline distT="0" distB="0" distL="114300" distR="114300">
                  <wp:extent cx="5260975" cy="2237105"/>
                  <wp:effectExtent l="0" t="0" r="1587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0975" cy="2237105"/>
                          </a:xfrm>
                          <a:prstGeom prst="rect">
                            <a:avLst/>
                          </a:prstGeom>
                          <a:noFill/>
                          <a:ln>
                            <a:noFill/>
                          </a:ln>
                        </pic:spPr>
                      </pic:pic>
                    </a:graphicData>
                  </a:graphic>
                </wp:inline>
              </w:drawing>
            </w:r>
          </w:p>
          <w:p>
            <w:pPr>
              <w:widowControl/>
              <w:jc w:val="left"/>
              <w:rPr>
                <w:rFonts w:hint="eastAsia" w:ascii="黑体" w:hAnsi="宋体" w:eastAsia="黑体" w:cs="宋体"/>
                <w:kern w:val="0"/>
                <w:sz w:val="20"/>
                <w:szCs w:val="20"/>
                <w:lang w:eastAsia="zh-CN"/>
              </w:rPr>
            </w:pPr>
            <w:r>
              <w:drawing>
                <wp:inline distT="0" distB="0" distL="114300" distR="114300">
                  <wp:extent cx="5260975" cy="2242185"/>
                  <wp:effectExtent l="0" t="0" r="158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0975" cy="2242185"/>
                          </a:xfrm>
                          <a:prstGeom prst="rect">
                            <a:avLst/>
                          </a:prstGeom>
                          <a:noFill/>
                          <a:ln>
                            <a:noFill/>
                          </a:ln>
                        </pic:spPr>
                      </pic:pic>
                    </a:graphicData>
                  </a:graphic>
                </wp:inline>
              </w:drawing>
            </w:r>
            <w:bookmarkStart w:id="0" w:name="_GoBack"/>
            <w:bookmarkEnd w:id="0"/>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p>
            <w:pPr>
              <w:widowControl/>
              <w:jc w:val="left"/>
              <w:rPr>
                <w:rFonts w:hint="eastAsia" w:ascii="黑体" w:hAnsi="宋体" w:eastAsia="黑体" w:cs="宋体"/>
                <w:kern w:val="0"/>
                <w:sz w:val="20"/>
                <w:szCs w:val="20"/>
                <w:lang w:eastAsia="zh-CN"/>
              </w:rPr>
            </w:pPr>
          </w:p>
        </w:tc>
      </w:tr>
    </w:tbl>
    <w:p>
      <w:pPr>
        <w:spacing w:line="360" w:lineRule="auto"/>
        <w:ind w:firstLine="705" w:firstLineChars="294"/>
        <w:jc w:val="cente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161F3A"/>
    <w:multiLevelType w:val="singleLevel"/>
    <w:tmpl w:val="F1161F3A"/>
    <w:lvl w:ilvl="0" w:tentative="0">
      <w:start w:val="1"/>
      <w:numFmt w:val="chineseCounting"/>
      <w:suff w:val="nothing"/>
      <w:lvlText w:val="（%1）"/>
      <w:lvlJc w:val="left"/>
      <w:rPr>
        <w:rFonts w:hint="eastAsia"/>
      </w:rPr>
    </w:lvl>
  </w:abstractNum>
  <w:abstractNum w:abstractNumId="1">
    <w:nsid w:val="18AEC8A5"/>
    <w:multiLevelType w:val="singleLevel"/>
    <w:tmpl w:val="18AEC8A5"/>
    <w:lvl w:ilvl="0" w:tentative="0">
      <w:start w:val="2"/>
      <w:numFmt w:val="chineseCounting"/>
      <w:suff w:val="nothing"/>
      <w:lvlText w:val="（%1）"/>
      <w:lvlJc w:val="left"/>
      <w:rPr>
        <w:rFonts w:hint="eastAsia"/>
      </w:rPr>
    </w:lvl>
  </w:abstractNum>
  <w:abstractNum w:abstractNumId="2">
    <w:nsid w:val="68D86A9F"/>
    <w:multiLevelType w:val="singleLevel"/>
    <w:tmpl w:val="68D86A9F"/>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C0"/>
    <w:rsid w:val="000255BE"/>
    <w:rsid w:val="00026649"/>
    <w:rsid w:val="000531E3"/>
    <w:rsid w:val="00064D2A"/>
    <w:rsid w:val="00072248"/>
    <w:rsid w:val="00081C98"/>
    <w:rsid w:val="000B000D"/>
    <w:rsid w:val="000B70E5"/>
    <w:rsid w:val="000E2282"/>
    <w:rsid w:val="000F6C2F"/>
    <w:rsid w:val="00103912"/>
    <w:rsid w:val="0012573D"/>
    <w:rsid w:val="00126AEE"/>
    <w:rsid w:val="00164B12"/>
    <w:rsid w:val="00177082"/>
    <w:rsid w:val="001C332D"/>
    <w:rsid w:val="001D0FBA"/>
    <w:rsid w:val="002224C4"/>
    <w:rsid w:val="00261B4F"/>
    <w:rsid w:val="00262563"/>
    <w:rsid w:val="00270934"/>
    <w:rsid w:val="00273B2F"/>
    <w:rsid w:val="002750B2"/>
    <w:rsid w:val="002A5EAF"/>
    <w:rsid w:val="002C2F6F"/>
    <w:rsid w:val="002D0632"/>
    <w:rsid w:val="00343399"/>
    <w:rsid w:val="00343E2B"/>
    <w:rsid w:val="003505D0"/>
    <w:rsid w:val="00356806"/>
    <w:rsid w:val="00356957"/>
    <w:rsid w:val="003720F3"/>
    <w:rsid w:val="003A200D"/>
    <w:rsid w:val="003D7CE4"/>
    <w:rsid w:val="003E77B9"/>
    <w:rsid w:val="0040262D"/>
    <w:rsid w:val="00430911"/>
    <w:rsid w:val="0044505F"/>
    <w:rsid w:val="004827B1"/>
    <w:rsid w:val="004D0297"/>
    <w:rsid w:val="004D0DD5"/>
    <w:rsid w:val="004D0F0F"/>
    <w:rsid w:val="004D1B55"/>
    <w:rsid w:val="004E4E99"/>
    <w:rsid w:val="004E54C8"/>
    <w:rsid w:val="004F4541"/>
    <w:rsid w:val="004F4B50"/>
    <w:rsid w:val="00501C8C"/>
    <w:rsid w:val="00530B8A"/>
    <w:rsid w:val="00533FB1"/>
    <w:rsid w:val="00535E18"/>
    <w:rsid w:val="00541DE4"/>
    <w:rsid w:val="005526CE"/>
    <w:rsid w:val="005534A1"/>
    <w:rsid w:val="00557642"/>
    <w:rsid w:val="005628AF"/>
    <w:rsid w:val="00574B73"/>
    <w:rsid w:val="00592C50"/>
    <w:rsid w:val="0059357B"/>
    <w:rsid w:val="005951E2"/>
    <w:rsid w:val="005F2C5B"/>
    <w:rsid w:val="006057C6"/>
    <w:rsid w:val="00610146"/>
    <w:rsid w:val="0063302F"/>
    <w:rsid w:val="006B2E46"/>
    <w:rsid w:val="006D60A1"/>
    <w:rsid w:val="006E60B6"/>
    <w:rsid w:val="007043A3"/>
    <w:rsid w:val="00716A99"/>
    <w:rsid w:val="007345FE"/>
    <w:rsid w:val="00753BFA"/>
    <w:rsid w:val="007752CD"/>
    <w:rsid w:val="007932C8"/>
    <w:rsid w:val="007C4A6A"/>
    <w:rsid w:val="007D1DC0"/>
    <w:rsid w:val="007E6363"/>
    <w:rsid w:val="007F2A60"/>
    <w:rsid w:val="00817204"/>
    <w:rsid w:val="00850EE0"/>
    <w:rsid w:val="008553C7"/>
    <w:rsid w:val="008575A6"/>
    <w:rsid w:val="0087575D"/>
    <w:rsid w:val="008818AB"/>
    <w:rsid w:val="00894557"/>
    <w:rsid w:val="00895C0A"/>
    <w:rsid w:val="008B2A4F"/>
    <w:rsid w:val="008B30F9"/>
    <w:rsid w:val="008B5238"/>
    <w:rsid w:val="008C37EE"/>
    <w:rsid w:val="008E1F1A"/>
    <w:rsid w:val="008F221F"/>
    <w:rsid w:val="0091773A"/>
    <w:rsid w:val="009322B2"/>
    <w:rsid w:val="009501BC"/>
    <w:rsid w:val="009D361C"/>
    <w:rsid w:val="009D3AEB"/>
    <w:rsid w:val="00A210CB"/>
    <w:rsid w:val="00A90851"/>
    <w:rsid w:val="00AF313A"/>
    <w:rsid w:val="00B426B0"/>
    <w:rsid w:val="00B53125"/>
    <w:rsid w:val="00B93CCF"/>
    <w:rsid w:val="00BB49FF"/>
    <w:rsid w:val="00BB78A3"/>
    <w:rsid w:val="00BC2B2A"/>
    <w:rsid w:val="00BE1756"/>
    <w:rsid w:val="00C27884"/>
    <w:rsid w:val="00C66DDB"/>
    <w:rsid w:val="00C8455F"/>
    <w:rsid w:val="00C945B4"/>
    <w:rsid w:val="00CA7750"/>
    <w:rsid w:val="00CE1671"/>
    <w:rsid w:val="00CE5D48"/>
    <w:rsid w:val="00CF4988"/>
    <w:rsid w:val="00D20B5F"/>
    <w:rsid w:val="00D3463F"/>
    <w:rsid w:val="00D556CE"/>
    <w:rsid w:val="00D7070C"/>
    <w:rsid w:val="00D92E75"/>
    <w:rsid w:val="00D96BE4"/>
    <w:rsid w:val="00DA7C25"/>
    <w:rsid w:val="00DC4D0A"/>
    <w:rsid w:val="00DE10C3"/>
    <w:rsid w:val="00DF2FED"/>
    <w:rsid w:val="00E67D6C"/>
    <w:rsid w:val="00F15439"/>
    <w:rsid w:val="00F600E1"/>
    <w:rsid w:val="00F642D0"/>
    <w:rsid w:val="00FA0989"/>
    <w:rsid w:val="00FC02BB"/>
    <w:rsid w:val="00FC7F81"/>
    <w:rsid w:val="00FE7BD5"/>
    <w:rsid w:val="00FF62C0"/>
    <w:rsid w:val="082E14E0"/>
    <w:rsid w:val="0E956317"/>
    <w:rsid w:val="10EB7D98"/>
    <w:rsid w:val="127C6B86"/>
    <w:rsid w:val="138E6AB6"/>
    <w:rsid w:val="1FEA750F"/>
    <w:rsid w:val="2BA06B53"/>
    <w:rsid w:val="3329351F"/>
    <w:rsid w:val="3429001B"/>
    <w:rsid w:val="34DD0E49"/>
    <w:rsid w:val="37E37B36"/>
    <w:rsid w:val="3B265335"/>
    <w:rsid w:val="47343F71"/>
    <w:rsid w:val="4A8E0B98"/>
    <w:rsid w:val="57ED7A7D"/>
    <w:rsid w:val="59D752AD"/>
    <w:rsid w:val="59F3703B"/>
    <w:rsid w:val="653C296F"/>
    <w:rsid w:val="6793028E"/>
    <w:rsid w:val="6EBE3782"/>
    <w:rsid w:val="70DE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9">
    <w:name w:val="Hyperlink"/>
    <w:basedOn w:val="8"/>
    <w:semiHidden/>
    <w:unhideWhenUsed/>
    <w:uiPriority w:val="99"/>
    <w:rPr>
      <w:color w:val="0000FF"/>
      <w:u w:val="single"/>
    </w:r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122</Words>
  <Characters>698</Characters>
  <Lines>5</Lines>
  <Paragraphs>1</Paragraphs>
  <TotalTime>27</TotalTime>
  <ScaleCrop>false</ScaleCrop>
  <LinksUpToDate>false</LinksUpToDate>
  <CharactersWithSpaces>819</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2018-11-01T08:12:00Z</dcterms:created>
  <dc:creator>LENOVO</dc:creator>
  <cp:lastModifiedBy>qzuser</cp:lastModifiedBy>
  <cp:lastPrinted>2019-04-11T13:49:57Z</cp:lastPrinted>
  <dcterms:modified xsi:type="dcterms:W3CDTF">2019-04-11T13:56:13Z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2052-11.1.0.8567</vt:lpwstr>
  </property>
</Properties>
</file>