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Курсов проект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Дисциплина: Проектиране и интегриране на софтуерни системи</w:t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Фаза 3: Реализация на системата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Версия 1.1</w:t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42"/>
        <w:gridCol w:w="4899"/>
        <w:gridCol w:w="3071"/>
        <w:tblGridChange w:id="0">
          <w:tblGrid>
            <w:gridCol w:w="1242"/>
            <w:gridCol w:w="4899"/>
            <w:gridCol w:w="3071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Фак. №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Име на студент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Секция от документа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left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61908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left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Бранимир Кирилов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1,2,3,4,5,6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Август,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Съдържание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Въведение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76" w:lineRule="auto"/>
            <w:ind w:left="220" w:right="0" w:hanging="22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Цел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76" w:lineRule="auto"/>
            <w:ind w:left="220" w:right="0" w:hanging="22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  <w:tab/>
              <w:t xml:space="preserve">Резюме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Използвани технологии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Реализация на</w:t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 хардуера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Реализация на бизнес логиката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Реализация на потребителския интерфейс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Внедряване на системата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  <w:sectPr>
          <w:headerReference r:id="rId6" w:type="default"/>
          <w:footerReference r:id="rId7" w:type="default"/>
          <w:pgSz w:h="16838" w:w="11906"/>
          <w:pgMar w:bottom="1417" w:top="1417" w:left="1417" w:right="1417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Въведение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Цел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астоящият документ има за цел да покаже използваните технологии, реализацията на бизнес логиката, архитектурата на приложението, както и потребителския интерфейс на системата за размяна на подаръци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Io.tty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Резюме</w:t>
      </w:r>
    </w:p>
    <w:p w:rsidR="00000000" w:rsidDel="00000000" w:rsidP="00000000" w:rsidRDefault="00000000" w:rsidRPr="00000000" w14:paraId="00000032">
      <w:pPr>
        <w:jc w:val="left"/>
        <w:rPr>
          <w:i w:val="1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Документът предоставя описание на системното проектиране и реализацията на системата за отдале</w:t>
      </w:r>
      <w:r w:rsidDel="00000000" w:rsidR="00000000" w:rsidRPr="00000000">
        <w:rPr>
          <w:rtl w:val="0"/>
        </w:rPr>
        <w:t xml:space="preserve">чен мониторинг на помещения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Втората част на документа предоставя използваните технологии, разделени на </w:t>
      </w:r>
      <w:r w:rsidDel="00000000" w:rsidR="00000000" w:rsidRPr="00000000">
        <w:rPr>
          <w:rtl w:val="0"/>
        </w:rPr>
        <w:t xml:space="preserve">няколко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части – за всеки от модулите на системата. Третата част описва </w:t>
      </w:r>
      <w:r w:rsidDel="00000000" w:rsidR="00000000" w:rsidRPr="00000000">
        <w:rPr>
          <w:rtl w:val="0"/>
        </w:rPr>
        <w:t xml:space="preserve">реализацията на хардуерната част от системата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В четвъртата част е представена реализацията на бизнес логиката. Петата част от документа показва потребителския интерфейс. Шестата част описва стъпките, необходими за внедряването на системата.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Използвани технологии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Проектът е изграден от няколко отделни системи, за всяка от които са използвани различни технологии: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447992</wp:posOffset>
            </wp:positionH>
            <wp:positionV relativeFrom="paragraph">
              <wp:posOffset>152400</wp:posOffset>
            </wp:positionV>
            <wp:extent cx="4870600" cy="424783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600" cy="424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Hardware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Хардуерното устройство е изградено от платка </w:t>
      </w:r>
      <w:r w:rsidDel="00000000" w:rsidR="00000000" w:rsidRPr="00000000">
        <w:rPr>
          <w:b w:val="1"/>
          <w:rtl w:val="0"/>
        </w:rPr>
        <w:t xml:space="preserve">Wemos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mini</w:t>
      </w:r>
      <w:r w:rsidDel="00000000" w:rsidR="00000000" w:rsidRPr="00000000">
        <w:rPr>
          <w:rtl w:val="0"/>
        </w:rPr>
        <w:t xml:space="preserve">.  Към нея са прикачени два сензора - </w:t>
      </w:r>
      <w:r w:rsidDel="00000000" w:rsidR="00000000" w:rsidRPr="00000000">
        <w:rPr>
          <w:b w:val="1"/>
          <w:rtl w:val="0"/>
        </w:rPr>
        <w:t xml:space="preserve">BME 280</w:t>
      </w:r>
      <w:r w:rsidDel="00000000" w:rsidR="00000000" w:rsidRPr="00000000">
        <w:rPr>
          <w:rtl w:val="0"/>
        </w:rPr>
        <w:t xml:space="preserve">, който измерва температура, влажност и атмосферно налягане, както и </w:t>
      </w:r>
      <w:r w:rsidDel="00000000" w:rsidR="00000000" w:rsidRPr="00000000">
        <w:rPr>
          <w:b w:val="1"/>
          <w:rtl w:val="0"/>
        </w:rPr>
        <w:t xml:space="preserve">HC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SR04</w:t>
      </w:r>
      <w:r w:rsidDel="00000000" w:rsidR="00000000" w:rsidRPr="00000000">
        <w:rPr>
          <w:rtl w:val="0"/>
        </w:rPr>
        <w:t xml:space="preserve">, който измерва разстояние. За разработка и качване на кода на платката е използвано </w:t>
      </w: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Сървър</w:t>
        <w:br w:type="textWrapping"/>
        <w:tab/>
      </w:r>
      <w:r w:rsidDel="00000000" w:rsidR="00000000" w:rsidRPr="00000000">
        <w:rPr>
          <w:rtl w:val="0"/>
        </w:rPr>
        <w:t xml:space="preserve">Бизнес логиката на системата се извършва от няколко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сървиса. AWS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е използван за да се осъществи връзката с устройството посредством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протокол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да се пренасочат данните към други два AWS сървиса -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 представлява база от данни където се записват измерванията.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 се използва за изпращането на данните в </w:t>
      </w:r>
      <w:r w:rsidDel="00000000" w:rsidR="00000000" w:rsidRPr="00000000">
        <w:rPr>
          <w:b w:val="1"/>
          <w:rtl w:val="0"/>
        </w:rPr>
        <w:t xml:space="preserve">Slack</w:t>
      </w:r>
      <w:r w:rsidDel="00000000" w:rsidR="00000000" w:rsidRPr="00000000">
        <w:rPr>
          <w:rtl w:val="0"/>
        </w:rPr>
        <w:t xml:space="preserve"> канал като нотификации.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Клиентската част е реализирана като single page application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използвайки библиотеката </w:t>
      </w:r>
      <w:r w:rsidDel="00000000" w:rsidR="00000000" w:rsidRPr="00000000">
        <w:rPr>
          <w:b w:val="1"/>
          <w:rtl w:val="0"/>
        </w:rPr>
        <w:t xml:space="preserve">Vue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aws-amplify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Клиента комуникира </w:t>
      </w:r>
      <w:r w:rsidDel="00000000" w:rsidR="00000000" w:rsidRPr="00000000">
        <w:rPr>
          <w:rtl w:val="0"/>
        </w:rPr>
        <w:t xml:space="preserve">директно с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 като аутентикацията на отделните потребители е реализиране с </w:t>
      </w:r>
      <w:r w:rsidDel="00000000" w:rsidR="00000000" w:rsidRPr="00000000">
        <w:rPr>
          <w:b w:val="1"/>
          <w:rtl w:val="0"/>
        </w:rPr>
        <w:t xml:space="preserve">AWS Cognito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  <w:sectPr>
          <w:footerReference r:id="rId9" w:type="default"/>
          <w:type w:val="nextPage"/>
          <w:pgSz w:h="16838" w:w="11906"/>
          <w:pgMar w:bottom="1417" w:top="1417" w:left="1417" w:right="1417" w:header="708" w:footer="708"/>
          <w:cols w:equalWidth="0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Реализация на хардуера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  <w:t xml:space="preserve">Свързване на </w:t>
      </w:r>
      <w:r w:rsidDel="00000000" w:rsidR="00000000" w:rsidRPr="00000000">
        <w:rPr>
          <w:b w:val="1"/>
          <w:i w:val="1"/>
          <w:rtl w:val="0"/>
        </w:rPr>
        <w:t xml:space="preserve">BME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280</w:t>
      </w:r>
      <w:r w:rsidDel="00000000" w:rsidR="00000000" w:rsidRPr="00000000">
        <w:rPr>
          <w:i w:val="1"/>
          <w:rtl w:val="0"/>
        </w:rPr>
        <w:t xml:space="preserve"> (температура, влажност и атмосферно налягане):</w:t>
      </w:r>
    </w:p>
    <w:tbl>
      <w:tblPr>
        <w:tblStyle w:val="Table2"/>
        <w:tblW w:w="300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410"/>
        <w:tblGridChange w:id="0">
          <w:tblGrid>
            <w:gridCol w:w="1590"/>
            <w:gridCol w:w="1410"/>
          </w:tblGrid>
        </w:tblGridChange>
      </w:tblGrid>
      <w:tr>
        <w:trPr>
          <w:trHeight w:val="4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jc w:val="center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Wemos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jc w:val="center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BME280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GND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GND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3.3V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VCC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D3 (gpio0)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SDA</w:t>
            </w:r>
          </w:p>
        </w:tc>
      </w:tr>
      <w:tr>
        <w:trPr>
          <w:trHeight w:val="1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D4 (gpio2)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SCL</w:t>
            </w:r>
          </w:p>
        </w:tc>
      </w:tr>
    </w:tbl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  <w:t xml:space="preserve">Свързване на </w:t>
      </w:r>
      <w:r w:rsidDel="00000000" w:rsidR="00000000" w:rsidRPr="00000000">
        <w:rPr>
          <w:b w:val="1"/>
          <w:i w:val="1"/>
          <w:rtl w:val="0"/>
        </w:rPr>
        <w:t xml:space="preserve">HC-SR04</w:t>
      </w:r>
      <w:r w:rsidDel="00000000" w:rsidR="00000000" w:rsidRPr="00000000">
        <w:rPr>
          <w:i w:val="1"/>
          <w:rtl w:val="0"/>
        </w:rPr>
        <w:t xml:space="preserve"> (разстояние):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3658235</wp:posOffset>
            </wp:positionH>
            <wp:positionV relativeFrom="paragraph">
              <wp:posOffset>495300</wp:posOffset>
            </wp:positionV>
            <wp:extent cx="2104708" cy="2813662"/>
            <wp:effectExtent b="0" l="0" r="0" t="0"/>
            <wp:wrapSquare wrapText="bothSides" distB="114300" distT="114300" distL="114300" distR="11430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4708" cy="2813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466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2985"/>
        <w:tblGridChange w:id="0">
          <w:tblGrid>
            <w:gridCol w:w="1680"/>
            <w:gridCol w:w="2985"/>
          </w:tblGrid>
        </w:tblGridChange>
      </w:tblGrid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jc w:val="center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Wemos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jc w:val="center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4292e"/>
                <w:sz w:val="24"/>
                <w:szCs w:val="24"/>
                <w:rtl w:val="0"/>
              </w:rPr>
              <w:t xml:space="preserve">HC-SR04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GND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GND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5V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VCC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D6 (gpio12)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Echo via voltage divider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D7 (gpio13)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Rule="auto"/>
              <w:rPr>
                <w:rFonts w:ascii="Arial" w:cs="Arial" w:eastAsia="Arial" w:hAnsi="Arial"/>
                <w:i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4292e"/>
                <w:sz w:val="24"/>
                <w:szCs w:val="24"/>
                <w:rtl w:val="0"/>
              </w:rPr>
              <w:t xml:space="preserve">Trigger</w:t>
            </w:r>
          </w:p>
        </w:tc>
      </w:tr>
    </w:tbl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  <w:sectPr>
          <w:type w:val="nextPage"/>
          <w:pgSz w:h="16838" w:w="11906"/>
          <w:pgMar w:bottom="1417" w:top="1417" w:left="1417" w:right="1417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Реализация на бизнес логиката</w:t>
        <w:br w:type="textWrapping"/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Системата е разделена на 3 основни подсистеми – сървър, клиентско приложение и хардуер.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Сървърното приложение е на база на microservice архитектура, като всички сървиси са базирани в Amazon Web Services (</w:t>
      </w:r>
      <w:r w:rsidDel="00000000" w:rsidR="00000000" w:rsidRPr="00000000">
        <w:rPr>
          <w:b w:val="1"/>
          <w:i w:val="1"/>
          <w:rtl w:val="0"/>
        </w:rPr>
        <w:t xml:space="preserve">AWS</w:t>
      </w:r>
      <w:r w:rsidDel="00000000" w:rsidR="00000000" w:rsidRPr="00000000">
        <w:rPr>
          <w:i w:val="1"/>
          <w:rtl w:val="0"/>
        </w:rPr>
        <w:t xml:space="preserve">). Всеки microservice отговаря за точно определена задача и може лесно да бъде подменен с друг. Също така заради използването на AWS системата може безпроблемно </w:t>
      </w:r>
      <w:r w:rsidDel="00000000" w:rsidR="00000000" w:rsidRPr="00000000">
        <w:rPr>
          <w:b w:val="1"/>
          <w:i w:val="1"/>
          <w:rtl w:val="0"/>
        </w:rPr>
        <w:t xml:space="preserve">да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скалира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  <w:sectPr>
          <w:type w:val="nextPage"/>
          <w:pgSz w:h="16838" w:w="11906"/>
          <w:pgMar w:bottom="1417" w:top="1417" w:left="1417" w:right="1417" w:header="708" w:footer="708"/>
          <w:cols w:equalWidth="0"/>
        </w:sectPr>
      </w:pPr>
      <w:r w:rsidDel="00000000" w:rsidR="00000000" w:rsidRPr="00000000">
        <w:rPr>
          <w:i w:val="1"/>
          <w:rtl w:val="0"/>
        </w:rPr>
        <w:t xml:space="preserve">Клиентското приложение е разделено на отделни domain-и (модули), водейки се от концепциите в Domain Driven Design. Всеки отделен модул отговаря за конкретно entity в приложението (например measurement, user, chart и т.н).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Реализация на потребителския интерфейс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Потребителският интерфейс представлява клиентско Single Page Application, реализиране с помощта на Vue.js и aws-amplify. Има основна структура на html документа, и всеки един компонент (изглед) се рендерира на определена част от екрана.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Екран за вписване в системата: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5259698" cy="448595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698" cy="4485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Основен екран след вписване на потребител, в който са показани последните измервания: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76326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Екран с всички измервания представени като графики, на който лесно може да се видят всички амплитуди: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63260" cy="3162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  <w:sectPr>
          <w:type w:val="nextPage"/>
          <w:pgSz w:h="16838" w:w="11906"/>
          <w:pgMar w:bottom="1417" w:top="1417" w:left="1417" w:right="1417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Внедряване на системата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Опишете изискванията и последователността от действия за внедряване на системата.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стартиране на устройството е нужно: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Да се конфигурира устройството посредством Arduino IDE с правилните данни за вход в интернет мрежата която ще използва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Micro USB и източник на ток - батерия/лаптоп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стартиране на клиентското приложение са нужни следните действия: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Изпълнява се командата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инсталира всички пакети, нужни на приложението.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Изпълнява се командата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</w:t>
      </w:r>
      <w:r w:rsidDel="00000000" w:rsidR="00000000" w:rsidRPr="00000000">
        <w:rPr>
          <w:b w:val="1"/>
          <w:i w:val="1"/>
          <w:rtl w:val="0"/>
        </w:rPr>
        <w:t xml:space="preserve">run serve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стартира приложението</w:t>
      </w:r>
      <w:r w:rsidDel="00000000" w:rsidR="00000000" w:rsidRPr="00000000">
        <w:rPr>
          <w:i w:val="1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Стартирането и конфигурирането на AWS сървисите става от конзолата (AWS console) или от командния ред, независимо от операционната система.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DynamoDB: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създават се полетата в базата от данни 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IoT Core: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създава се тема (topic) към която устройството използвайки MQTT изпраща данните си;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създава се act към DynamoDB с информацията получена от устройството;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създава се act към AWS Lambda с информацията получена от устройството;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създават се правилните роли и правила за да бъде тази комуникация възможна;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AWS Lambda: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качва се source кодът на lambda-та написан на Node.js и се конфигурира с API ключът нужен от Slack;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AWS Cognito: 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създава се user група с подходящите права за да има достъп за четене от таблицата създадена в точка 1  в DynamoDB;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17" w:top="1417" w:left="1417" w:right="1417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Arial" w:cs="Arial" w:eastAsia="Arial" w:hAnsi="Arial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jp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