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6FA67" w14:textId="77777777" w:rsidR="000D028A" w:rsidRPr="005B6E85" w:rsidRDefault="00000000" w:rsidP="005B6E85">
      <w:pPr>
        <w:pStyle w:val="Heading1"/>
        <w:spacing w:before="0"/>
        <w:rPr>
          <w:color w:val="auto"/>
          <w:sz w:val="36"/>
          <w:szCs w:val="36"/>
        </w:rPr>
      </w:pPr>
      <w:r w:rsidRPr="005B6E85">
        <w:rPr>
          <w:color w:val="auto"/>
          <w:sz w:val="36"/>
          <w:szCs w:val="36"/>
        </w:rPr>
        <w:t>Discovering Your District’s Defining Assets</w:t>
      </w:r>
    </w:p>
    <w:p w14:paraId="7A013C86" w14:textId="77777777" w:rsidR="000D028A" w:rsidRPr="005B6E85" w:rsidRDefault="00000000">
      <w:pPr>
        <w:rPr>
          <w:color w:val="262626" w:themeColor="text1" w:themeTint="D9"/>
        </w:rPr>
      </w:pPr>
      <w:r w:rsidRPr="005B6E85">
        <w:rPr>
          <w:color w:val="262626" w:themeColor="text1" w:themeTint="D9"/>
        </w:rPr>
        <w:t>A step-by-step guide for Main Street leaders</w:t>
      </w:r>
    </w:p>
    <w:p w14:paraId="1C7BCB4E" w14:textId="77777777" w:rsidR="000D028A" w:rsidRDefault="00000000">
      <w:r>
        <w:t>Understanding a district’s defining assets requires intentional research, community input, and strategic evaluation. Use this process to identify and document what makes a district unique.</w:t>
      </w:r>
    </w:p>
    <w:p w14:paraId="54333518" w14:textId="77777777" w:rsidR="000D028A" w:rsidRPr="005B6E85" w:rsidRDefault="00000000" w:rsidP="005B6E85">
      <w:pPr>
        <w:pStyle w:val="Heading2"/>
      </w:pPr>
      <w:r w:rsidRPr="005B6E85">
        <w:t>Step 1: Walk the District</w:t>
      </w:r>
    </w:p>
    <w:p w14:paraId="4B88B7AE" w14:textId="77777777" w:rsidR="000D028A" w:rsidRDefault="00000000">
      <w:pPr>
        <w:pStyle w:val="ListBullet"/>
      </w:pPr>
      <w:r>
        <w:t>Observe the physical and social environment.</w:t>
      </w:r>
    </w:p>
    <w:p w14:paraId="56FB5F82" w14:textId="77777777" w:rsidR="000D028A" w:rsidRDefault="00000000">
      <w:pPr>
        <w:pStyle w:val="ListBullet"/>
      </w:pPr>
      <w:r>
        <w:t>What catches your eye?</w:t>
      </w:r>
    </w:p>
    <w:p w14:paraId="048BDB24" w14:textId="77777777" w:rsidR="000D028A" w:rsidRDefault="00000000">
      <w:pPr>
        <w:pStyle w:val="ListBullet"/>
      </w:pPr>
      <w:r>
        <w:t>Which buildings, businesses, or public spaces feel unique?</w:t>
      </w:r>
    </w:p>
    <w:p w14:paraId="0462B08D" w14:textId="77777777" w:rsidR="000D028A" w:rsidRDefault="00000000">
      <w:pPr>
        <w:pStyle w:val="ListBullet"/>
      </w:pPr>
      <w:r>
        <w:t>Are there natural features that contribute to the sense of place?</w:t>
      </w:r>
    </w:p>
    <w:p w14:paraId="591BB4BD" w14:textId="77777777" w:rsidR="000D028A" w:rsidRDefault="00000000">
      <w:pPr>
        <w:pStyle w:val="ListBullet"/>
      </w:pPr>
      <w:r>
        <w:t>(Tip: Take notes and photos.)</w:t>
      </w:r>
    </w:p>
    <w:p w14:paraId="16F19440" w14:textId="77777777" w:rsidR="000D028A" w:rsidRDefault="00000000" w:rsidP="005B6E85">
      <w:pPr>
        <w:pStyle w:val="Heading2"/>
      </w:pPr>
      <w:r>
        <w:t>Step 2: Gather Community Input</w:t>
      </w:r>
    </w:p>
    <w:p w14:paraId="4CD109B5" w14:textId="77777777" w:rsidR="000D028A" w:rsidRDefault="00000000">
      <w:pPr>
        <w:pStyle w:val="ListBullet"/>
      </w:pPr>
      <w:r>
        <w:t>Engage your community.</w:t>
      </w:r>
    </w:p>
    <w:p w14:paraId="0A6E2FE9" w14:textId="77777777" w:rsidR="000D028A" w:rsidRDefault="00000000">
      <w:pPr>
        <w:pStyle w:val="ListBullet"/>
      </w:pPr>
      <w:r>
        <w:t>Conduct surveys, informal interviews, or host focus groups.</w:t>
      </w:r>
    </w:p>
    <w:p w14:paraId="4030B83D" w14:textId="77777777" w:rsidR="000D028A" w:rsidRDefault="00000000">
      <w:pPr>
        <w:pStyle w:val="ListBullet"/>
      </w:pPr>
      <w:r>
        <w:t>Ask residents, business owners, and stakeholders:</w:t>
      </w:r>
    </w:p>
    <w:p w14:paraId="2818D7A6" w14:textId="77777777" w:rsidR="000D028A" w:rsidRDefault="00000000">
      <w:pPr>
        <w:pStyle w:val="ListBullet"/>
      </w:pPr>
      <w:r>
        <w:t>What makes this district stand out? What are its best features?</w:t>
      </w:r>
    </w:p>
    <w:p w14:paraId="5C15CCD3" w14:textId="77777777" w:rsidR="000D028A" w:rsidRDefault="00000000" w:rsidP="005B6E85">
      <w:pPr>
        <w:pStyle w:val="Heading2"/>
      </w:pPr>
      <w:r>
        <w:t>Step 3: Review Existing Materials</w:t>
      </w:r>
    </w:p>
    <w:p w14:paraId="4B5FAC78" w14:textId="77777777" w:rsidR="000D028A" w:rsidRDefault="00000000">
      <w:pPr>
        <w:pStyle w:val="ListBullet"/>
      </w:pPr>
      <w:r>
        <w:t>Investigate how the district is already presented.</w:t>
      </w:r>
    </w:p>
    <w:p w14:paraId="30684E10" w14:textId="77777777" w:rsidR="000D028A" w:rsidRDefault="00000000">
      <w:pPr>
        <w:pStyle w:val="ListBullet"/>
      </w:pPr>
      <w:r>
        <w:t>Look at past marketing content, visitor guides, social media posts.</w:t>
      </w:r>
    </w:p>
    <w:p w14:paraId="2C8786D1" w14:textId="77777777" w:rsidR="000D028A" w:rsidRDefault="00000000">
      <w:pPr>
        <w:pStyle w:val="ListBullet"/>
      </w:pPr>
      <w:r>
        <w:t>Review economic reports and visitor data.</w:t>
      </w:r>
    </w:p>
    <w:p w14:paraId="664BD2F2" w14:textId="77777777" w:rsidR="000D028A" w:rsidRDefault="00000000">
      <w:pPr>
        <w:pStyle w:val="ListBullet"/>
      </w:pPr>
      <w:r>
        <w:t>Identify patterns in what draws people to the district.</w:t>
      </w:r>
    </w:p>
    <w:p w14:paraId="05E871A6" w14:textId="77777777" w:rsidR="000D028A" w:rsidRDefault="00000000" w:rsidP="005B6E85">
      <w:pPr>
        <w:pStyle w:val="Heading2"/>
      </w:pPr>
      <w:r>
        <w:t>Step 4: Document Key Elements</w:t>
      </w:r>
    </w:p>
    <w:p w14:paraId="415C97B7" w14:textId="77777777" w:rsidR="000D028A" w:rsidRDefault="00000000">
      <w:pPr>
        <w:pStyle w:val="ListBullet"/>
      </w:pPr>
      <w:r>
        <w:t>Categorize and compile your findings.</w:t>
      </w:r>
    </w:p>
    <w:p w14:paraId="183519FB" w14:textId="77777777" w:rsidR="000D028A" w:rsidRDefault="00000000">
      <w:pPr>
        <w:pStyle w:val="ListBullet"/>
      </w:pPr>
      <w:r>
        <w:t>What defining elements emerged across steps 1–3?</w:t>
      </w:r>
    </w:p>
    <w:p w14:paraId="48326522" w14:textId="77777777" w:rsidR="000D028A" w:rsidRDefault="00000000">
      <w:pPr>
        <w:pStyle w:val="ListBullet"/>
      </w:pPr>
      <w:r>
        <w:t>Organize them into categories:</w:t>
      </w:r>
    </w:p>
    <w:p w14:paraId="505EB6F9" w14:textId="77777777" w:rsidR="000D028A" w:rsidRDefault="00000000">
      <w:pPr>
        <w:pStyle w:val="ListBullet"/>
      </w:pPr>
      <w:r>
        <w:t>Historic, Cultural, Commercial, Natural, Social</w:t>
      </w:r>
    </w:p>
    <w:p w14:paraId="5C9E3E54" w14:textId="77777777" w:rsidR="000D028A" w:rsidRDefault="00000000" w:rsidP="005B6E85">
      <w:pPr>
        <w:pStyle w:val="Heading2"/>
      </w:pPr>
      <w:r>
        <w:t>Step 5: Connect Assets to Strategy</w:t>
      </w:r>
    </w:p>
    <w:p w14:paraId="3DCA0E7B" w14:textId="77777777" w:rsidR="000D028A" w:rsidRDefault="00000000">
      <w:pPr>
        <w:pStyle w:val="ListBullet"/>
      </w:pPr>
      <w:r>
        <w:t>Align with your brand and goals.</w:t>
      </w:r>
    </w:p>
    <w:p w14:paraId="0B9A6917" w14:textId="77777777" w:rsidR="000D028A" w:rsidRDefault="00000000">
      <w:pPr>
        <w:pStyle w:val="ListBullet"/>
      </w:pPr>
      <w:r>
        <w:t>Which assets best reflect your district’s identity and transformation goals?</w:t>
      </w:r>
    </w:p>
    <w:p w14:paraId="3DBE5A1E" w14:textId="77777777" w:rsidR="000D028A" w:rsidRDefault="00000000">
      <w:pPr>
        <w:pStyle w:val="ListBullet"/>
      </w:pPr>
      <w:r>
        <w:t>Highlight assets that resonate with both locals and visitors.</w:t>
      </w:r>
    </w:p>
    <w:p w14:paraId="4A9404AB" w14:textId="77777777" w:rsidR="000D028A" w:rsidRDefault="00000000">
      <w:pPr>
        <w:pStyle w:val="ListBullet"/>
      </w:pPr>
      <w:r>
        <w:t>Prioritize what to feature in future promotional efforts.</w:t>
      </w:r>
    </w:p>
    <w:p w14:paraId="2B83F0CF" w14:textId="77777777" w:rsidR="000D028A" w:rsidRDefault="00000000" w:rsidP="005B6E85">
      <w:pPr>
        <w:pStyle w:val="Heading2"/>
      </w:pPr>
      <w:r>
        <w:t>Step 6: Experiment and Refine</w:t>
      </w:r>
    </w:p>
    <w:p w14:paraId="7FBA031F" w14:textId="77777777" w:rsidR="000D028A" w:rsidRDefault="00000000">
      <w:pPr>
        <w:pStyle w:val="ListBullet"/>
      </w:pPr>
      <w:r>
        <w:t>Test and adapt your promotions.</w:t>
      </w:r>
    </w:p>
    <w:p w14:paraId="1E16B8DF" w14:textId="77777777" w:rsidR="000D028A" w:rsidRDefault="00000000">
      <w:pPr>
        <w:pStyle w:val="ListBullet"/>
      </w:pPr>
      <w:r>
        <w:t>Try different ways of featuring assets—campaigns, events, partnerships.</w:t>
      </w:r>
    </w:p>
    <w:p w14:paraId="68BEF92F" w14:textId="77777777" w:rsidR="000D028A" w:rsidRDefault="00000000">
      <w:pPr>
        <w:pStyle w:val="ListBullet"/>
      </w:pPr>
      <w:r>
        <w:t>Gather feedback.</w:t>
      </w:r>
    </w:p>
    <w:p w14:paraId="016A666E" w14:textId="77777777" w:rsidR="000D028A" w:rsidRDefault="00000000">
      <w:pPr>
        <w:pStyle w:val="ListBullet"/>
      </w:pPr>
      <w:r>
        <w:lastRenderedPageBreak/>
        <w:t>Adapt strategies based on what works best.</w:t>
      </w:r>
    </w:p>
    <w:p w14:paraId="69E84214" w14:textId="77777777" w:rsidR="000D028A" w:rsidRDefault="00000000">
      <w:r>
        <w:t>A clear understanding of defining assets helps districts build strong, authentic promotions that resonate with both residents and visitors.</w:t>
      </w:r>
    </w:p>
    <w:p w14:paraId="4D0CD0D9" w14:textId="77777777" w:rsidR="00AE69E8" w:rsidRDefault="00AE69E8"/>
    <w:p w14:paraId="5E4B8A97" w14:textId="0D8A2460" w:rsidR="00AE69E8" w:rsidRDefault="00AE69E8">
      <w:r>
        <w:t xml:space="preserve">Notes: </w:t>
      </w:r>
    </w:p>
    <w:p w14:paraId="7D572EB2" w14:textId="55F9BAA5" w:rsidR="00AE69E8" w:rsidRDefault="00AE69E8" w:rsidP="00AE69E8">
      <w:pPr>
        <w:pBdr>
          <w:top w:val="single" w:sz="6" w:space="14" w:color="auto"/>
          <w:bottom w:val="single" w:sz="6" w:space="1" w:color="auto"/>
        </w:pBdr>
      </w:pPr>
    </w:p>
    <w:p w14:paraId="742BF8EE" w14:textId="2806DA52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17580D67" w14:textId="14B99941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559A1F8F" w14:textId="504C93C8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03723AF6" w14:textId="5E8B904B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2A6ACEC8" w14:textId="532A3AC2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60AFCBCC" w14:textId="62767475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63663119" w14:textId="48D4AA89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75FEBE3A" w14:textId="17C4E0A0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4B3051F4" w14:textId="0F36E64F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0C72125B" w14:textId="17091185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6CEE8FA1" w14:textId="2151000E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7AF19794" w14:textId="56391615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20FE48BC" w14:textId="140F0816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24BD7A71" w14:textId="624181BE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35CBB091" w14:textId="3E78737F" w:rsidR="00AE69E8" w:rsidRDefault="00AE69E8">
      <w:pPr>
        <w:pBdr>
          <w:bottom w:val="single" w:sz="6" w:space="1" w:color="auto"/>
          <w:between w:val="single" w:sz="6" w:space="1" w:color="auto"/>
        </w:pBdr>
      </w:pPr>
    </w:p>
    <w:p w14:paraId="77D14A1E" w14:textId="19D413B2" w:rsidR="00AE69E8" w:rsidRDefault="00AE69E8" w:rsidP="00AE69E8">
      <w:pPr>
        <w:pBdr>
          <w:bottom w:val="single" w:sz="6" w:space="1" w:color="auto"/>
          <w:between w:val="single" w:sz="6" w:space="1" w:color="auto"/>
        </w:pBdr>
        <w:tabs>
          <w:tab w:val="left" w:pos="4835"/>
        </w:tabs>
      </w:pPr>
      <w:r>
        <w:tab/>
      </w:r>
    </w:p>
    <w:p w14:paraId="54438A50" w14:textId="77777777" w:rsidR="00AE69E8" w:rsidRPr="00AE69E8" w:rsidRDefault="00AE69E8" w:rsidP="00AE69E8">
      <w:pPr>
        <w:pBdr>
          <w:bottom w:val="single" w:sz="6" w:space="1" w:color="auto"/>
          <w:between w:val="single" w:sz="6" w:space="1" w:color="auto"/>
        </w:pBdr>
        <w:tabs>
          <w:tab w:val="left" w:pos="4835"/>
        </w:tabs>
        <w:rPr>
          <w:sz w:val="44"/>
          <w:szCs w:val="44"/>
        </w:rPr>
      </w:pPr>
    </w:p>
    <w:sectPr w:rsidR="00AE69E8" w:rsidRPr="00AE69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1678432">
    <w:abstractNumId w:val="8"/>
  </w:num>
  <w:num w:numId="2" w16cid:durableId="1322272850">
    <w:abstractNumId w:val="6"/>
  </w:num>
  <w:num w:numId="3" w16cid:durableId="1835291528">
    <w:abstractNumId w:val="5"/>
  </w:num>
  <w:num w:numId="4" w16cid:durableId="1204101284">
    <w:abstractNumId w:val="4"/>
  </w:num>
  <w:num w:numId="5" w16cid:durableId="2002081064">
    <w:abstractNumId w:val="7"/>
  </w:num>
  <w:num w:numId="6" w16cid:durableId="336202235">
    <w:abstractNumId w:val="3"/>
  </w:num>
  <w:num w:numId="7" w16cid:durableId="1402873571">
    <w:abstractNumId w:val="2"/>
  </w:num>
  <w:num w:numId="8" w16cid:durableId="333381706">
    <w:abstractNumId w:val="1"/>
  </w:num>
  <w:num w:numId="9" w16cid:durableId="1752433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28A"/>
    <w:rsid w:val="0015074B"/>
    <w:rsid w:val="0029639D"/>
    <w:rsid w:val="00326F90"/>
    <w:rsid w:val="005B6E85"/>
    <w:rsid w:val="005F45D4"/>
    <w:rsid w:val="00AA1D8D"/>
    <w:rsid w:val="00AE69E8"/>
    <w:rsid w:val="00B47730"/>
    <w:rsid w:val="00BA521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92793"/>
  <w14:defaultImageDpi w14:val="300"/>
  <w15:docId w15:val="{49195EEE-9ED8-FC4C-8576-9E1989A93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E8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6E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Casie Cameron</cp:lastModifiedBy>
  <cp:revision>4</cp:revision>
  <dcterms:created xsi:type="dcterms:W3CDTF">2025-04-01T18:46:00Z</dcterms:created>
  <dcterms:modified xsi:type="dcterms:W3CDTF">2025-04-01T18:47:00Z</dcterms:modified>
  <cp:category/>
</cp:coreProperties>
</file>