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B5E20"/>
          <w:sz w:val="44"/>
          <w:szCs w:val="44"/>
        </w:rPr>
        <w:t xml:space="preserve">AGRISENSO Plus Baseline Survey</w:t>
      </w:r>
    </w:p>
    <w:p>
      <w:pPr>
        <w:spacing w:after="100"/>
        <w:jc w:val="center"/>
      </w:pPr>
      <w:r>
        <w:rPr>
          <w:b/>
          <w:bCs/>
          <w:color w:val="555555"/>
          <w:sz w:val="30"/>
          <w:szCs w:val="30"/>
        </w:rPr>
        <w:t xml:space="preserve">Enumerator Guide: How to Fill Out the Survey App</w:t>
      </w:r>
    </w:p>
    <w:p>
      <w:pPr>
        <w:spacing w:after="400"/>
        <w:jc w:val="center"/>
      </w:pPr>
      <w:r>
        <w:rPr>
          <w:i/>
          <w:iCs/>
          <w:color w:val="555555"/>
          <w:sz w:val="22"/>
          <w:szCs w:val="22"/>
        </w:rPr>
        <w:t xml:space="preserve">For Instrument A (Borrowers) and Instrument B (Non-Borrower Comparison Group)</w:t>
      </w:r>
    </w:p>
    <w:p>
      <w:pPr>
        <w:spacing w:after="40"/>
        <w:jc w:val="center"/>
      </w:pPr>
      <w:r>
        <w:rPr>
          <w:sz w:val="20"/>
          <w:szCs w:val="20"/>
        </w:rPr>
        <w:t xml:space="preserve">Prepared for DRVN Business Consulting Co.</w:t>
      </w:r>
    </w:p>
    <w:p>
      <w:pPr>
        <w:spacing w:after="40"/>
        <w:jc w:val="center"/>
      </w:pPr>
      <w:r>
        <w:rPr>
          <w:sz w:val="20"/>
          <w:szCs w:val="20"/>
        </w:rPr>
        <w:t xml:space="preserve">ACPC AGRISENSO Plus Program Baseline Study</w:t>
      </w:r>
    </w:p>
    <w:p>
      <w:r>
        <w:br w:type="page"/>
      </w:r>
    </w:p>
    <w:p>
      <w:pPr>
        <w:pStyle w:val="Heading1"/>
        <w:spacing w:after="160" w:before="320"/>
      </w:pPr>
      <w:r>
        <w:t xml:space="preserve">Contents</w:t>
      </w:r>
    </w:p>
    <w:p>
      <w:pPr>
        <w:spacing w:after="160"/>
      </w:pPr>
      <w:r>
        <w:t xml:space="preserve">1.  Before You Start</w:t>
      </w:r>
    </w:p>
    <w:p>
      <w:pPr>
        <w:spacing w:after="160"/>
      </w:pPr>
      <w:r>
        <w:t xml:space="preserve">2.  Opening the Survey and Choosing the Right Questionnaire</w:t>
      </w:r>
    </w:p>
    <w:p>
      <w:pPr>
        <w:spacing w:after="160"/>
      </w:pPr>
      <w:r>
        <w:t xml:space="preserve">3.  Understanding the Screen</w:t>
      </w:r>
    </w:p>
    <w:p>
      <w:pPr>
        <w:spacing w:after="160"/>
      </w:pPr>
      <w:r>
        <w:t xml:space="preserve">4.  Filling In Different Types of Questions</w:t>
      </w:r>
    </w:p>
    <w:p>
      <w:pPr>
        <w:spacing w:after="160"/>
      </w:pPr>
      <w:r>
        <w:t xml:space="preserve">5.  Every Question Is Required — Here Is How That Works</w:t>
      </w:r>
    </w:p>
    <w:p>
      <w:pPr>
        <w:spacing w:after="160"/>
      </w:pPr>
      <w:r>
        <w:t xml:space="preserve">6.  Saving, Working Offline, and Syncing</w:t>
      </w:r>
    </w:p>
    <w:p>
      <w:pPr>
        <w:spacing w:after="160"/>
      </w:pPr>
      <w:r>
        <w:t xml:space="preserve">7.  Submitting a Response</w:t>
      </w:r>
    </w:p>
    <w:p>
      <w:pPr>
        <w:spacing w:after="160"/>
      </w:pPr>
      <w:r>
        <w:t xml:space="preserve">8.  Common Problems and What To Do</w:t>
      </w:r>
    </w:p>
    <w:p>
      <w:pPr>
        <w:spacing w:after="160"/>
      </w:pPr>
      <w:r>
        <w:t xml:space="preserve">     Quick Reference Card</w:t>
      </w:r>
    </w:p>
    <w:p>
      <w:r>
        <w:br w:type="page"/>
      </w:r>
    </w:p>
    <w:p>
      <w:pPr>
        <w:pStyle w:val="Heading1"/>
        <w:spacing w:after="160" w:before="320"/>
      </w:pPr>
      <w:r>
        <w:t xml:space="preserve">1. Before You Start</w:t>
      </w:r>
    </w:p>
    <w:p>
      <w:pPr>
        <w:spacing w:after="160"/>
      </w:pPr>
      <w:r>
        <w:t xml:space="preserve">You will need:</w:t>
      </w:r>
    </w:p>
    <w:p>
      <w:pPr>
        <w:pStyle w:val="ListParagraph"/>
        <w:numPr>
          <w:ilvl w:val="0"/>
          <w:numId w:val="2"/>
        </w:numPr>
        <w:spacing w:after="80"/>
      </w:pPr>
      <w:r>
        <w:t xml:space="preserve">A smartphone, tablet, or laptop with an internet browser (Chrome, Safari, or Edge all work).</w:t>
      </w:r>
    </w:p>
    <w:p>
      <w:pPr>
        <w:pStyle w:val="ListParagraph"/>
        <w:numPr>
          <w:ilvl w:val="0"/>
          <w:numId w:val="2"/>
        </w:numPr>
        <w:spacing w:after="80"/>
      </w:pPr>
      <w:r>
        <w:t xml:space="preserve">An internet connection to open the survey link and load the questionnaire the first time.</w:t>
      </w:r>
    </w:p>
    <w:p>
      <w:pPr>
        <w:pStyle w:val="ListParagraph"/>
        <w:numPr>
          <w:ilvl w:val="0"/>
          <w:numId w:val="2"/>
        </w:numPr>
        <w:spacing w:after="80"/>
      </w:pPr>
      <w:r>
        <w:t xml:space="preserve">The survey link, bookmarked or saved where you can find it quickly in the field.</w:t>
      </w:r>
    </w:p>
    <w:p>
      <w:pPr>
        <w:spacing w:after="160"/>
      </w:pPr>
      <w:r>
        <w:t xml:space="preserve"/>
      </w:r>
    </w:p>
    <w:tbl>
      <w:tblPr>
        <w:tblW w:type="pct" w:w="100%"/>
        <w:tblBorders>
          <w:top w:val="single" w:color="7A5B00" w:sz="4"/>
          <w:left w:val="single" w:color="7A5B00" w:sz="4"/>
          <w:bottom w:val="single" w:color="7A5B00" w:sz="4"/>
          <w:right w:val="single" w:color="7A5B00" w:sz="4"/>
          <w:insideH w:val="none" w:color="FFFFFF" w:sz="0"/>
          <w:insideV w:val="none" w:color="FFFFFF" w:sz="0"/>
        </w:tblBorders>
      </w:tblPr>
      <w:tblGrid>
        <w:gridCol w:w="100"/>
      </w:tblGrid>
      <w:tr>
        <w:tc>
          <w:tcPr>
            <w:shd w:fill="FBFBFB" w:val="clear"/>
            <w:tcMar>
              <w:top w:type="dxa" w:w="160"/>
              <w:left w:type="dxa" w:w="200"/>
              <w:bottom w:type="dxa" w:w="160"/>
              <w:right w:type="dxa" w:w="200"/>
            </w:tcMar>
          </w:tcPr>
          <w:p>
            <w:pPr>
              <w:spacing w:after="80"/>
            </w:pPr>
            <w:r>
              <w:rPr>
                <w:b/>
                <w:bCs/>
                <w:color w:val="7A5B00"/>
              </w:rPr>
              <w:t xml:space="preserve">Good to know</w:t>
            </w:r>
          </w:p>
          <w:p>
            <w:pPr>
              <w:spacing w:after="40"/>
            </w:pPr>
            <w:r>
              <w:rPr>
                <w:sz w:val="21"/>
                <w:szCs w:val="21"/>
              </w:rPr>
              <w:t xml:space="preserve">Once the survey page has loaded, brief internet drop-outs during an interview are OK — the app saves your answers on the device and syncs them once you’re back online. See Section 6.</w:t>
            </w:r>
          </w:p>
        </w:tc>
      </w:tr>
    </w:tbl>
    <w:p>
      <w:pPr>
        <w:spacing w:after="160"/>
      </w:pPr>
      <w:r>
        <w:t xml:space="preserve"/>
      </w:r>
    </w:p>
    <w:p>
      <w:pPr>
        <w:spacing w:after="160"/>
      </w:pPr>
      <w:r>
        <w:t xml:space="preserve">Before your first real interview, do a practice run: open the survey, fill it out with made-up answers, and submit it. Ask your supervisor to confirm it appears correctly in the database, then let them know so that test entry can be deleted.</w:t>
      </w:r>
    </w:p>
    <w:p>
      <w:pPr>
        <w:pStyle w:val="Heading1"/>
        <w:spacing w:after="160" w:before="320"/>
      </w:pPr>
      <w:r>
        <w:t xml:space="preserve">2. Opening the Survey and Choosing the Right Questionnaire</w:t>
      </w:r>
    </w:p>
    <w:p>
      <w:pPr>
        <w:pStyle w:val="ListParagraph"/>
        <w:numPr>
          <w:ilvl w:val="0"/>
          <w:numId w:val="3"/>
        </w:numPr>
        <w:spacing w:after="100"/>
      </w:pPr>
      <w:r>
        <w:t xml:space="preserve">Open the survey link in your browser.</w:t>
      </w:r>
    </w:p>
    <w:p>
      <w:pPr>
        <w:pStyle w:val="ListParagraph"/>
        <w:numPr>
          <w:ilvl w:val="0"/>
          <w:numId w:val="3"/>
        </w:numPr>
        <w:spacing w:after="100"/>
      </w:pPr>
      <w:r>
        <w:t xml:space="preserve">You will see two buttons: "Instrument A — AGRISENSO Plus Borrowers" and "Instrument B — Non-Borrower Comparison Group".</w:t>
      </w:r>
    </w:p>
    <w:p>
      <w:pPr>
        <w:pStyle w:val="ListParagraph"/>
        <w:numPr>
          <w:ilvl w:val="0"/>
          <w:numId w:val="3"/>
        </w:numPr>
        <w:spacing w:after="100"/>
      </w:pPr>
      <w:r>
        <w:t xml:space="preserve">Confirm your respondent’s status against your sampling frame before choosing:</w:t>
      </w:r>
    </w:p>
    <w:p>
      <w:pPr>
        <w:spacing w:after="160"/>
      </w:pPr>
      <w:r>
        <w:rPr>
          <w:color w:val="555555"/>
          <w:sz w:val="21"/>
          <w:szCs w:val="21"/>
        </w:rPr>
        <w:t xml:space="preserve">    •  Instrument A — the respondent currently has an AGRISENSO Plus loan with LANDBANK.</w:t>
      </w:r>
    </w:p>
    <w:p>
      <w:pPr>
        <w:spacing w:after="160"/>
      </w:pPr>
      <w:r>
        <w:rPr>
          <w:color w:val="555555"/>
          <w:sz w:val="21"/>
          <w:szCs w:val="21"/>
        </w:rPr>
        <w:t xml:space="preserve">    •  Instrument B — the respondent does NOT have, and has never had, an AGRISENSO Plus loan.</w:t>
      </w:r>
    </w:p>
    <w:p>
      <w:pPr>
        <w:spacing w:after="160"/>
      </w:pPr>
      <w:r>
        <w:t xml:space="preserve"/>
      </w:r>
    </w:p>
    <w:tbl>
      <w:tblPr>
        <w:tblW w:type="pct" w:w="100%"/>
        <w:tblBorders>
          <w:top w:val="single" w:color="C62828" w:sz="4"/>
          <w:left w:val="single" w:color="C62828" w:sz="4"/>
          <w:bottom w:val="single" w:color="C62828" w:sz="4"/>
          <w:right w:val="single" w:color="C62828" w:sz="4"/>
          <w:insideH w:val="none" w:color="FFFFFF" w:sz="0"/>
          <w:insideV w:val="none" w:color="FFFFFF" w:sz="0"/>
        </w:tblBorders>
      </w:tblPr>
      <w:tblGrid>
        <w:gridCol w:w="100"/>
      </w:tblGrid>
      <w:tr>
        <w:tc>
          <w:tcPr>
            <w:shd w:fill="FBFBFB" w:val="clear"/>
            <w:tcMar>
              <w:top w:type="dxa" w:w="160"/>
              <w:left w:type="dxa" w:w="200"/>
              <w:bottom w:type="dxa" w:w="160"/>
              <w:right w:type="dxa" w:w="200"/>
            </w:tcMar>
          </w:tcPr>
          <w:p>
            <w:pPr>
              <w:spacing w:after="80"/>
            </w:pPr>
            <w:r>
              <w:rPr>
                <w:b/>
                <w:bCs/>
                <w:color w:val="C62828"/>
              </w:rPr>
              <w:t xml:space="preserve">Important</w:t>
            </w:r>
          </w:p>
          <w:p>
            <w:pPr>
              <w:spacing w:after="40"/>
            </w:pPr>
            <w:r>
              <w:rPr>
                <w:sz w:val="21"/>
                <w:szCs w:val="21"/>
              </w:rPr>
              <w:t xml:space="preserve">Choosing the wrong instrument means the wrong set of questions is asked. If you are unsure of a respondent’s status, check with your supervisor before starting the interview.</w:t>
            </w:r>
          </w:p>
        </w:tc>
      </w:tr>
    </w:tbl>
    <w:p>
      <w:pPr>
        <w:spacing w:after="160"/>
      </w:pPr>
      <w:r>
        <w:t xml:space="preserve"/>
      </w:r>
    </w:p>
    <w:p>
      <w:pPr>
        <w:spacing w:after="160"/>
      </w:pPr>
      <w:r>
        <w:t xml:space="preserve">If you already started this instrument on this device and didn’t finish, the app will ask "Resume it?" — choose Resume to continue where you left off, or Cancel to start a fresh, blank response.</w:t>
      </w:r>
    </w:p>
    <w:p>
      <w:pPr>
        <w:pStyle w:val="Heading1"/>
        <w:spacing w:after="160" w:before="320"/>
      </w:pPr>
      <w:r>
        <w:t xml:space="preserve">3. Understanding the Screen</w:t>
      </w:r>
    </w:p>
    <w:p>
      <w:pPr>
        <w:spacing w:after="160"/>
      </w:pPr>
      <w:r>
        <w:t xml:space="preserve">Each screen shows one section of the questionnaire at a time (for example, "Section C — Farm, Fishery, and Enterprise Profile"). The layout is the same throughout: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2E7D32" w:val="clear"/>
            <w:tcMar>
              <w:top w:type="dxa" w:w="100"/>
              <w:left w:type="dxa" w:w="120"/>
              <w:bottom w:type="dxa" w:w="100"/>
              <w:right w:type="dxa" w:w="120"/>
            </w:tcMar>
            <w:vAlign w:val="center"/>
          </w:tcPr>
          <w:p>
            <w:r>
              <w:rPr>
                <w:b/>
                <w:bCs/>
                <w:color w:val="FFFFFF"/>
                <w:sz w:val="20"/>
                <w:szCs w:val="20"/>
              </w:rPr>
              <w:t xml:space="preserve">Element</w:t>
            </w:r>
          </w:p>
        </w:tc>
        <w:tc>
          <w:tcPr>
            <w:tcW w:type="dxa" w:w="3200"/>
            <w:shd w:fill="2E7D32" w:val="clear"/>
            <w:tcMar>
              <w:top w:type="dxa" w:w="100"/>
              <w:left w:type="dxa" w:w="120"/>
              <w:bottom w:type="dxa" w:w="100"/>
              <w:right w:type="dxa" w:w="120"/>
            </w:tcMar>
            <w:vAlign w:val="center"/>
          </w:tcPr>
          <w:p>
            <w:r>
              <w:rPr>
                <w:b/>
                <w:bCs/>
                <w:color w:val="FFFFFF"/>
                <w:sz w:val="20"/>
                <w:szCs w:val="20"/>
              </w:rPr>
              <w:t xml:space="preserve">What it does</w:t>
            </w:r>
          </w:p>
        </w:tc>
      </w:tr>
      <w:tr>
        <w:tc>
          <w:tcPr>
            <w:tcW w:type="dxa" w:w="3200"/>
            <w:shd w:fill="FFFFFF" w:val="clear"/>
            <w:tcMar>
              <w:top w:type="dxa" w:w="90"/>
              <w:left w:type="dxa" w:w="120"/>
              <w:bottom w:type="dxa" w:w="90"/>
              <w:right w:type="dxa" w:w="120"/>
            </w:tcMar>
          </w:tcPr>
          <w:p>
            <w:r>
              <w:rPr>
                <w:b/>
                <w:bCs/>
                <w:sz w:val="20"/>
                <w:szCs w:val="20"/>
              </w:rPr>
              <w:t xml:space="preserve">Top bar</w:t>
            </w:r>
          </w:p>
        </w:tc>
        <w:tc>
          <w:tcPr>
            <w:tcW w:type="dxa" w:w="6300"/>
            <w:shd w:fill="FFFFFF" w:val="clear"/>
            <w:tcMar>
              <w:top w:type="dxa" w:w="90"/>
              <w:left w:type="dxa" w:w="120"/>
              <w:bottom w:type="dxa" w:w="90"/>
              <w:right w:type="dxa" w:w="120"/>
            </w:tcMar>
          </w:tcPr>
          <w:p>
            <w:r>
              <w:rPr>
                <w:sz w:val="20"/>
                <w:szCs w:val="20"/>
              </w:rPr>
              <w:t xml:space="preserve">Shows which section you’re on and how many sections remain (e.g. "Section 5 of 14").</w:t>
            </w:r>
          </w:p>
        </w:tc>
      </w:tr>
      <w:tr>
        <w:tc>
          <w:tcPr>
            <w:tcW w:type="dxa" w:w="3200"/>
            <w:shd w:fill="F0F3EF" w:val="clear"/>
            <w:tcMar>
              <w:top w:type="dxa" w:w="90"/>
              <w:left w:type="dxa" w:w="120"/>
              <w:bottom w:type="dxa" w:w="90"/>
              <w:right w:type="dxa" w:w="120"/>
            </w:tcMar>
          </w:tcPr>
          <w:p>
            <w:r>
              <w:rPr>
                <w:b/>
                <w:bCs/>
                <w:sz w:val="20"/>
                <w:szCs w:val="20"/>
              </w:rPr>
              <w:t xml:space="preserve">Yellow reminder banner</w:t>
            </w:r>
          </w:p>
        </w:tc>
        <w:tc>
          <w:tcPr>
            <w:tcW w:type="dxa" w:w="6300"/>
            <w:shd w:fill="F0F3EF" w:val="clear"/>
            <w:tcMar>
              <w:top w:type="dxa" w:w="90"/>
              <w:left w:type="dxa" w:w="120"/>
              <w:bottom w:type="dxa" w:w="90"/>
              <w:right w:type="dxa" w:w="120"/>
            </w:tcMar>
          </w:tcPr>
          <w:p>
            <w:r>
              <w:rPr>
                <w:sz w:val="20"/>
                <w:szCs w:val="20"/>
              </w:rPr>
              <w:t xml:space="preserve">A standing reminder that every question on the page is required, and that N/A is available for questions that don’t apply.</w:t>
            </w:r>
          </w:p>
        </w:tc>
      </w:tr>
      <w:tr>
        <w:tc>
          <w:tcPr>
            <w:tcW w:type="dxa" w:w="3200"/>
            <w:shd w:fill="FFFFFF" w:val="clear"/>
            <w:tcMar>
              <w:top w:type="dxa" w:w="90"/>
              <w:left w:type="dxa" w:w="120"/>
              <w:bottom w:type="dxa" w:w="90"/>
              <w:right w:type="dxa" w:w="120"/>
            </w:tcMar>
          </w:tcPr>
          <w:p>
            <w:r>
              <w:rPr>
                <w:b/>
                <w:bCs/>
                <w:sz w:val="20"/>
                <w:szCs w:val="20"/>
              </w:rPr>
              <w:t xml:space="preserve">Question boxes</w:t>
            </w:r>
          </w:p>
        </w:tc>
        <w:tc>
          <w:tcPr>
            <w:tcW w:type="dxa" w:w="6300"/>
            <w:shd w:fill="FFFFFF" w:val="clear"/>
            <w:tcMar>
              <w:top w:type="dxa" w:w="90"/>
              <w:left w:type="dxa" w:w="120"/>
              <w:bottom w:type="dxa" w:w="90"/>
              <w:right w:type="dxa" w:w="120"/>
            </w:tcMar>
          </w:tcPr>
          <w:p>
            <w:r>
              <w:rPr>
                <w:sz w:val="20"/>
                <w:szCs w:val="20"/>
              </w:rPr>
              <w:t xml:space="preserve">Each numbered question (e.g. "C4. Farm / Production Area") with its answer field(s) underneath. Grey italic text under a heading is an instruction for you, the enumerator — read it, but it is not itself a question to answer.</w:t>
            </w:r>
          </w:p>
        </w:tc>
      </w:tr>
      <w:tr>
        <w:tc>
          <w:tcPr>
            <w:tcW w:type="dxa" w:w="3200"/>
            <w:shd w:fill="F0F3EF" w:val="clear"/>
            <w:tcMar>
              <w:top w:type="dxa" w:w="90"/>
              <w:left w:type="dxa" w:w="120"/>
              <w:bottom w:type="dxa" w:w="90"/>
              <w:right w:type="dxa" w:w="120"/>
            </w:tcMar>
          </w:tcPr>
          <w:p>
            <w:r>
              <w:rPr>
                <w:b/>
                <w:bCs/>
                <w:sz w:val="20"/>
                <w:szCs w:val="20"/>
              </w:rPr>
              <w:t xml:space="preserve">Previous / Next</w:t>
            </w:r>
          </w:p>
        </w:tc>
        <w:tc>
          <w:tcPr>
            <w:tcW w:type="dxa" w:w="6300"/>
            <w:shd w:fill="F0F3EF" w:val="clear"/>
            <w:tcMar>
              <w:top w:type="dxa" w:w="90"/>
              <w:left w:type="dxa" w:w="120"/>
              <w:bottom w:type="dxa" w:w="90"/>
              <w:right w:type="dxa" w:w="120"/>
            </w:tcMar>
          </w:tcPr>
          <w:p>
            <w:r>
              <w:rPr>
                <w:sz w:val="20"/>
                <w:szCs w:val="20"/>
              </w:rPr>
              <w:t xml:space="preserve">Move between sections. Next will not let you continue until every question on the current page has an answer.</w:t>
            </w:r>
          </w:p>
        </w:tc>
      </w:tr>
      <w:tr>
        <w:tc>
          <w:tcPr>
            <w:tcW w:type="dxa" w:w="3200"/>
            <w:shd w:fill="FFFFFF" w:val="clear"/>
            <w:tcMar>
              <w:top w:type="dxa" w:w="90"/>
              <w:left w:type="dxa" w:w="120"/>
              <w:bottom w:type="dxa" w:w="90"/>
              <w:right w:type="dxa" w:w="120"/>
            </w:tcMar>
          </w:tcPr>
          <w:p>
            <w:r>
              <w:rPr>
                <w:b/>
                <w:bCs/>
                <w:sz w:val="20"/>
                <w:szCs w:val="20"/>
              </w:rPr>
              <w:t xml:space="preserve">Submit Response</w:t>
            </w:r>
          </w:p>
        </w:tc>
        <w:tc>
          <w:tcPr>
            <w:tcW w:type="dxa" w:w="6300"/>
            <w:shd w:fill="FFFFFF" w:val="clear"/>
            <w:tcMar>
              <w:top w:type="dxa" w:w="90"/>
              <w:left w:type="dxa" w:w="120"/>
              <w:bottom w:type="dxa" w:w="90"/>
              <w:right w:type="dxa" w:w="120"/>
            </w:tcMar>
          </w:tcPr>
          <w:p>
            <w:r>
              <w:rPr>
                <w:sz w:val="20"/>
                <w:szCs w:val="20"/>
              </w:rPr>
              <w:t xml:space="preserve">Appears only on the last section. Saves the completed interview to the database.</w:t>
            </w:r>
          </w:p>
        </w:tc>
      </w:tr>
      <w:tr>
        <w:tc>
          <w:tcPr>
            <w:tcW w:type="dxa" w:w="3200"/>
            <w:shd w:fill="F0F3EF" w:val="clear"/>
            <w:tcMar>
              <w:top w:type="dxa" w:w="90"/>
              <w:left w:type="dxa" w:w="120"/>
              <w:bottom w:type="dxa" w:w="90"/>
              <w:right w:type="dxa" w:w="120"/>
            </w:tcMar>
          </w:tcPr>
          <w:p>
            <w:r>
              <w:rPr>
                <w:b/>
                <w:bCs/>
                <w:sz w:val="20"/>
                <w:szCs w:val="20"/>
              </w:rPr>
              <w:t xml:space="preserve">Sync Pending Now</w:t>
            </w:r>
          </w:p>
        </w:tc>
        <w:tc>
          <w:tcPr>
            <w:tcW w:type="dxa" w:w="6300"/>
            <w:shd w:fill="F0F3EF" w:val="clear"/>
            <w:tcMar>
              <w:top w:type="dxa" w:w="90"/>
              <w:left w:type="dxa" w:w="120"/>
              <w:bottom w:type="dxa" w:w="90"/>
              <w:right w:type="dxa" w:w="120"/>
            </w:tcMar>
          </w:tcPr>
          <w:p>
            <w:r>
              <w:rPr>
                <w:sz w:val="20"/>
                <w:szCs w:val="20"/>
              </w:rPr>
              <w:t xml:space="preserve">Manually retries any responses that were saved on this device but haven’t reached the database yet (see Section 6).</w:t>
            </w:r>
          </w:p>
        </w:tc>
      </w:tr>
      <w:tr>
        <w:tc>
          <w:tcPr>
            <w:tcW w:type="dxa" w:w="3200"/>
            <w:shd w:fill="FFFFFF" w:val="clear"/>
            <w:tcMar>
              <w:top w:type="dxa" w:w="90"/>
              <w:left w:type="dxa" w:w="120"/>
              <w:bottom w:type="dxa" w:w="90"/>
              <w:right w:type="dxa" w:w="120"/>
            </w:tcMar>
          </w:tcPr>
          <w:p>
            <w:r>
              <w:rPr>
                <w:b/>
                <w:bCs/>
                <w:sz w:val="20"/>
                <w:szCs w:val="20"/>
              </w:rPr>
              <w:t xml:space="preserve">← Menu</w:t>
            </w:r>
          </w:p>
        </w:tc>
        <w:tc>
          <w:tcPr>
            <w:tcW w:type="dxa" w:w="6300"/>
            <w:shd w:fill="FFFFFF" w:val="clear"/>
            <w:tcMar>
              <w:top w:type="dxa" w:w="90"/>
              <w:left w:type="dxa" w:w="120"/>
              <w:bottom w:type="dxa" w:w="90"/>
              <w:right w:type="dxa" w:w="120"/>
            </w:tcMar>
          </w:tcPr>
          <w:p>
            <w:r>
              <w:rPr>
                <w:sz w:val="20"/>
                <w:szCs w:val="20"/>
              </w:rPr>
              <w:t xml:space="preserve">Leaves the current response (auto-saved) and returns to the instrument-choice screen.</w:t>
            </w:r>
          </w:p>
        </w:tc>
      </w:tr>
    </w:tbl>
    <w:p>
      <w:pPr>
        <w:pStyle w:val="Heading1"/>
        <w:spacing w:after="160" w:before="320"/>
      </w:pPr>
      <w:r>
        <w:t xml:space="preserve">4. Filling In Different Types of Questions</w:t>
      </w:r>
    </w:p>
    <w:p>
      <w:pPr>
        <w:pStyle w:val="Heading2"/>
        <w:spacing w:after="120" w:before="240"/>
      </w:pPr>
      <w:r>
        <w:t xml:space="preserve">4.1 Short-answer questions</w:t>
      </w:r>
    </w:p>
    <w:p>
      <w:pPr>
        <w:spacing w:after="160"/>
      </w:pPr>
      <w:r>
        <w:t xml:space="preserve">A single-line box. Type the answer directly — names, numbers, dates, amounts, etc.</w:t>
      </w:r>
    </w:p>
    <w:p>
      <w:pPr>
        <w:pStyle w:val="Heading2"/>
        <w:spacing w:after="120" w:before="240"/>
      </w:pPr>
      <w:r>
        <w:t xml:space="preserve">4.2 Longer answer questions (e.g. "Reason", "Why?")</w:t>
      </w:r>
    </w:p>
    <w:p>
      <w:pPr>
        <w:spacing w:after="160"/>
      </w:pPr>
      <w:r>
        <w:t xml:space="preserve">A larger text box for a sentence or two. Keep it brief and factual, in the respondent’s own words where possible.</w:t>
      </w:r>
    </w:p>
    <w:p>
      <w:pPr>
        <w:pStyle w:val="Heading2"/>
        <w:spacing w:after="120" w:before="240"/>
      </w:pPr>
      <w:r>
        <w:t xml:space="preserve">4.3 Choose-one questions</w:t>
      </w:r>
    </w:p>
    <w:p>
      <w:pPr>
        <w:spacing w:after="160"/>
      </w:pPr>
      <w:r>
        <w:t xml:space="preserve">A list of round buttons (radio buttons) — tap the one answer that applies. If you tap a different option, your first choice is automatically deselected.</w:t>
      </w:r>
    </w:p>
    <w:p>
      <w:pPr>
        <w:pStyle w:val="Heading2"/>
        <w:spacing w:after="120" w:before="240"/>
      </w:pPr>
      <w:r>
        <w:t xml:space="preserve">4.4 Choose-all-that-apply questions</w:t>
      </w:r>
    </w:p>
    <w:p>
      <w:pPr>
        <w:spacing w:after="160"/>
      </w:pPr>
      <w:r>
        <w:t xml:space="preserve">A list of checkboxes — tap every option that applies; more than one can be selected.</w:t>
      </w:r>
    </w:p>
    <w:p>
      <w:pPr>
        <w:pStyle w:val="Heading2"/>
        <w:spacing w:after="120" w:before="240"/>
      </w:pPr>
      <w:r>
        <w:t xml:space="preserve">4.5 "Other / specify" options</w:t>
      </w:r>
    </w:p>
    <w:p>
      <w:pPr>
        <w:spacing w:after="160"/>
      </w:pPr>
      <w:r>
        <w:t xml:space="preserve">Some choices include a small text box next to them (for example "Other: ____"). If you select that option, also type a short description in the adjoining box.</w:t>
      </w:r>
    </w:p>
    <w:p>
      <w:pPr>
        <w:pStyle w:val="Heading2"/>
        <w:spacing w:after="120" w:before="240"/>
      </w:pPr>
      <w:r>
        <w:t xml:space="preserve">4.6 Confidence / rating scales (1–5)</w:t>
      </w:r>
    </w:p>
    <w:p>
      <w:pPr>
        <w:spacing w:after="160"/>
      </w:pPr>
      <w:r>
        <w:t xml:space="preserve">A row of numbers from 1 (lowest) to 5 (highest), plus an N/A option. Tap the number the respondent gives, or N/A if the question doesn’t apply to them.</w:t>
      </w:r>
    </w:p>
    <w:p>
      <w:pPr>
        <w:pStyle w:val="Heading2"/>
        <w:spacing w:after="120" w:before="240"/>
      </w:pPr>
      <w:r>
        <w:t xml:space="preserve">4.7 Table / grid questions</w:t>
      </w:r>
    </w:p>
    <w:p>
      <w:pPr>
        <w:spacing w:after="160"/>
      </w:pPr>
      <w:r>
        <w:t xml:space="preserve">Some questions (for example "Production Scale" or "Who usually decides…") are laid out as a small table — one row per item, with either a number box or a set of choices in each row. Fill in every row: use N/A or 0 for rows that don’t apply to this respondent rather than leaving them blank.</w:t>
      </w:r>
    </w:p>
    <w:p>
      <w:pPr>
        <w:pStyle w:val="Heading1"/>
        <w:spacing w:after="160" w:before="320"/>
      </w:pPr>
      <w:r>
        <w:t xml:space="preserve">5. Every Question Is Required — Here Is How That Works</w:t>
      </w:r>
    </w:p>
    <w:p>
      <w:pPr>
        <w:spacing w:after="160"/>
      </w:pPr>
      <w:r>
        <w:t xml:space="preserve">To make sure no interview is submitted with accidentally blank answers, the app will not let you move to the next section (or submit) while any question on the page is unanswered.</w:t>
      </w:r>
    </w:p>
    <w:p>
      <w:pPr>
        <w:spacing w:after="160"/>
      </w:pPr>
      <w:r>
        <w:t xml:space="preserve"/>
      </w:r>
    </w:p>
    <w:tbl>
      <w:tblPr>
        <w:tblW w:type="pct" w:w="100%"/>
        <w:tblBorders>
          <w:top w:val="single" w:color="7A5B00" w:sz="4"/>
          <w:left w:val="single" w:color="7A5B00" w:sz="4"/>
          <w:bottom w:val="single" w:color="7A5B00" w:sz="4"/>
          <w:right w:val="single" w:color="7A5B00" w:sz="4"/>
          <w:insideH w:val="none" w:color="FFFFFF" w:sz="0"/>
          <w:insideV w:val="none" w:color="FFFFFF" w:sz="0"/>
        </w:tblBorders>
      </w:tblPr>
      <w:tblGrid>
        <w:gridCol w:w="100"/>
      </w:tblGrid>
      <w:tr>
        <w:tc>
          <w:tcPr>
            <w:shd w:fill="FBFBFB" w:val="clear"/>
            <w:tcMar>
              <w:top w:type="dxa" w:w="160"/>
              <w:left w:type="dxa" w:w="200"/>
              <w:bottom w:type="dxa" w:w="160"/>
              <w:right w:type="dxa" w:w="200"/>
            </w:tcMar>
          </w:tcPr>
          <w:p>
            <w:pPr>
              <w:spacing w:after="80"/>
            </w:pPr>
            <w:r>
              <w:rPr>
                <w:b/>
                <w:bCs/>
                <w:color w:val="7A5B00"/>
              </w:rPr>
              <w:t xml:space="preserve">If a question genuinely does not apply to this respondent</w:t>
            </w:r>
          </w:p>
          <w:p>
            <w:pPr>
              <w:spacing w:after="40"/>
            </w:pPr>
            <w:r>
              <w:rPr>
                <w:sz w:val="21"/>
                <w:szCs w:val="21"/>
              </w:rPr>
              <w:t xml:space="preserve">Do not skip it — answer it with "N/A — Not applicable" (for choice/table questions), the N/A option (for 1–5 scales), or by typing "N/A" (for text questions).</w:t>
            </w:r>
          </w:p>
          <w:p>
            <w:pPr>
              <w:spacing w:after="40"/>
            </w:pPr>
            <w:r>
              <w:rPr>
                <w:sz w:val="21"/>
                <w:szCs w:val="21"/>
              </w:rPr>
              <w:t xml:space="preserve">This is different from "Not Sure", which is a real answer meaning the respondent doesn’t know — use N/A only when the question itself doesn’t apply, per the routing instructions printed under the question.</w:t>
            </w:r>
          </w:p>
        </w:tc>
      </w:tr>
    </w:tbl>
    <w:p>
      <w:pPr>
        <w:spacing w:after="160"/>
      </w:pPr>
      <w:r>
        <w:t xml:space="preserve"/>
      </w:r>
    </w:p>
    <w:p>
      <w:pPr>
        <w:spacing w:after="160"/>
      </w:pPr>
      <w:r>
        <w:t xml:space="preserve">If you try to move on with something unanswered:</w:t>
      </w:r>
    </w:p>
    <w:p>
      <w:pPr>
        <w:pStyle w:val="ListParagraph"/>
        <w:numPr>
          <w:ilvl w:val="0"/>
          <w:numId w:val="2"/>
        </w:numPr>
        <w:spacing w:after="80"/>
      </w:pPr>
      <w:r>
        <w:t xml:space="preserve">The unanswered question(s) will be outlined in red with the note "This question needs an answer (or N/A)."</w:t>
      </w:r>
    </w:p>
    <w:p>
      <w:pPr>
        <w:pStyle w:val="ListParagraph"/>
        <w:numPr>
          <w:ilvl w:val="0"/>
          <w:numId w:val="2"/>
        </w:numPr>
        <w:spacing w:after="80"/>
      </w:pPr>
      <w:r>
        <w:t xml:space="preserve">A red message appears near the bottom of the screen telling you how many questions still need an answer.</w:t>
      </w:r>
    </w:p>
    <w:p>
      <w:pPr>
        <w:pStyle w:val="ListParagraph"/>
        <w:numPr>
          <w:ilvl w:val="0"/>
          <w:numId w:val="2"/>
        </w:numPr>
        <w:spacing w:after="80"/>
      </w:pPr>
      <w:r>
        <w:t xml:space="preserve">The page will scroll to the first unanswered question automatically.</w:t>
      </w:r>
    </w:p>
    <w:p>
      <w:pPr>
        <w:spacing w:after="160"/>
      </w:pPr>
      <w:r>
        <w:t xml:space="preserve">Once you answer it, the red outline disappears right away.</w:t>
      </w:r>
    </w:p>
    <w:p>
      <w:pPr>
        <w:pStyle w:val="Heading1"/>
        <w:spacing w:after="160" w:before="320"/>
      </w:pPr>
      <w:r>
        <w:t xml:space="preserve">6. Saving, Working Offline, and Syncing</w:t>
      </w:r>
    </w:p>
    <w:p>
      <w:pPr>
        <w:pStyle w:val="Heading2"/>
        <w:spacing w:after="120" w:before="240"/>
      </w:pPr>
      <w:r>
        <w:t xml:space="preserve">6.1 While you are filling out the form</w:t>
      </w:r>
    </w:p>
    <w:p>
      <w:pPr>
        <w:spacing w:after="160"/>
      </w:pPr>
      <w:r>
        <w:t xml:space="preserve">Every answer is saved automatically on the device as you type or select it — you don’t need to press any "save" button mid-interview. If your browser or the app closes accidentally, reopening the survey and choosing the same instrument will offer to resume your in-progress response.</w:t>
      </w:r>
    </w:p>
    <w:p>
      <w:pPr>
        <w:pStyle w:val="Heading2"/>
        <w:spacing w:after="120" w:before="240"/>
      </w:pPr>
      <w:r>
        <w:t xml:space="preserve">6.2 When you press Submit Response</w:t>
      </w:r>
    </w:p>
    <w:p>
      <w:pPr>
        <w:spacing w:after="160"/>
      </w:pPr>
      <w:r>
        <w:t xml:space="preserve">The app tries to send the completed response to the database right away.</w:t>
      </w:r>
    </w:p>
    <w:p>
      <w:pPr>
        <w:pStyle w:val="ListParagraph"/>
        <w:numPr>
          <w:ilvl w:val="0"/>
          <w:numId w:val="2"/>
        </w:numPr>
        <w:spacing w:after="80"/>
      </w:pPr>
      <w:r>
        <w:t xml:space="preserve">If it succeeds, you’ll see a green confirmation message with a response number (e.g. "Response AGRISENSO-A-00017 submitted to Google Sheets").</w:t>
      </w:r>
    </w:p>
    <w:p>
      <w:pPr>
        <w:pStyle w:val="ListParagraph"/>
        <w:numPr>
          <w:ilvl w:val="0"/>
          <w:numId w:val="2"/>
        </w:numPr>
        <w:spacing w:after="80"/>
      </w:pPr>
      <w:r>
        <w:t xml:space="preserve">If there is no signal, you’ll see "No connection — response saved on this device and queued to sync later." The completed interview is not lost — it is stored on the device.</w:t>
      </w:r>
    </w:p>
    <w:p>
      <w:pPr>
        <w:pStyle w:val="Heading2"/>
        <w:spacing w:after="120" w:before="240"/>
      </w:pPr>
      <w:r>
        <w:t xml:space="preserve">6.3 Syncing queued responses</w:t>
      </w:r>
    </w:p>
    <w:p>
      <w:pPr>
        <w:spacing w:after="160"/>
      </w:pPr>
      <w:r>
        <w:t xml:space="preserve">As soon as you have signal again, open the survey and press "Sync Pending Now" on the instrument-choice screen or the navigation bar. It will attempt to send every queued response and tell you how many succeeded and how many are still pending.</w:t>
      </w:r>
    </w:p>
    <w:p>
      <w:pPr>
        <w:spacing w:after="160"/>
      </w:pPr>
      <w:r>
        <w:t xml:space="preserve"/>
      </w:r>
    </w:p>
    <w:tbl>
      <w:tblPr>
        <w:tblW w:type="pct" w:w="100%"/>
        <w:tblBorders>
          <w:top w:val="single" w:color="C62828" w:sz="4"/>
          <w:left w:val="single" w:color="C62828" w:sz="4"/>
          <w:bottom w:val="single" w:color="C62828" w:sz="4"/>
          <w:right w:val="single" w:color="C62828" w:sz="4"/>
          <w:insideH w:val="none" w:color="FFFFFF" w:sz="0"/>
          <w:insideV w:val="none" w:color="FFFFFF" w:sz="0"/>
        </w:tblBorders>
      </w:tblPr>
      <w:tblGrid>
        <w:gridCol w:w="100"/>
      </w:tblGrid>
      <w:tr>
        <w:tc>
          <w:tcPr>
            <w:shd w:fill="FBFBFB" w:val="clear"/>
            <w:tcMar>
              <w:top w:type="dxa" w:w="160"/>
              <w:left w:type="dxa" w:w="200"/>
              <w:bottom w:type="dxa" w:w="160"/>
              <w:right w:type="dxa" w:w="200"/>
            </w:tcMar>
          </w:tcPr>
          <w:p>
            <w:pPr>
              <w:spacing w:after="80"/>
            </w:pPr>
            <w:r>
              <w:rPr>
                <w:b/>
                <w:bCs/>
                <w:color w:val="C62828"/>
              </w:rPr>
              <w:t xml:space="preserve">Do not</w:t>
            </w:r>
          </w:p>
          <w:p>
            <w:pPr>
              <w:spacing w:after="40"/>
            </w:pPr>
            <w:r>
              <w:rPr>
                <w:sz w:val="21"/>
                <w:szCs w:val="21"/>
              </w:rPr>
              <w:t xml:space="preserve">Clear your browser history/data, or switch to a different phone or browser, before a queued response has synced — queued responses are stored on that specific device and browser only.</w:t>
            </w:r>
          </w:p>
        </w:tc>
      </w:tr>
    </w:tbl>
    <w:p>
      <w:pPr>
        <w:pStyle w:val="Heading1"/>
        <w:spacing w:after="160" w:before="320"/>
      </w:pPr>
      <w:r>
        <w:t xml:space="preserve">7. Submitting a Response</w:t>
      </w:r>
    </w:p>
    <w:p>
      <w:pPr>
        <w:pStyle w:val="ListParagraph"/>
        <w:numPr>
          <w:ilvl w:val="0"/>
          <w:numId w:val="3"/>
        </w:numPr>
        <w:spacing w:after="100"/>
      </w:pPr>
      <w:r>
        <w:t xml:space="preserve">On the last section, review your answers, then press "Submit Response".</w:t>
      </w:r>
    </w:p>
    <w:p>
      <w:pPr>
        <w:pStyle w:val="ListParagraph"/>
        <w:numPr>
          <w:ilvl w:val="0"/>
          <w:numId w:val="3"/>
        </w:numPr>
        <w:spacing w:after="100"/>
      </w:pPr>
      <w:r>
        <w:t xml:space="preserve">The app checks the entire questionnaire one more time. If anything anywhere was left blank, it will jump you straight to that section and highlight it — fix it and press Submit again.</w:t>
      </w:r>
    </w:p>
    <w:p>
      <w:pPr>
        <w:pStyle w:val="ListParagraph"/>
        <w:numPr>
          <w:ilvl w:val="0"/>
          <w:numId w:val="3"/>
        </w:numPr>
        <w:spacing w:after="100"/>
      </w:pPr>
      <w:r>
        <w:t xml:space="preserve">Once accepted, each response is automatically given a unique reference number (e.g. AGRISENSO-A-00017 for Instrument A, AGRISENSO-B-00017 for Instrument B). Write this number on your paper tracking sheet or field log next to this respondent, if your team keeps one — it’s the fastest way to find this exact interview in the database later.</w:t>
      </w:r>
    </w:p>
    <w:p>
      <w:pPr>
        <w:pStyle w:val="ListParagraph"/>
        <w:numPr>
          <w:ilvl w:val="0"/>
          <w:numId w:val="3"/>
        </w:numPr>
        <w:spacing w:after="100"/>
      </w:pPr>
      <w:r>
        <w:t xml:space="preserve">You will then be asked "Start a new response for this instrument?" — choose Yes to move on to your next respondent, or No to return to the menu.</w:t>
      </w:r>
    </w:p>
    <w:p>
      <w:pPr>
        <w:pStyle w:val="Heading1"/>
        <w:spacing w:after="160" w:before="320"/>
      </w:pPr>
      <w:r>
        <w:t xml:space="preserve">8. Common Problems and What To 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2E7D32" w:val="clear"/>
            <w:tcMar>
              <w:top w:type="dxa" w:w="100"/>
              <w:left w:type="dxa" w:w="120"/>
              <w:bottom w:type="dxa" w:w="100"/>
              <w:right w:type="dxa" w:w="120"/>
            </w:tcMar>
            <w:vAlign w:val="center"/>
          </w:tcPr>
          <w:p>
            <w:r>
              <w:rPr>
                <w:b/>
                <w:bCs/>
                <w:color w:val="FFFFFF"/>
                <w:sz w:val="20"/>
                <w:szCs w:val="20"/>
              </w:rPr>
              <w:t xml:space="preserve">If this happens…</w:t>
            </w:r>
          </w:p>
        </w:tc>
        <w:tc>
          <w:tcPr>
            <w:tcW w:type="dxa" w:w="3200"/>
            <w:shd w:fill="2E7D32" w:val="clear"/>
            <w:tcMar>
              <w:top w:type="dxa" w:w="100"/>
              <w:left w:type="dxa" w:w="120"/>
              <w:bottom w:type="dxa" w:w="100"/>
              <w:right w:type="dxa" w:w="120"/>
            </w:tcMar>
            <w:vAlign w:val="center"/>
          </w:tcPr>
          <w:p>
            <w:r>
              <w:rPr>
                <w:b/>
                <w:bCs/>
                <w:color w:val="FFFFFF"/>
                <w:sz w:val="20"/>
                <w:szCs w:val="20"/>
              </w:rPr>
              <w:t xml:space="preserve">Do this</w:t>
            </w:r>
          </w:p>
        </w:tc>
      </w:tr>
      <w:tr>
        <w:tc>
          <w:tcPr>
            <w:tcW w:type="dxa" w:w="3200"/>
            <w:shd w:fill="FFFFFF" w:val="clear"/>
            <w:tcMar>
              <w:top w:type="dxa" w:w="90"/>
              <w:left w:type="dxa" w:w="120"/>
              <w:bottom w:type="dxa" w:w="90"/>
              <w:right w:type="dxa" w:w="120"/>
            </w:tcMar>
          </w:tcPr>
          <w:p>
            <w:r>
              <w:rPr>
                <w:b/>
                <w:bCs/>
                <w:sz w:val="20"/>
                <w:szCs w:val="20"/>
              </w:rPr>
              <w:t xml:space="preserve">The instrument buttons are greyed out / a yellow "not connected" notice appears</w:t>
            </w:r>
          </w:p>
        </w:tc>
        <w:tc>
          <w:tcPr>
            <w:tcW w:type="dxa" w:w="6300"/>
            <w:shd w:fill="FFFFFF" w:val="clear"/>
            <w:tcMar>
              <w:top w:type="dxa" w:w="90"/>
              <w:left w:type="dxa" w:w="120"/>
              <w:bottom w:type="dxa" w:w="90"/>
              <w:right w:type="dxa" w:w="120"/>
            </w:tcMar>
          </w:tcPr>
          <w:p>
            <w:r>
              <w:rPr>
                <w:sz w:val="20"/>
                <w:szCs w:val="20"/>
              </w:rPr>
              <w:t xml:space="preserve">The app itself isn’t connecting to the database. Do not attempt the interview — report this to your supervisor immediately rather than collecting data that may not be saved.</w:t>
            </w:r>
          </w:p>
        </w:tc>
      </w:tr>
      <w:tr>
        <w:tc>
          <w:tcPr>
            <w:tcW w:type="dxa" w:w="3200"/>
            <w:shd w:fill="F0F3EF" w:val="clear"/>
            <w:tcMar>
              <w:top w:type="dxa" w:w="90"/>
              <w:left w:type="dxa" w:w="120"/>
              <w:bottom w:type="dxa" w:w="90"/>
              <w:right w:type="dxa" w:w="120"/>
            </w:tcMar>
          </w:tcPr>
          <w:p>
            <w:r>
              <w:rPr>
                <w:b/>
                <w:bCs/>
                <w:sz w:val="20"/>
                <w:szCs w:val="20"/>
              </w:rPr>
              <w:t xml:space="preserve">Next/Submit won’t work and nothing is highlighted</w:t>
            </w:r>
          </w:p>
        </w:tc>
        <w:tc>
          <w:tcPr>
            <w:tcW w:type="dxa" w:w="6300"/>
            <w:shd w:fill="F0F3EF" w:val="clear"/>
            <w:tcMar>
              <w:top w:type="dxa" w:w="90"/>
              <w:left w:type="dxa" w:w="120"/>
              <w:bottom w:type="dxa" w:w="90"/>
              <w:right w:type="dxa" w:w="120"/>
            </w:tcMar>
          </w:tcPr>
          <w:p>
            <w:r>
              <w:rPr>
                <w:sz w:val="20"/>
                <w:szCs w:val="20"/>
              </w:rPr>
              <w:t xml:space="preserve">Scroll up — the highlighted question may be above your current view. If truly nothing is visibly red, refresh the page once (your progress is saved) and try again.</w:t>
            </w:r>
          </w:p>
        </w:tc>
      </w:tr>
      <w:tr>
        <w:tc>
          <w:tcPr>
            <w:tcW w:type="dxa" w:w="3200"/>
            <w:shd w:fill="FFFFFF" w:val="clear"/>
            <w:tcMar>
              <w:top w:type="dxa" w:w="90"/>
              <w:left w:type="dxa" w:w="120"/>
              <w:bottom w:type="dxa" w:w="90"/>
              <w:right w:type="dxa" w:w="120"/>
            </w:tcMar>
          </w:tcPr>
          <w:p>
            <w:r>
              <w:rPr>
                <w:b/>
                <w:bCs/>
                <w:sz w:val="20"/>
                <w:szCs w:val="20"/>
              </w:rPr>
              <w:t xml:space="preserve">You picked the wrong instrument partway through</w:t>
            </w:r>
          </w:p>
        </w:tc>
        <w:tc>
          <w:tcPr>
            <w:tcW w:type="dxa" w:w="6300"/>
            <w:shd w:fill="FFFFFF" w:val="clear"/>
            <w:tcMar>
              <w:top w:type="dxa" w:w="90"/>
              <w:left w:type="dxa" w:w="120"/>
              <w:bottom w:type="dxa" w:w="90"/>
              <w:right w:type="dxa" w:w="120"/>
            </w:tcMar>
          </w:tcPr>
          <w:p>
            <w:r>
              <w:rPr>
                <w:sz w:val="20"/>
                <w:szCs w:val="20"/>
              </w:rPr>
              <w:t xml:space="preserve">Press "← Menu", choose "No" when asked to resume, and start the correct instrument fresh. Let your supervisor know so the incorrect partial response can be disregarded.</w:t>
            </w:r>
          </w:p>
        </w:tc>
      </w:tr>
      <w:tr>
        <w:tc>
          <w:tcPr>
            <w:tcW w:type="dxa" w:w="3200"/>
            <w:shd w:fill="F0F3EF" w:val="clear"/>
            <w:tcMar>
              <w:top w:type="dxa" w:w="90"/>
              <w:left w:type="dxa" w:w="120"/>
              <w:bottom w:type="dxa" w:w="90"/>
              <w:right w:type="dxa" w:w="120"/>
            </w:tcMar>
          </w:tcPr>
          <w:p>
            <w:r>
              <w:rPr>
                <w:b/>
                <w:bCs/>
                <w:sz w:val="20"/>
                <w:szCs w:val="20"/>
              </w:rPr>
              <w:t xml:space="preserve">The respondent needs to pause and continue later</w:t>
            </w:r>
          </w:p>
        </w:tc>
        <w:tc>
          <w:tcPr>
            <w:tcW w:type="dxa" w:w="6300"/>
            <w:shd w:fill="F0F3EF" w:val="clear"/>
            <w:tcMar>
              <w:top w:type="dxa" w:w="90"/>
              <w:left w:type="dxa" w:w="120"/>
              <w:bottom w:type="dxa" w:w="90"/>
              <w:right w:type="dxa" w:w="120"/>
            </w:tcMar>
          </w:tcPr>
          <w:p>
            <w:r>
              <w:rPr>
                <w:sz w:val="20"/>
                <w:szCs w:val="20"/>
              </w:rPr>
              <w:t xml:space="preserve">Simply close the browser — your progress is saved on this device. Reopen the same link later and choose "Resume" for this instrument.</w:t>
            </w:r>
          </w:p>
        </w:tc>
      </w:tr>
      <w:tr>
        <w:tc>
          <w:tcPr>
            <w:tcW w:type="dxa" w:w="3200"/>
            <w:shd w:fill="FFFFFF" w:val="clear"/>
            <w:tcMar>
              <w:top w:type="dxa" w:w="90"/>
              <w:left w:type="dxa" w:w="120"/>
              <w:bottom w:type="dxa" w:w="90"/>
              <w:right w:type="dxa" w:w="120"/>
            </w:tcMar>
          </w:tcPr>
          <w:p>
            <w:r>
              <w:rPr>
                <w:b/>
                <w:bCs/>
                <w:sz w:val="20"/>
                <w:szCs w:val="20"/>
              </w:rPr>
              <w:t xml:space="preserve">You are not sure whether a question applies</w:t>
            </w:r>
          </w:p>
        </w:tc>
        <w:tc>
          <w:tcPr>
            <w:tcW w:type="dxa" w:w="6300"/>
            <w:shd w:fill="FFFFFF" w:val="clear"/>
            <w:tcMar>
              <w:top w:type="dxa" w:w="90"/>
              <w:left w:type="dxa" w:w="120"/>
              <w:bottom w:type="dxa" w:w="90"/>
              <w:right w:type="dxa" w:w="120"/>
            </w:tcMar>
          </w:tcPr>
          <w:p>
            <w:r>
              <w:rPr>
                <w:sz w:val="20"/>
                <w:szCs w:val="20"/>
              </w:rPr>
              <w:t xml:space="preserve">Re-read the grey instruction text under the question heading first. If still unsure, ask your supervisor before defaulting to N/A.</w:t>
            </w:r>
          </w:p>
        </w:tc>
      </w:tr>
    </w:tbl>
    <w:p>
      <w:r>
        <w:br w:type="page"/>
      </w:r>
    </w:p>
    <w:p>
      <w:pPr>
        <w:pStyle w:val="Heading1"/>
        <w:spacing w:after="160" w:before="320"/>
      </w:pPr>
      <w:r>
        <w:t xml:space="preserve">Quick Reference Card</w:t>
      </w:r>
    </w:p>
    <w:p>
      <w:pPr>
        <w:spacing w:after="160"/>
      </w:pPr>
      <w:r>
        <w:t xml:space="preserve">Keep this page handy during fieldwork.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2E7D32" w:val="clear"/>
            <w:tcMar>
              <w:top w:type="dxa" w:w="100"/>
              <w:left w:type="dxa" w:w="120"/>
              <w:bottom w:type="dxa" w:w="100"/>
              <w:right w:type="dxa" w:w="120"/>
            </w:tcMar>
            <w:vAlign w:val="center"/>
          </w:tcPr>
          <w:p>
            <w:r>
              <w:rPr>
                <w:b/>
                <w:bCs/>
                <w:color w:val="FFFFFF"/>
                <w:sz w:val="20"/>
                <w:szCs w:val="20"/>
              </w:rPr>
              <w:t xml:space="preserve">Situation</w:t>
            </w:r>
          </w:p>
        </w:tc>
        <w:tc>
          <w:tcPr>
            <w:tcW w:type="dxa" w:w="3600"/>
            <w:shd w:fill="2E7D32" w:val="clear"/>
            <w:tcMar>
              <w:top w:type="dxa" w:w="100"/>
              <w:left w:type="dxa" w:w="120"/>
              <w:bottom w:type="dxa" w:w="100"/>
              <w:right w:type="dxa" w:w="120"/>
            </w:tcMar>
            <w:vAlign w:val="center"/>
          </w:tcPr>
          <w:p>
            <w:r>
              <w:rPr>
                <w:b/>
                <w:bCs/>
                <w:color w:val="FFFFFF"/>
                <w:sz w:val="20"/>
                <w:szCs w:val="20"/>
              </w:rPr>
              <w:t xml:space="preserve">What to do</w:t>
            </w:r>
          </w:p>
        </w:tc>
      </w:tr>
      <w:tr>
        <w:tc>
          <w:tcPr>
            <w:tcW w:type="dxa" w:w="3600"/>
            <w:shd w:fill="FFFFFF" w:val="clear"/>
            <w:tcMar>
              <w:top w:type="dxa" w:w="90"/>
              <w:left w:type="dxa" w:w="120"/>
              <w:bottom w:type="dxa" w:w="90"/>
              <w:right w:type="dxa" w:w="120"/>
            </w:tcMar>
          </w:tcPr>
          <w:p>
            <w:r>
              <w:rPr>
                <w:b/>
                <w:bCs/>
                <w:sz w:val="20"/>
                <w:szCs w:val="20"/>
              </w:rPr>
              <w:t xml:space="preserve">Question doesn’t apply to this respondent</w:t>
            </w:r>
          </w:p>
        </w:tc>
        <w:tc>
          <w:tcPr>
            <w:tcW w:type="dxa" w:w="5900"/>
            <w:shd w:fill="FFFFFF" w:val="clear"/>
            <w:tcMar>
              <w:top w:type="dxa" w:w="90"/>
              <w:left w:type="dxa" w:w="120"/>
              <w:bottom w:type="dxa" w:w="90"/>
              <w:right w:type="dxa" w:w="120"/>
            </w:tcMar>
          </w:tcPr>
          <w:p>
            <w:r>
              <w:rPr>
                <w:sz w:val="20"/>
                <w:szCs w:val="20"/>
              </w:rPr>
              <w:t xml:space="preserve">Select "N/A — Not applicable" or type N/A. Never leave it blank.</w:t>
            </w:r>
          </w:p>
        </w:tc>
      </w:tr>
      <w:tr>
        <w:tc>
          <w:tcPr>
            <w:tcW w:type="dxa" w:w="3600"/>
            <w:shd w:fill="F0F3EF" w:val="clear"/>
            <w:tcMar>
              <w:top w:type="dxa" w:w="90"/>
              <w:left w:type="dxa" w:w="120"/>
              <w:bottom w:type="dxa" w:w="90"/>
              <w:right w:type="dxa" w:w="120"/>
            </w:tcMar>
          </w:tcPr>
          <w:p>
            <w:r>
              <w:rPr>
                <w:b/>
                <w:bCs/>
                <w:sz w:val="20"/>
                <w:szCs w:val="20"/>
              </w:rPr>
              <w:t xml:space="preserve">Red outline around a question</w:t>
            </w:r>
          </w:p>
        </w:tc>
        <w:tc>
          <w:tcPr>
            <w:tcW w:type="dxa" w:w="5900"/>
            <w:shd w:fill="F0F3EF" w:val="clear"/>
            <w:tcMar>
              <w:top w:type="dxa" w:w="90"/>
              <w:left w:type="dxa" w:w="120"/>
              <w:bottom w:type="dxa" w:w="90"/>
              <w:right w:type="dxa" w:w="120"/>
            </w:tcMar>
          </w:tcPr>
          <w:p>
            <w:r>
              <w:rPr>
                <w:sz w:val="20"/>
                <w:szCs w:val="20"/>
              </w:rPr>
              <w:t xml:space="preserve">Answer it (or mark N/A) — the outline clears automatically.</w:t>
            </w:r>
          </w:p>
        </w:tc>
      </w:tr>
      <w:tr>
        <w:tc>
          <w:tcPr>
            <w:tcW w:type="dxa" w:w="3600"/>
            <w:shd w:fill="FFFFFF" w:val="clear"/>
            <w:tcMar>
              <w:top w:type="dxa" w:w="90"/>
              <w:left w:type="dxa" w:w="120"/>
              <w:bottom w:type="dxa" w:w="90"/>
              <w:right w:type="dxa" w:w="120"/>
            </w:tcMar>
          </w:tcPr>
          <w:p>
            <w:r>
              <w:rPr>
                <w:b/>
                <w:bCs/>
                <w:sz w:val="20"/>
                <w:szCs w:val="20"/>
              </w:rPr>
              <w:t xml:space="preserve">Red message at bottom of screen</w:t>
            </w:r>
          </w:p>
        </w:tc>
        <w:tc>
          <w:tcPr>
            <w:tcW w:type="dxa" w:w="5900"/>
            <w:shd w:fill="FFFFFF" w:val="clear"/>
            <w:tcMar>
              <w:top w:type="dxa" w:w="90"/>
              <w:left w:type="dxa" w:w="120"/>
              <w:bottom w:type="dxa" w:w="90"/>
              <w:right w:type="dxa" w:w="120"/>
            </w:tcMar>
          </w:tcPr>
          <w:p>
            <w:r>
              <w:rPr>
                <w:sz w:val="20"/>
                <w:szCs w:val="20"/>
              </w:rPr>
              <w:t xml:space="preserve">Tells you how many questions on this page still need an answer.</w:t>
            </w:r>
          </w:p>
        </w:tc>
      </w:tr>
      <w:tr>
        <w:tc>
          <w:tcPr>
            <w:tcW w:type="dxa" w:w="3600"/>
            <w:shd w:fill="F0F3EF" w:val="clear"/>
            <w:tcMar>
              <w:top w:type="dxa" w:w="90"/>
              <w:left w:type="dxa" w:w="120"/>
              <w:bottom w:type="dxa" w:w="90"/>
              <w:right w:type="dxa" w:w="120"/>
            </w:tcMar>
          </w:tcPr>
          <w:p>
            <w:r>
              <w:rPr>
                <w:b/>
                <w:bCs/>
                <w:sz w:val="20"/>
                <w:szCs w:val="20"/>
              </w:rPr>
              <w:t xml:space="preserve">No internet mid-interview</w:t>
            </w:r>
          </w:p>
        </w:tc>
        <w:tc>
          <w:tcPr>
            <w:tcW w:type="dxa" w:w="5900"/>
            <w:shd w:fill="F0F3EF" w:val="clear"/>
            <w:tcMar>
              <w:top w:type="dxa" w:w="90"/>
              <w:left w:type="dxa" w:w="120"/>
              <w:bottom w:type="dxa" w:w="90"/>
              <w:right w:type="dxa" w:w="120"/>
            </w:tcMar>
          </w:tcPr>
          <w:p>
            <w:r>
              <w:rPr>
                <w:sz w:val="20"/>
                <w:szCs w:val="20"/>
              </w:rPr>
              <w:t xml:space="preserve">Keep going — your answers save on the device. Sync later with "Sync Pending Now".</w:t>
            </w:r>
          </w:p>
        </w:tc>
      </w:tr>
      <w:tr>
        <w:tc>
          <w:tcPr>
            <w:tcW w:type="dxa" w:w="3600"/>
            <w:shd w:fill="FFFFFF" w:val="clear"/>
            <w:tcMar>
              <w:top w:type="dxa" w:w="90"/>
              <w:left w:type="dxa" w:w="120"/>
              <w:bottom w:type="dxa" w:w="90"/>
              <w:right w:type="dxa" w:w="120"/>
            </w:tcMar>
          </w:tcPr>
          <w:p>
            <w:r>
              <w:rPr>
                <w:b/>
                <w:bCs/>
                <w:sz w:val="20"/>
                <w:szCs w:val="20"/>
              </w:rPr>
              <w:t xml:space="preserve">Finished the last section</w:t>
            </w:r>
          </w:p>
        </w:tc>
        <w:tc>
          <w:tcPr>
            <w:tcW w:type="dxa" w:w="5900"/>
            <w:shd w:fill="FFFFFF" w:val="clear"/>
            <w:tcMar>
              <w:top w:type="dxa" w:w="90"/>
              <w:left w:type="dxa" w:w="120"/>
              <w:bottom w:type="dxa" w:w="90"/>
              <w:right w:type="dxa" w:w="120"/>
            </w:tcMar>
          </w:tcPr>
          <w:p>
            <w:r>
              <w:rPr>
                <w:sz w:val="20"/>
                <w:szCs w:val="20"/>
              </w:rPr>
              <w:t xml:space="preserve">Press "Submit Response". Note the AGRISENSO-A/B-##### number you get back.</w:t>
            </w:r>
          </w:p>
        </w:tc>
      </w:tr>
      <w:tr>
        <w:tc>
          <w:tcPr>
            <w:tcW w:type="dxa" w:w="3600"/>
            <w:shd w:fill="F0F3EF" w:val="clear"/>
            <w:tcMar>
              <w:top w:type="dxa" w:w="90"/>
              <w:left w:type="dxa" w:w="120"/>
              <w:bottom w:type="dxa" w:w="90"/>
              <w:right w:type="dxa" w:w="120"/>
            </w:tcMar>
          </w:tcPr>
          <w:p>
            <w:r>
              <w:rPr>
                <w:b/>
                <w:bCs/>
                <w:sz w:val="20"/>
                <w:szCs w:val="20"/>
              </w:rPr>
              <w:t xml:space="preserve">Need to pause and resume later</w:t>
            </w:r>
          </w:p>
        </w:tc>
        <w:tc>
          <w:tcPr>
            <w:tcW w:type="dxa" w:w="5900"/>
            <w:shd w:fill="F0F3EF" w:val="clear"/>
            <w:tcMar>
              <w:top w:type="dxa" w:w="90"/>
              <w:left w:type="dxa" w:w="120"/>
              <w:bottom w:type="dxa" w:w="90"/>
              <w:right w:type="dxa" w:w="120"/>
            </w:tcMar>
          </w:tcPr>
          <w:p>
            <w:r>
              <w:rPr>
                <w:sz w:val="20"/>
                <w:szCs w:val="20"/>
              </w:rPr>
              <w:t xml:space="preserve">Close the browser; reopen the link and choose "Resume" for the same instrument.</w:t>
            </w:r>
          </w:p>
        </w:tc>
      </w:tr>
    </w:tbl>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AGRISENSO Plus Baseline Survey — Enumerator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2026-08-04T10:04:55.224Z</dcterms:created>
  <dcterms:modified xsi:type="dcterms:W3CDTF">2026-08-04T10:04:55.224Z</dcterms:modified>
</cp:coreProperties>
</file>

<file path=docProps/custom.xml><?xml version="1.0" encoding="utf-8"?>
<Properties xmlns="http://schemas.openxmlformats.org/officeDocument/2006/custom-properties" xmlns:vt="http://schemas.openxmlformats.org/officeDocument/2006/docPropsVTypes"/>
</file>