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1D3BCCAD"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 и видео, полученны</w:t>
      </w:r>
      <w:r w:rsidR="00B541DC">
        <w:rPr>
          <w:sz w:val="28"/>
          <w:szCs w:val="28"/>
        </w:rPr>
        <w:t>х</w:t>
      </w:r>
      <w:r w:rsidR="00550E83" w:rsidRPr="00550E83">
        <w:rPr>
          <w:sz w:val="28"/>
          <w:szCs w:val="28"/>
        </w:rPr>
        <w:t xml:space="preserve"> </w:t>
      </w:r>
      <w:r w:rsidR="00B541DC">
        <w:rPr>
          <w:sz w:val="28"/>
          <w:szCs w:val="28"/>
        </w:rPr>
        <w:t xml:space="preserve">после обследования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69DA9C7E"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r w:rsidRPr="00327D67">
        <w:rPr>
          <w:sz w:val="28"/>
          <w:szCs w:val="28"/>
        </w:rPr>
        <w:t xml:space="preserve"> </w:t>
      </w:r>
      <w:r w:rsidR="00D03E19">
        <w:rPr>
          <w:sz w:val="28"/>
          <w:szCs w:val="28"/>
        </w:rPr>
        <w:t>полученных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lastRenderedPageBreak/>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191B996"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Android,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 xml:space="preserve">.  </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704"/>
        <w:gridCol w:w="6804"/>
        <w:gridCol w:w="1291"/>
      </w:tblGrid>
      <w:tr w:rsidR="00037DA9" w14:paraId="770E8044" w14:textId="77777777" w:rsidTr="004D0302">
        <w:tc>
          <w:tcPr>
            <w:tcW w:w="704" w:type="dxa"/>
          </w:tcPr>
          <w:p w14:paraId="58232967" w14:textId="77777777" w:rsidR="00037DA9" w:rsidRPr="00973794" w:rsidRDefault="00037DA9" w:rsidP="00736A68">
            <w:pPr>
              <w:pStyle w:val="afa"/>
              <w:tabs>
                <w:tab w:val="left" w:pos="178"/>
                <w:tab w:val="left" w:pos="1560"/>
              </w:tabs>
              <w:spacing w:line="360" w:lineRule="auto"/>
              <w:ind w:left="0"/>
              <w:jc w:val="both"/>
              <w:rPr>
                <w:rFonts w:eastAsia="Calibri"/>
                <w:sz w:val="28"/>
                <w:szCs w:val="28"/>
              </w:rPr>
            </w:pPr>
          </w:p>
        </w:tc>
        <w:tc>
          <w:tcPr>
            <w:tcW w:w="6804"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4D0302">
        <w:tc>
          <w:tcPr>
            <w:tcW w:w="704" w:type="dxa"/>
          </w:tcPr>
          <w:p w14:paraId="6845D2D1"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4D0302">
        <w:tc>
          <w:tcPr>
            <w:tcW w:w="704" w:type="dxa"/>
          </w:tcPr>
          <w:p w14:paraId="34364D02"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4D0302">
        <w:tc>
          <w:tcPr>
            <w:tcW w:w="704" w:type="dxa"/>
          </w:tcPr>
          <w:p w14:paraId="754F01D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4D0302">
        <w:tc>
          <w:tcPr>
            <w:tcW w:w="704" w:type="dxa"/>
          </w:tcPr>
          <w:p w14:paraId="4940431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4D0302">
        <w:tc>
          <w:tcPr>
            <w:tcW w:w="704" w:type="dxa"/>
          </w:tcPr>
          <w:p w14:paraId="6F9E84C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4D0302">
        <w:tc>
          <w:tcPr>
            <w:tcW w:w="704" w:type="dxa"/>
          </w:tcPr>
          <w:p w14:paraId="4B33E2E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4D0302">
        <w:tc>
          <w:tcPr>
            <w:tcW w:w="704" w:type="dxa"/>
          </w:tcPr>
          <w:p w14:paraId="6765C9FB"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4D0302">
        <w:tc>
          <w:tcPr>
            <w:tcW w:w="704" w:type="dxa"/>
          </w:tcPr>
          <w:p w14:paraId="4D39ABCA"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4D0302">
        <w:tc>
          <w:tcPr>
            <w:tcW w:w="704" w:type="dxa"/>
          </w:tcPr>
          <w:p w14:paraId="2ECDCEDD"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4D0302">
        <w:tc>
          <w:tcPr>
            <w:tcW w:w="704" w:type="dxa"/>
          </w:tcPr>
          <w:p w14:paraId="456C54D4"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4D0302">
        <w:tc>
          <w:tcPr>
            <w:tcW w:w="704" w:type="dxa"/>
          </w:tcPr>
          <w:p w14:paraId="65794FD8"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KVM консоль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4D0302">
        <w:tc>
          <w:tcPr>
            <w:tcW w:w="704" w:type="dxa"/>
          </w:tcPr>
          <w:p w14:paraId="6E604650"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4D0302">
        <w:tc>
          <w:tcPr>
            <w:tcW w:w="704" w:type="dxa"/>
          </w:tcPr>
          <w:p w14:paraId="02F9D4F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704"/>
        <w:gridCol w:w="6804"/>
        <w:gridCol w:w="1291"/>
      </w:tblGrid>
      <w:tr w:rsidR="00037DA9" w14:paraId="541E8DC6" w14:textId="77777777" w:rsidTr="00886B8D">
        <w:tc>
          <w:tcPr>
            <w:tcW w:w="704" w:type="dxa"/>
          </w:tcPr>
          <w:p w14:paraId="5E5F220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037DA9" w14:paraId="2617257C" w14:textId="77777777" w:rsidTr="00886B8D">
        <w:tc>
          <w:tcPr>
            <w:tcW w:w="704" w:type="dxa"/>
          </w:tcPr>
          <w:p w14:paraId="0A86D88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722E559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2E3B6FAE" w14:textId="77777777" w:rsidTr="00886B8D">
        <w:tc>
          <w:tcPr>
            <w:tcW w:w="704" w:type="dxa"/>
          </w:tcPr>
          <w:p w14:paraId="6105BB2B"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33EA588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40019BB5" w14:textId="77777777" w:rsidTr="00886B8D">
        <w:tc>
          <w:tcPr>
            <w:tcW w:w="704" w:type="dxa"/>
          </w:tcPr>
          <w:p w14:paraId="3938313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BC4DE0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74B1B2C5" w14:textId="77777777" w:rsidTr="00886B8D">
        <w:tc>
          <w:tcPr>
            <w:tcW w:w="704" w:type="dxa"/>
          </w:tcPr>
          <w:p w14:paraId="18BF4141"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C370D9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C5EDE55" w14:textId="77777777" w:rsidTr="00886B8D">
        <w:tc>
          <w:tcPr>
            <w:tcW w:w="704" w:type="dxa"/>
          </w:tcPr>
          <w:p w14:paraId="03DE972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D592F33"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24B1AC36" w14:textId="77777777" w:rsidTr="00886B8D">
        <w:tc>
          <w:tcPr>
            <w:tcW w:w="704" w:type="dxa"/>
          </w:tcPr>
          <w:p w14:paraId="3E844EC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4CEF15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037DA9" w:rsidRPr="00395AB3" w14:paraId="548969B4" w14:textId="77777777" w:rsidTr="00886B8D">
        <w:tc>
          <w:tcPr>
            <w:tcW w:w="704" w:type="dxa"/>
          </w:tcPr>
          <w:p w14:paraId="4F28689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5C411B95"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037DA9" w:rsidRPr="00395AB3" w14:paraId="3A8D5B01" w14:textId="77777777" w:rsidTr="00886B8D">
        <w:tc>
          <w:tcPr>
            <w:tcW w:w="704" w:type="dxa"/>
          </w:tcPr>
          <w:p w14:paraId="36A90F3C"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EBA396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037DA9" w:rsidRPr="00395AB3" w14:paraId="0EB31EA4" w14:textId="77777777" w:rsidTr="00886B8D">
        <w:tc>
          <w:tcPr>
            <w:tcW w:w="704" w:type="dxa"/>
          </w:tcPr>
          <w:p w14:paraId="5BE8FA25"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3D153E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E4B1FB6" w14:textId="77777777" w:rsidTr="00886B8D">
        <w:tc>
          <w:tcPr>
            <w:tcW w:w="704" w:type="dxa"/>
          </w:tcPr>
          <w:p w14:paraId="378CF6F0"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5EA2F7A"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14:paraId="1E533810" w14:textId="77777777" w:rsidTr="00886B8D">
        <w:tc>
          <w:tcPr>
            <w:tcW w:w="704" w:type="dxa"/>
          </w:tcPr>
          <w:p w14:paraId="030C8008"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198708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2769BB42"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3E4F6E3F" w:rsidR="00EB004C" w:rsidRPr="00EB004C" w:rsidRDefault="00EB004C" w:rsidP="00EB004C">
      <w:pPr>
        <w:pStyle w:val="afa"/>
        <w:tabs>
          <w:tab w:val="left" w:pos="1560"/>
        </w:tabs>
        <w:spacing w:line="360" w:lineRule="auto"/>
        <w:ind w:left="851"/>
        <w:jc w:val="both"/>
        <w:rPr>
          <w:rFonts w:eastAsia="Calibri"/>
          <w:sz w:val="28"/>
          <w:szCs w:val="28"/>
        </w:rPr>
      </w:pPr>
      <w:r>
        <w:rPr>
          <w:rFonts w:eastAsia="Calibri"/>
          <w:sz w:val="28"/>
          <w:szCs w:val="28"/>
        </w:rPr>
        <w:t xml:space="preserve">Набор </w:t>
      </w:r>
      <w:r>
        <w:rPr>
          <w:rFonts w:eastAsia="Calibri"/>
          <w:sz w:val="28"/>
          <w:szCs w:val="28"/>
          <w:lang w:val="en-US"/>
        </w:rPr>
        <w:t>QR-</w:t>
      </w:r>
      <w:r>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18D33EF"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r w:rsidRPr="00770A77">
        <w:rPr>
          <w:rFonts w:eastAsia="Calibri"/>
          <w:sz w:val="28"/>
          <w:szCs w:val="28"/>
        </w:rPr>
        <w:t>мультикоптер</w:t>
      </w:r>
      <w:r w:rsidR="00004DE5">
        <w:rPr>
          <w:rFonts w:eastAsia="Calibri"/>
          <w:sz w:val="28"/>
          <w:szCs w:val="28"/>
        </w:rPr>
        <w:t>ного типа</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21149070"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 ф</w:t>
      </w:r>
      <w:r w:rsidR="00770A77" w:rsidRPr="00770A77">
        <w:rPr>
          <w:rFonts w:eastAsia="Calibri"/>
          <w:sz w:val="28"/>
          <w:szCs w:val="28"/>
        </w:rPr>
        <w:t>отокамера</w:t>
      </w:r>
      <w:r w:rsidR="003B4888">
        <w:rPr>
          <w:rFonts w:eastAsia="Calibri"/>
          <w:sz w:val="28"/>
          <w:szCs w:val="28"/>
          <w:lang w:val="en-US"/>
        </w:rPr>
        <w:t xml:space="preserve"> </w:t>
      </w:r>
      <w:r w:rsidR="003B4888" w:rsidRPr="003B4888">
        <w:rPr>
          <w:rFonts w:eastAsia="Calibri"/>
          <w:sz w:val="28"/>
          <w:szCs w:val="28"/>
          <w:highlight w:val="yellow"/>
          <w:lang w:val="en-US"/>
        </w:rPr>
        <w:t>noname aliexpress</w:t>
      </w:r>
      <w:r w:rsidR="00770A77" w:rsidRPr="00770A77">
        <w:rPr>
          <w:rFonts w:eastAsia="Calibri"/>
          <w:sz w:val="28"/>
          <w:szCs w:val="28"/>
        </w:rPr>
        <w:t>;</w:t>
      </w:r>
    </w:p>
    <w:p w14:paraId="1A2AA2A6" w14:textId="5365C7F9" w:rsidR="00E21A2C" w:rsidRP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Подсвет</w:t>
      </w:r>
      <w:r w:rsidR="003B4888">
        <w:rPr>
          <w:rFonts w:eastAsia="Calibri"/>
          <w:sz w:val="28"/>
          <w:szCs w:val="28"/>
          <w:lang w:val="en-US"/>
        </w:rPr>
        <w:t xml:space="preserve"> </w:t>
      </w:r>
      <w:r w:rsidR="003B4888" w:rsidRPr="003B4888">
        <w:rPr>
          <w:rFonts w:eastAsia="Calibri"/>
          <w:sz w:val="28"/>
          <w:szCs w:val="28"/>
          <w:highlight w:val="yellow"/>
        </w:rPr>
        <w:t>где?какой?</w:t>
      </w:r>
      <w:r w:rsidR="003B4888">
        <w:rPr>
          <w:rFonts w:eastAsia="Calibri"/>
          <w:sz w:val="28"/>
          <w:szCs w:val="28"/>
        </w:rPr>
        <w:t>;</w:t>
      </w:r>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r w:rsidR="00215998">
        <w:rPr>
          <w:rFonts w:eastAsia="Calibri"/>
          <w:sz w:val="28"/>
          <w:szCs w:val="28"/>
          <w:lang w:val="en-US"/>
        </w:rPr>
        <w:t>Saramonic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r w:rsidR="00F678FC">
        <w:rPr>
          <w:rFonts w:eastAsia="Calibri"/>
          <w:sz w:val="28"/>
          <w:szCs w:val="28"/>
        </w:rPr>
        <w:t xml:space="preserve"> </w:t>
      </w:r>
      <w:r w:rsidR="00F678FC">
        <w:rPr>
          <w:rFonts w:eastAsia="Calibri"/>
          <w:sz w:val="28"/>
          <w:szCs w:val="28"/>
          <w:lang w:val="en-US"/>
        </w:rPr>
        <w:t>Flir</w:t>
      </w:r>
      <w:r w:rsidR="00F678FC" w:rsidRPr="00215998">
        <w:rPr>
          <w:rFonts w:eastAsia="Calibri"/>
          <w:sz w:val="28"/>
          <w:szCs w:val="28"/>
        </w:rPr>
        <w:t xml:space="preserve"> </w:t>
      </w:r>
      <w:r w:rsidR="00F678FC">
        <w:rPr>
          <w:rFonts w:eastAsia="Calibri"/>
          <w:sz w:val="28"/>
          <w:szCs w:val="28"/>
          <w:lang w:val="en-US"/>
        </w:rPr>
        <w:t>Vue</w:t>
      </w:r>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r w:rsidR="00215998">
        <w:rPr>
          <w:rFonts w:eastAsia="Calibri"/>
          <w:sz w:val="28"/>
          <w:szCs w:val="28"/>
          <w:lang w:val="en-US"/>
        </w:rPr>
        <w:t>ViBlock</w:t>
      </w:r>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234019">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345B27FB" w14:textId="7AA23FB0" w:rsidR="00714690" w:rsidRDefault="00714690" w:rsidP="00234019">
      <w:pPr>
        <w:spacing w:line="360" w:lineRule="auto"/>
        <w:ind w:firstLine="851"/>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2A79F7">
        <w:rPr>
          <w:sz w:val="28"/>
          <w:szCs w:val="28"/>
        </w:rPr>
        <w:t>.</w:t>
      </w:r>
    </w:p>
    <w:p w14:paraId="3D7246BD" w14:textId="3728386C" w:rsidR="00756FE5" w:rsidRDefault="004E70E6" w:rsidP="00234019">
      <w:pPr>
        <w:spacing w:line="360" w:lineRule="auto"/>
        <w:ind w:firstLine="851"/>
        <w:jc w:val="both"/>
        <w:rPr>
          <w:sz w:val="28"/>
          <w:szCs w:val="28"/>
        </w:rPr>
      </w:pPr>
      <w:r>
        <w:rPr>
          <w:sz w:val="28"/>
          <w:szCs w:val="28"/>
        </w:rPr>
        <w:t>Продолжительность полета 25 мин</w:t>
      </w:r>
      <w:r w:rsidR="00756FE5">
        <w:rPr>
          <w:sz w:val="28"/>
          <w:szCs w:val="28"/>
        </w:rPr>
        <w:t>.</w:t>
      </w:r>
    </w:p>
    <w:p w14:paraId="1D096A71" w14:textId="77777777" w:rsidR="00A11B23" w:rsidRPr="00C41C13" w:rsidRDefault="00A11B23" w:rsidP="00234019">
      <w:pPr>
        <w:spacing w:line="360" w:lineRule="auto"/>
        <w:ind w:firstLine="851"/>
        <w:jc w:val="both"/>
        <w:rPr>
          <w:sz w:val="28"/>
          <w:szCs w:val="28"/>
        </w:rPr>
      </w:pPr>
    </w:p>
    <w:p w14:paraId="18A3A008" w14:textId="5969A5ED" w:rsidR="00CD40D4" w:rsidRPr="00B27EF5" w:rsidRDefault="00CD40D4" w:rsidP="00234019">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08454573" w:rsidR="00AE7F7B" w:rsidRDefault="00AE7F7B" w:rsidP="00234019">
      <w:pPr>
        <w:spacing w:line="360" w:lineRule="auto"/>
        <w:ind w:firstLine="851"/>
        <w:jc w:val="both"/>
        <w:rPr>
          <w:sz w:val="28"/>
          <w:szCs w:val="28"/>
        </w:rPr>
      </w:pPr>
      <w:r>
        <w:rPr>
          <w:sz w:val="28"/>
          <w:szCs w:val="28"/>
        </w:rPr>
        <w:t>Формат, размер снимков</w:t>
      </w:r>
      <w:r w:rsidR="00BD57CF">
        <w:rPr>
          <w:sz w:val="28"/>
          <w:szCs w:val="28"/>
        </w:rPr>
        <w:t xml:space="preserve"> – jpeg</w:t>
      </w:r>
    </w:p>
    <w:p w14:paraId="3E1F2251" w14:textId="77777777" w:rsidR="00A11B23" w:rsidRDefault="00A11B23" w:rsidP="00234019">
      <w:pPr>
        <w:spacing w:line="360" w:lineRule="auto"/>
        <w:ind w:firstLine="851"/>
        <w:jc w:val="both"/>
        <w:rPr>
          <w:sz w:val="28"/>
          <w:szCs w:val="28"/>
        </w:rPr>
      </w:pPr>
    </w:p>
    <w:p w14:paraId="7ED1F7C2" w14:textId="0C081746" w:rsidR="00A041BB" w:rsidRPr="00756FE5" w:rsidRDefault="00AE7F7B" w:rsidP="00756FE5">
      <w:pPr>
        <w:numPr>
          <w:ilvl w:val="2"/>
          <w:numId w:val="3"/>
        </w:numPr>
        <w:spacing w:line="360" w:lineRule="auto"/>
        <w:ind w:left="0" w:firstLine="851"/>
        <w:jc w:val="both"/>
        <w:rPr>
          <w:bCs/>
          <w:sz w:val="28"/>
          <w:szCs w:val="28"/>
        </w:rPr>
      </w:pPr>
      <w:r w:rsidRPr="00756FE5">
        <w:rPr>
          <w:bCs/>
          <w:sz w:val="28"/>
          <w:szCs w:val="28"/>
        </w:rPr>
        <w:t>Формат п</w:t>
      </w:r>
      <w:r w:rsidR="009D5CB2" w:rsidRPr="00756FE5">
        <w:rPr>
          <w:bCs/>
          <w:sz w:val="28"/>
          <w:szCs w:val="28"/>
        </w:rPr>
        <w:t>ечат</w:t>
      </w:r>
      <w:r w:rsidRPr="00756FE5">
        <w:rPr>
          <w:bCs/>
          <w:sz w:val="28"/>
          <w:szCs w:val="28"/>
        </w:rPr>
        <w:t>и</w:t>
      </w:r>
      <w:r w:rsidR="009D5CB2" w:rsidRPr="00756FE5">
        <w:rPr>
          <w:bCs/>
          <w:sz w:val="28"/>
          <w:szCs w:val="28"/>
        </w:rPr>
        <w:t xml:space="preserve"> </w:t>
      </w:r>
      <w:r w:rsidR="00BD57CF" w:rsidRPr="00756FE5">
        <w:rPr>
          <w:bCs/>
          <w:sz w:val="28"/>
          <w:szCs w:val="28"/>
        </w:rPr>
        <w:t xml:space="preserve">отчета </w:t>
      </w:r>
      <w:r w:rsidR="00D437AA" w:rsidRPr="00756FE5">
        <w:rPr>
          <w:bCs/>
          <w:sz w:val="28"/>
          <w:szCs w:val="28"/>
        </w:rPr>
        <w:t>– pdf</w:t>
      </w:r>
    </w:p>
    <w:p w14:paraId="462B61DE" w14:textId="68415C34" w:rsidR="00C41C13" w:rsidRDefault="00195D0E" w:rsidP="00234019">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2F662D9B" w:rsidR="004E70E6" w:rsidRPr="006250C3" w:rsidRDefault="004E70E6" w:rsidP="004E70E6">
      <w:pPr>
        <w:spacing w:line="360" w:lineRule="auto"/>
        <w:ind w:left="851"/>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p>
    <w:p w14:paraId="36A226D9" w14:textId="450F566E" w:rsidR="000722F6" w:rsidRDefault="000722F6" w:rsidP="00234019">
      <w:pPr>
        <w:spacing w:line="360" w:lineRule="auto"/>
        <w:ind w:firstLine="851"/>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p>
    <w:p w14:paraId="78739D63" w14:textId="0BDAEC9A" w:rsidR="00756FE5" w:rsidRDefault="00756FE5" w:rsidP="00234019">
      <w:pPr>
        <w:spacing w:line="360" w:lineRule="auto"/>
        <w:ind w:firstLine="851"/>
        <w:jc w:val="both"/>
        <w:rPr>
          <w:bCs/>
          <w:sz w:val="28"/>
          <w:szCs w:val="28"/>
        </w:rPr>
      </w:pPr>
      <w:r>
        <w:rPr>
          <w:bCs/>
          <w:sz w:val="28"/>
          <w:szCs w:val="28"/>
        </w:rPr>
        <w:t xml:space="preserve">Ток зарядки – 10А </w:t>
      </w:r>
    </w:p>
    <w:p w14:paraId="68B3818C" w14:textId="165E394F" w:rsidR="00756FE5" w:rsidRPr="00BD57CF" w:rsidRDefault="009004D7" w:rsidP="00234019">
      <w:pPr>
        <w:spacing w:line="360" w:lineRule="auto"/>
        <w:ind w:firstLine="851"/>
        <w:jc w:val="both"/>
        <w:rPr>
          <w:bCs/>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122A15CE"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Станция оператора (автоматизированное рабочее место оператора БВС на планшетном компьютере с ОС на базе Android,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32322993" w:rsidR="001D6EC9" w:rsidRPr="00EE5921"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EE5921" w:rsidRPr="0093044F">
        <w:rPr>
          <w:sz w:val="28"/>
          <w:szCs w:val="28"/>
        </w:rPr>
        <w:t>;</w:t>
      </w:r>
    </w:p>
    <w:p w14:paraId="668A0C89" w14:textId="5BA297F7" w:rsidR="00EE5921" w:rsidRPr="00302B40" w:rsidRDefault="00EE5921"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Управление полезной нагрузкой.</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1A27D19B"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оператора БВС</w:t>
      </w:r>
      <w:r w:rsidRPr="00670D44">
        <w:rPr>
          <w:rFonts w:eastAsia="Calibri"/>
          <w:sz w:val="28"/>
          <w:szCs w:val="28"/>
          <w:u w:val="single"/>
        </w:rPr>
        <w:t xml:space="preserve"> </w:t>
      </w:r>
    </w:p>
    <w:p w14:paraId="04A0E919" w14:textId="44F5F8E3"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 xml:space="preserve">Проводить </w:t>
      </w:r>
      <w:r w:rsidR="00886B8D">
        <w:rPr>
          <w:rFonts w:eastAsia="Calibri"/>
          <w:sz w:val="28"/>
          <w:szCs w:val="28"/>
        </w:rPr>
        <w:t>д</w:t>
      </w:r>
      <w:r w:rsidRPr="008F65AB">
        <w:rPr>
          <w:rFonts w:eastAsia="Calibri"/>
          <w:sz w:val="28"/>
          <w:szCs w:val="28"/>
        </w:rPr>
        <w:t>ообучение</w:t>
      </w:r>
      <w:r>
        <w:rPr>
          <w:rFonts w:eastAsia="Calibri"/>
          <w:sz w:val="28"/>
          <w:szCs w:val="28"/>
        </w:rPr>
        <w:t xml:space="preserve"> системы распознавания дефектов (отклонений)</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lastRenderedPageBreak/>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57D9DB34"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5BBB4556" w14:textId="6942AC46"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Выявление аномалии по изображениям без определения дефекта.</w:t>
      </w:r>
    </w:p>
    <w:p w14:paraId="3DD7EC25" w14:textId="66F2A821"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Определение дефекта или отклонения в состоянии оборудования ТЭС по классификатору.</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2B59F675"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1A397958"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 xml:space="preserve">Определенная часть найденных дефектов передается эксперту для ручной разметки и являться элементом </w:t>
      </w:r>
      <w:r w:rsidR="00886B8D">
        <w:rPr>
          <w:sz w:val="28"/>
          <w:szCs w:val="28"/>
        </w:rPr>
        <w:t>до</w:t>
      </w:r>
      <w:r>
        <w:rPr>
          <w:sz w:val="28"/>
          <w:szCs w:val="28"/>
        </w:rPr>
        <w:t>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7234AE8A"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p>
    <w:p w14:paraId="754D1523" w14:textId="0959E028"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 xml:space="preserve">Позволяет </w:t>
      </w:r>
      <w:r w:rsidR="006250C3">
        <w:rPr>
          <w:rFonts w:eastAsia="Calibri"/>
          <w:sz w:val="28"/>
          <w:szCs w:val="28"/>
        </w:rPr>
        <w:t>без снятия</w:t>
      </w:r>
      <w:r w:rsidR="006250C3" w:rsidRPr="004C0649">
        <w:rPr>
          <w:rFonts w:eastAsia="Calibri"/>
          <w:sz w:val="28"/>
          <w:szCs w:val="28"/>
        </w:rPr>
        <w:t xml:space="preserve"> </w:t>
      </w:r>
      <w:r w:rsidRPr="004C0649">
        <w:rPr>
          <w:rFonts w:eastAsia="Calibri"/>
          <w:sz w:val="28"/>
          <w:szCs w:val="28"/>
        </w:rPr>
        <w:t>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r w:rsidR="006250C3">
        <w:rPr>
          <w:rFonts w:eastAsia="Calibri"/>
          <w:sz w:val="28"/>
          <w:szCs w:val="28"/>
        </w:rPr>
        <w:t xml:space="preserve"> с помощью контактной площадки</w:t>
      </w:r>
      <w:r w:rsidR="002A79F7">
        <w:rPr>
          <w:rFonts w:eastAsia="Calibri"/>
          <w:sz w:val="28"/>
          <w:szCs w:val="28"/>
        </w:rPr>
        <w:t>;</w:t>
      </w:r>
    </w:p>
    <w:p w14:paraId="2930D55B" w14:textId="6A18D400" w:rsidR="00582905"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Предназначена для х</w:t>
      </w:r>
      <w:r w:rsidR="00582905">
        <w:rPr>
          <w:rFonts w:eastAsia="Calibri"/>
          <w:sz w:val="28"/>
          <w:szCs w:val="28"/>
        </w:rPr>
        <w:t>ран</w:t>
      </w:r>
      <w:r>
        <w:rPr>
          <w:rFonts w:eastAsia="Calibri"/>
          <w:sz w:val="28"/>
          <w:szCs w:val="28"/>
        </w:rPr>
        <w:t>ения</w:t>
      </w:r>
      <w:r w:rsidR="00582905">
        <w:rPr>
          <w:rFonts w:eastAsia="Calibri"/>
          <w:sz w:val="28"/>
          <w:szCs w:val="28"/>
        </w:rPr>
        <w:t xml:space="preserve">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23ED2FC9" w14:textId="0BB185D3" w:rsidR="00582905" w:rsidRPr="006A4E62"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Pr="006A4E62">
        <w:rPr>
          <w:color w:val="000000" w:themeColor="text1"/>
          <w:sz w:val="28"/>
          <w:szCs w:val="28"/>
        </w:rPr>
        <w:t xml:space="preserve"> БВС</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lastRenderedPageBreak/>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0563F442"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5E4D4C" w:rsidRPr="005E4D4C">
        <w:rPr>
          <w:sz w:val="28"/>
        </w:rPr>
        <w:t xml:space="preserve"> </w:t>
      </w:r>
      <w:r w:rsidR="005E4D4C">
        <w:rPr>
          <w:sz w:val="28"/>
        </w:rPr>
        <w:t>и зарядка</w:t>
      </w:r>
      <w:r w:rsidR="00F74920">
        <w:rPr>
          <w:sz w:val="28"/>
        </w:rPr>
        <w:t xml:space="preserve"> </w:t>
      </w:r>
      <w:r w:rsidR="00F74920" w:rsidRPr="003D2ED0">
        <w:rPr>
          <w:sz w:val="28"/>
        </w:rPr>
        <w:t>комплекса</w:t>
      </w:r>
      <w:r w:rsidR="00F74920">
        <w:rPr>
          <w:sz w:val="28"/>
        </w:rPr>
        <w:t xml:space="preserve"> </w:t>
      </w:r>
      <w:r w:rsidR="005E4D4C">
        <w:rPr>
          <w:sz w:val="28"/>
        </w:rPr>
        <w:t>рекомендуется проводить в автоматической зарядной станции</w:t>
      </w:r>
      <w:r w:rsidR="00F74920">
        <w:rPr>
          <w:sz w:val="28"/>
        </w:rPr>
        <w:t>.</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7A77DC8" w14:textId="3CD4C351" w:rsidR="00BA318C" w:rsidRPr="00BA318C" w:rsidRDefault="00BA318C" w:rsidP="00BA318C">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3F9110A3" w14:textId="30745DB1" w:rsidR="00BA318C" w:rsidRPr="00BA318C" w:rsidRDefault="00BA318C" w:rsidP="00BA318C">
      <w:pPr>
        <w:spacing w:line="360" w:lineRule="auto"/>
        <w:ind w:firstLine="851"/>
        <w:jc w:val="both"/>
        <w:rPr>
          <w:sz w:val="28"/>
          <w:szCs w:val="28"/>
        </w:rPr>
      </w:pPr>
      <w:r w:rsidRPr="00BA318C">
        <w:rPr>
          <w:sz w:val="28"/>
          <w:szCs w:val="28"/>
        </w:rPr>
        <w:t>ПАК функционир</w:t>
      </w:r>
      <w:r w:rsidR="002E500F">
        <w:rPr>
          <w:sz w:val="28"/>
          <w:szCs w:val="28"/>
        </w:rPr>
        <w:t>ует</w:t>
      </w:r>
      <w:r w:rsidRPr="00BA318C">
        <w:rPr>
          <w:sz w:val="28"/>
          <w:szCs w:val="28"/>
        </w:rPr>
        <w:t xml:space="preserve"> в следующих режимах:</w:t>
      </w:r>
    </w:p>
    <w:p w14:paraId="3B3812C9" w14:textId="54AC4336"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sidR="002E500F">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71356D20"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7840637" w14:textId="29A8691A" w:rsidR="00BA318C" w:rsidRPr="0093044F" w:rsidRDefault="00BA318C" w:rsidP="00BA318C">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620599">
      <w:pPr>
        <w:spacing w:line="360" w:lineRule="auto"/>
        <w:jc w:val="center"/>
        <w:rPr>
          <w:sz w:val="24"/>
          <w:szCs w:val="24"/>
        </w:rPr>
      </w:pPr>
      <w:r w:rsidRPr="00CD40D4">
        <w:rPr>
          <w:sz w:val="24"/>
          <w:szCs w:val="24"/>
        </w:rPr>
        <w:t>(справочно)</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r>
              <w:rPr>
                <w:rFonts w:eastAsia="Microsoft YaHei"/>
                <w:color w:val="000000" w:themeColor="text1"/>
                <w:sz w:val="28"/>
                <w:szCs w:val="28"/>
                <w:highlight w:val="yellow"/>
                <w:lang w:val="en-US"/>
              </w:rPr>
              <w:t>Realsence</w:t>
            </w:r>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3F7787AC"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48AD486F"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 MP</w:t>
            </w:r>
          </w:p>
          <w:p w14:paraId="53EB42E0" w14:textId="65D2C4EC"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Замедленная съемка</w:t>
            </w:r>
          </w:p>
          <w:p w14:paraId="2F61AADF" w14:textId="027D171E" w:rsidR="004F7F9E" w:rsidRPr="004F7F9E" w:rsidRDefault="004F7F9E" w:rsidP="004F7F9E">
            <w:pPr>
              <w:spacing w:line="273" w:lineRule="atLeast"/>
              <w:textAlignment w:val="baseline"/>
              <w:rPr>
                <w:color w:val="000000" w:themeColor="text1"/>
                <w:sz w:val="28"/>
                <w:szCs w:val="28"/>
              </w:rPr>
            </w:pPr>
            <w:r w:rsidRPr="004F7F9E">
              <w:rPr>
                <w:rFonts w:hint="eastAsia"/>
                <w:color w:val="000000" w:themeColor="text1"/>
                <w:sz w:val="28"/>
                <w:szCs w:val="28"/>
              </w:rPr>
              <w:t>К</w:t>
            </w:r>
            <w:r w:rsidRPr="004F7F9E">
              <w:rPr>
                <w:color w:val="000000" w:themeColor="text1"/>
                <w:sz w:val="28"/>
                <w:szCs w:val="28"/>
              </w:rPr>
              <w:t>оличество микрофонов</w:t>
            </w:r>
          </w:p>
          <w:p w14:paraId="50E4F2B2" w14:textId="421291D4"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Угол обзора </w:t>
            </w:r>
          </w:p>
          <w:p w14:paraId="5D715059" w14:textId="5F245A78" w:rsidR="004F7F9E" w:rsidRPr="004F7F9E" w:rsidRDefault="004F7F9E" w:rsidP="004F7F9E">
            <w:pPr>
              <w:spacing w:line="273" w:lineRule="atLeast"/>
              <w:textAlignment w:val="baseline"/>
              <w:rPr>
                <w:color w:val="000000" w:themeColor="text1"/>
                <w:sz w:val="28"/>
                <w:szCs w:val="28"/>
              </w:rPr>
            </w:pPr>
          </w:p>
          <w:p w14:paraId="10AF9C44" w14:textId="77777777" w:rsidR="004F7F9E" w:rsidRPr="004F7F9E" w:rsidRDefault="004F7F9E" w:rsidP="004F7F9E">
            <w:pPr>
              <w:spacing w:line="273" w:lineRule="atLeast"/>
              <w:textAlignment w:val="baseline"/>
              <w:rPr>
                <w:color w:val="000000" w:themeColor="text1"/>
                <w:sz w:val="28"/>
                <w:szCs w:val="28"/>
              </w:rPr>
            </w:pPr>
          </w:p>
          <w:p w14:paraId="7A3F6DA7" w14:textId="0B72D6A0"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Zoom</w:t>
            </w:r>
            <w:r>
              <w:rPr>
                <w:color w:val="000000" w:themeColor="text1"/>
                <w:sz w:val="28"/>
                <w:szCs w:val="28"/>
              </w:rPr>
              <w:t xml:space="preserve"> ц</w:t>
            </w:r>
            <w:r w:rsidRPr="004F7F9E">
              <w:rPr>
                <w:color w:val="000000" w:themeColor="text1"/>
                <w:sz w:val="28"/>
                <w:szCs w:val="28"/>
              </w:rPr>
              <w:t>ифровой, до</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657092D9" w:rsidR="004F7F9E" w:rsidRDefault="004F7F9E" w:rsidP="004F7F9E">
            <w:pPr>
              <w:spacing w:line="273" w:lineRule="atLeast"/>
              <w:textAlignment w:val="baseline"/>
              <w:rPr>
                <w:color w:val="000000" w:themeColor="text1"/>
                <w:sz w:val="28"/>
                <w:szCs w:val="28"/>
              </w:rPr>
            </w:pPr>
            <w:r>
              <w:rPr>
                <w:color w:val="000000" w:themeColor="text1"/>
                <w:sz w:val="28"/>
                <w:szCs w:val="28"/>
              </w:rPr>
              <w:t>Видео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22B361FE"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х8</w:t>
            </w:r>
          </w:p>
          <w:p w14:paraId="4D7DFAB4"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3</w:t>
            </w:r>
          </w:p>
          <w:p w14:paraId="7E4288BF"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Широкий, Линейный, Узкий</w:t>
            </w:r>
          </w:p>
          <w:p w14:paraId="4FFDA20C"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x2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100 Mб/с</w:t>
            </w:r>
          </w:p>
          <w:p w14:paraId="57EED256" w14:textId="2A73A49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Т</w:t>
            </w:r>
            <w:r w:rsidRPr="004F7F9E">
              <w:rPr>
                <w:color w:val="000000" w:themeColor="text1"/>
                <w:sz w:val="28"/>
                <w:szCs w:val="28"/>
              </w:rPr>
              <w:t>рехосевая</w:t>
            </w:r>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19B69C14"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lastRenderedPageBreak/>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2E500F" w:rsidRPr="00412321" w:rsidRDefault="002E500F" w:rsidP="002E500F">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1848" w:type="dxa"/>
            <w:shd w:val="clear" w:color="auto" w:fill="auto"/>
          </w:tcPr>
          <w:p w14:paraId="45FA5550"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4</w:t>
            </w:r>
          </w:p>
          <w:p w14:paraId="2FA7C5D7"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10200</w:t>
            </w:r>
          </w:p>
          <w:p w14:paraId="18F790D4"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2E500F" w:rsidRPr="00412321"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2E500F" w:rsidRPr="00535265" w14:paraId="6F4CCD9E" w14:textId="77777777" w:rsidTr="002E500F">
        <w:tc>
          <w:tcPr>
            <w:tcW w:w="8082" w:type="dxa"/>
            <w:shd w:val="clear" w:color="auto" w:fill="auto"/>
          </w:tcPr>
          <w:p w14:paraId="01431E78" w14:textId="5E106351" w:rsidR="002E500F" w:rsidRPr="00EA19CC" w:rsidRDefault="00EA19CC" w:rsidP="002E500F">
            <w:pPr>
              <w:pStyle w:val="afa"/>
              <w:tabs>
                <w:tab w:val="left" w:pos="270"/>
              </w:tabs>
              <w:ind w:left="22"/>
              <w:rPr>
                <w:rFonts w:eastAsia="Microsoft YaHei"/>
                <w:color w:val="000000" w:themeColor="text1"/>
                <w:sz w:val="28"/>
                <w:szCs w:val="28"/>
              </w:rPr>
            </w:pPr>
            <w:r>
              <w:rPr>
                <w:rFonts w:eastAsia="Microsoft YaHei"/>
                <w:color w:val="000000" w:themeColor="text1"/>
                <w:sz w:val="28"/>
                <w:szCs w:val="28"/>
              </w:rPr>
              <w:lastRenderedPageBreak/>
              <w:t>Акб</w:t>
            </w:r>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2E500F" w:rsidRPr="00D668EA"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1848" w:type="dxa"/>
            <w:shd w:val="clear" w:color="auto" w:fill="auto"/>
          </w:tcPr>
          <w:p w14:paraId="203A5D4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2E500F"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2E500F" w:rsidRPr="00D668EA" w:rsidRDefault="002E500F" w:rsidP="002E500F">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EFA0" w14:textId="77777777" w:rsidR="00E172D1" w:rsidRDefault="00E172D1">
      <w:r>
        <w:separator/>
      </w:r>
    </w:p>
  </w:endnote>
  <w:endnote w:type="continuationSeparator" w:id="0">
    <w:p w14:paraId="0CEE4FE5" w14:textId="77777777" w:rsidR="00E172D1" w:rsidRDefault="00E1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42A7" w14:textId="77777777" w:rsidR="00E172D1" w:rsidRDefault="00E172D1">
      <w:r>
        <w:separator/>
      </w:r>
    </w:p>
  </w:footnote>
  <w:footnote w:type="continuationSeparator" w:id="0">
    <w:p w14:paraId="6A3C3C75" w14:textId="77777777" w:rsidR="00E172D1" w:rsidRDefault="00E17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30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4D4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B8D"/>
    <w:rsid w:val="00886FE9"/>
    <w:rsid w:val="00890BE8"/>
    <w:rsid w:val="0089127A"/>
    <w:rsid w:val="00891E47"/>
    <w:rsid w:val="0089269B"/>
    <w:rsid w:val="00892B8B"/>
    <w:rsid w:val="008933C3"/>
    <w:rsid w:val="00893A4F"/>
    <w:rsid w:val="00893E1F"/>
    <w:rsid w:val="00894F5B"/>
    <w:rsid w:val="00895348"/>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4477"/>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2D1"/>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5921"/>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1808</TotalTime>
  <Pages>22</Pages>
  <Words>2353</Words>
  <Characters>13418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100</cp:revision>
  <cp:lastPrinted>2022-02-16T14:34:00Z</cp:lastPrinted>
  <dcterms:created xsi:type="dcterms:W3CDTF">2022-02-11T07:02:00Z</dcterms:created>
  <dcterms:modified xsi:type="dcterms:W3CDTF">2022-03-21T14:10:00Z</dcterms:modified>
</cp:coreProperties>
</file>