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temporal e teste de Y-randomization. O modelo de grau 2 explicou 96,7% da variância da PSN no Cerrado, 94,2% na Caatinga e 73,7% na Mata Atlântica. Os resultados evidenciaram regimes ecológicos distintos de controle da produtividade primária: limitação hídrica sazonal no Cerrado, resposta pulsada à precipitação na Caatinga e controle multifatorial na Mata Atlântica. A análise do El Niño–Oscilação Sul (ENSO) indicou influência predominantemente indireta sobre a produtividade, com efeito direto sobre a PSN detectado apenas na Caatinga. Os resultados demonstram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temporal validation and a Y-randomization test. The degree-2 model explained 96.7% of PSN variance in the Cerrado, 94.2% in the Caatinga and 73.7% in the Atlantic Forest. The results revealed distinct ecological regimes of primary productivity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indicated a predominantly indirect influence on productivity, with a direct effect on PSN detected only in the Caatinga. The results demonstrate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11</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19</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29</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32</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42</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46</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62</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64</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left="0" w:firstLine="0"/>
            </w:pPr>
            <w:r>
              <w:rPr>
                <w:sz w:val="22"/>
              </w:rPr>
              <w:t>64</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16</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16</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16</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17</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17</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17</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20</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24</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26</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27</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30</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31</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31</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35</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38</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41</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44</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47</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48</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elas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 (NASA Earthdata) / Benfica et al. (2022)</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 (NASA Earthdata) / Benfica et al. (2022)</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CHIRPS (UCSB) / Benfica et al. (2022)</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(NASA Earthdata) / Benfica et al. (2022)</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 / Benfica et al. (2022)</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(NASA Earthdata) / Benfica et al. (2022)</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w:r>
        <w:t>Já a ausência da área queimada (BURNlog)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SAZsin e SAZcos).</w:t>
      </w:r>
    </w:p>
    <w:tbl>
      <w:tblPr>
        <w:tblStyle w:val="TableGrid"/>
        <w:tblW w:w="5953" w:type="dxa"/>
        <w:jc w:val="center"/>
        <w:tblLayout w:type="fixed"/>
        <w:tblLook w:firstColumn="1" w:firstRow="1" w:lastColumn="0" w:lastRow="0" w:noHBand="0" w:noVBand="1" w:val="04A0"/>
      </w:tblPr>
      <w:tblGrid>
        <w:gridCol w:w="2551"/>
        <w:gridCol w:w="1701"/>
        <w:gridCol w:w="1701"/>
      </w:tblGrid>
      <w:tr>
        <w:trPr>
          <w:tblHeader w:val="true"/>
          <w:cantSplit/>
        </w:trPr>
        <w:tc>
          <w:tcPr>
            <w:tcW w:type="dxa" w:w="2551"/>
          </w:tcPr>
          <w:p>
            <w:pPr>
              <w:keepNext/>
              <w:spacing w:before="0" w:after="0"/>
              <w:ind w:left="0" w:firstLine="0"/>
            </w:pPr>
            <w:r>
              <w:rPr>
                <w:b/>
                <w:sz w:val="18"/>
              </w:rPr>
              <w:t>Bioma</w:t>
            </w:r>
          </w:p>
        </w:tc>
        <w:tc>
          <w:tcPr>
            <w:tcW w:type="dxa" w:w="1701"/>
          </w:tcPr>
          <w:p>
            <w:pPr>
              <w:keepNext/>
              <w:spacing w:before="0" w:after="0"/>
              <w:ind w:left="0" w:firstLine="0"/>
            </w:pPr>
            <w:r>
              <w:rPr>
                <w:b/>
                <w:sz w:val="18"/>
              </w:rPr>
              <w:t>Variável</w:t>
            </w:r>
          </w:p>
        </w:tc>
        <w:tc>
          <w:tcPr>
            <w:tcW w:type="dxa" w:w="1701"/>
          </w:tcPr>
          <w:p>
            <w:pPr>
              <w:keepNext/>
              <w:spacing w:before="0" w:after="0"/>
              <w:ind w:left="0" w:firstLine="0"/>
            </w:pPr>
            <w:r>
              <w:rPr>
                <w:b/>
                <w:sz w:val="18"/>
              </w:rPr>
              <w:t>R² (%)</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64,9</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79,1</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70,2</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PRE</w:t>
            </w:r>
          </w:p>
        </w:tc>
        <w:tc>
          <w:tcPr>
            <w:tcW w:type="dxa" w:w="1701"/>
          </w:tcPr>
          <w:p>
            <w:pPr>
              <w:keepNext/>
              <w:spacing w:before="0" w:after="0"/>
              <w:ind w:left="0" w:firstLine="0"/>
            </w:pPr>
            <w:r>
              <w:rPr>
                <w:sz w:val="18"/>
              </w:rPr>
              <w:t>58,9</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63,3</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54,2</w:t>
            </w:r>
          </w:p>
        </w:tc>
      </w:tr>
      <w:tr>
        <w:tc>
          <w:tcPr>
            <w:tcW w:type="dxa" w:w="2551"/>
          </w:tcPr>
          <w:p>
            <w:pPr>
              <w:spacing w:before="0" w:after="0"/>
              <w:ind w:left="0" w:firstLine="0"/>
            </w:pPr>
            <w:r>
              <w:rPr>
                <w:sz w:val="18"/>
              </w:rPr>
              <w:t>Caatinga</w:t>
            </w:r>
          </w:p>
        </w:tc>
        <w:tc>
          <w:tcPr>
            <w:tcW w:type="dxa" w:w="1701"/>
          </w:tcPr>
          <w:p>
            <w:pPr>
              <w:spacing w:before="0" w:after="0"/>
              <w:ind w:left="0" w:firstLine="0"/>
            </w:pPr>
            <w:r>
              <w:rPr>
                <w:sz w:val="18"/>
              </w:rPr>
              <w:t>PRE</w:t>
            </w:r>
          </w:p>
        </w:tc>
        <w:tc>
          <w:tcPr>
            <w:tcW w:type="dxa" w:w="1701"/>
          </w:tcPr>
          <w:p>
            <w:pPr>
              <w:spacing w:before="0" w:after="0"/>
              <w:ind w:left="0" w:firstLine="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