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B365D"/>
          <w:sz w:val="48"/>
        </w:rPr>
        <w:t>Project Kickoff &amp; Engineering Specification</w:t>
      </w:r>
    </w:p>
    <w:p>
      <w:r>
        <w:rPr>
          <w:rFonts w:ascii="Calibri" w:hAnsi="Calibri"/>
          <w:i/>
          <w:color w:val="555555"/>
          <w:sz w:val="22"/>
        </w:rPr>
        <w:t>Autonomous Pallet/Tote Stacker AMR for Collaborative Warehouse Replenishment (UC6)</w:t>
        <w:br/>
        <w:t>Course: 61CSE326 – Project Module (WS2026) | Vietnamese-German University (VGU)</w:t>
        <w:br/>
        <w:t>Supervising Lecturer: Dr.-Ing. Quang Huan Dong (huan.dq@vgu.edu.vn)</w:t>
      </w:r>
    </w:p>
    <w:p>
      <w:pPr>
        <w:spacing w:after="240"/>
      </w:pPr>
    </w:p>
    <w:p>
      <w:pPr>
        <w:spacing w:before="280" w:after="80"/>
      </w:pPr>
      <w:r>
        <w:rPr>
          <w:rFonts w:ascii="Calibri" w:hAnsi="Calibri"/>
          <w:b/>
          <w:color w:val="1B365D"/>
          <w:sz w:val="32"/>
        </w:rPr>
        <w:t>1. Topic Overview &amp; Executive Summary</w:t>
      </w:r>
    </w:p>
    <w:p>
      <w:pPr>
        <w:spacing w:after="80" w:line="276" w:lineRule="auto"/>
      </w:pPr>
      <w:r>
        <w:rPr>
          <w:rFonts w:ascii="Calibri" w:hAnsi="Calibri"/>
          <w:sz w:val="22"/>
        </w:rPr>
        <w:t>During autonomous warehouse and industrial operations, mobile robot movement is frequently obstructed by both static infrastructure (misaligned pallets, pillars, storage racks) and dynamic agents (walking personnel, moving transport carts, and other automated guided vehicles).</w:t>
      </w:r>
    </w:p>
    <w:p>
      <w:pPr>
        <w:spacing w:after="80" w:line="276" w:lineRule="auto"/>
      </w:pPr>
      <w:r>
        <w:rPr>
          <w:rFonts w:ascii="Calibri" w:hAnsi="Calibri"/>
          <w:sz w:val="22"/>
        </w:rPr>
        <w:t>To address this challenge within the scope of 61CSE326, our team is developing an Autonomous Pallet/Tote Stacker AMR (Autonomous Mobile Robot) targeting Use Case 6 (Collaborative Logistics &amp; Order Replenishment). The system pairs a differential-drive mobile base equipped with 2D LiDAR with a 1-degree-of-freedom (1-DOF) vertical lift mast. The robot retrieves bulk totes or palletized goods from warehouse racks and transports them to human-operated staging desks.</w:t>
      </w:r>
    </w:p>
    <w:p>
      <w:pPr>
        <w:spacing w:after="80" w:line="276" w:lineRule="auto"/>
      </w:pPr>
      <w:r>
        <w:rPr>
          <w:rFonts w:ascii="Calibri" w:hAnsi="Calibri"/>
          <w:sz w:val="22"/>
        </w:rPr>
        <w:t>The central objective is designing, implementing, and rigorously evaluating static and dynamic obstacle-avoidance path planning software in a high-fidelity 3D simulation environment (Unity 3D coupled to ROS 2 Humble via Unity-Robotics-Hub), architected with a strict hardware abstraction layer for seamless future porting to embedded microcontrollers (Nucleo STM32 / ESP32 running micro-ROS).</w:t>
      </w:r>
    </w:p>
    <w:p>
      <w:pPr>
        <w:spacing w:before="280" w:after="80"/>
      </w:pPr>
      <w:r>
        <w:rPr>
          <w:rFonts w:ascii="Calibri" w:hAnsi="Calibri"/>
          <w:b/>
          <w:color w:val="1B365D"/>
          <w:sz w:val="32"/>
        </w:rPr>
        <w:t>2. Status Quo, Industry Context &amp; Problem Statement</w:t>
      </w:r>
    </w:p>
    <w:p>
      <w:pPr>
        <w:spacing w:before="200" w:after="60"/>
      </w:pPr>
      <w:r>
        <w:rPr>
          <w:rFonts w:ascii="Calibri" w:hAnsi="Calibri"/>
          <w:b/>
          <w:color w:val="2B547E"/>
          <w:sz w:val="26"/>
        </w:rPr>
        <w:t>2.1 Status Quo &amp; The Practical Reality</w:t>
      </w:r>
    </w:p>
    <w:p>
      <w:pPr>
        <w:spacing w:after="80" w:line="276" w:lineRule="auto"/>
      </w:pPr>
      <w:r>
        <w:rPr>
          <w:rFonts w:ascii="Calibri" w:hAnsi="Calibri"/>
          <w:sz w:val="22"/>
        </w:rPr>
        <w:t>In modern retail fulfillment centers and warehouse backrooms, manual material transport constitutes over 50% of manual labor hours. Human workers spend hours walking miles daily pushing heavy carts between bulk storage aisles and packing benches.</w:t>
      </w:r>
    </w:p>
    <w:p>
      <w:pPr>
        <w:spacing w:after="80" w:line="276" w:lineRule="auto"/>
      </w:pPr>
      <w:r>
        <w:rPr>
          <w:rFonts w:ascii="Calibri" w:hAnsi="Calibri"/>
          <w:b/>
          <w:sz w:val="22"/>
        </w:rPr>
        <w:t xml:space="preserve">The Retail-Facing Scope Trap: </w:t>
      </w:r>
      <w:r>
        <w:rPr>
          <w:rFonts w:ascii="Calibri" w:hAnsi="Calibri"/>
          <w:sz w:val="22"/>
        </w:rPr>
        <w:t xml:space="preserve"> Attempting fine-grained retail shelf stocking (placing consumer packages neatly facing forward on customer shelves) requires multi-axis dexterous arms, soft grippers, tactile sensing, and costly 3D vision. This is technically fragile and commercially impractical for a mobile robot.</w:t>
      </w:r>
    </w:p>
    <w:p>
      <w:pPr>
        <w:spacing w:after="80" w:line="276" w:lineRule="auto"/>
      </w:pPr>
      <w:r>
        <w:rPr>
          <w:rFonts w:ascii="Calibri" w:hAnsi="Calibri"/>
          <w:b/>
          <w:sz w:val="22"/>
        </w:rPr>
        <w:t xml:space="preserve">The Industry Solution: </w:t>
      </w:r>
      <w:r>
        <w:rPr>
          <w:rFonts w:ascii="Calibri" w:hAnsi="Calibri"/>
          <w:sz w:val="22"/>
        </w:rPr>
        <w:t xml:space="preserve"> Modern automated facilities (e.g., Amazon Robotics, Geek+, Hai Robotics) utilize a collaborative human-robot workflow: the AMR handles the heavy, repetitive hauling of bulk totes across long corridors, while human workers at consolidation desks perform dexterous inspection, packing, and individual shelf stocking.</w:t>
      </w:r>
    </w:p>
    <w:p>
      <w:pPr>
        <w:spacing w:before="200" w:after="60"/>
      </w:pPr>
      <w:r>
        <w:rPr>
          <w:rFonts w:ascii="Calibri" w:hAnsi="Calibri"/>
          <w:b/>
          <w:color w:val="2B547E"/>
          <w:sz w:val="26"/>
        </w:rPr>
        <w:t>2.2 The Engineering Problem Statement</w:t>
      </w:r>
    </w:p>
    <w:p>
      <w:pPr>
        <w:spacing w:after="80" w:line="276" w:lineRule="auto"/>
      </w:pPr>
      <w:r>
        <w:rPr>
          <w:rFonts w:ascii="Calibri" w:hAnsi="Calibri"/>
          <w:sz w:val="22"/>
        </w:rPr>
        <w:t>Deploying autonomous stacker robots into shared human-robot warehouse corridors introduces critical safety and routing challenges. Fixed global paths are constantly invalidated by transient obstacles (dropped boxes, misplaced equipment) and unpredictable dynamic agents (walking warehouse staff, crossing manual carts).</w:t>
      </w:r>
    </w:p>
    <w:p>
      <w:pPr>
        <w:spacing w:after="80" w:line="276" w:lineRule="auto"/>
      </w:pPr>
      <w:r>
        <w:rPr>
          <w:rFonts w:ascii="Calibri" w:hAnsi="Calibri"/>
          <w:sz w:val="22"/>
        </w:rPr>
        <w:t>The software system must guarantee: (1) collision-free navigation under kinematic constraints of a loaded stacker AMR; (2) real-time reactive obstacle avoidance without freezing or oscillating in narrow warehouse aisles; and (3) graceful dynamic interaction by decelerating, yielding, or dynamically replanning when human trajectories intersect the robot's operational envelope.</w:t>
      </w:r>
    </w:p>
    <w:p>
      <w:pPr>
        <w:spacing w:before="280" w:after="80"/>
      </w:pPr>
      <w:r>
        <w:rPr>
          <w:rFonts w:ascii="Calibri" w:hAnsi="Calibri"/>
          <w:b/>
          <w:color w:val="1B365D"/>
          <w:sz w:val="32"/>
        </w:rPr>
        <w:t>3. Project Scope: In-Scope vs. Out-of-Scope</w:t>
      </w:r>
    </w:p>
    <w:p>
      <w:pPr>
        <w:pStyle w:val="ListBullet"/>
        <w:spacing w:after="80" w:line="276" w:lineRule="auto"/>
      </w:pPr>
      <w:r>
        <w:rPr>
          <w:rFonts w:ascii="Calibri" w:hAnsi="Calibri"/>
          <w:b/>
          <w:sz w:val="22"/>
        </w:rPr>
        <w:t xml:space="preserve">Simulation Environment: </w:t>
      </w:r>
      <w:r>
        <w:rPr>
          <w:rFonts w:ascii="Calibri" w:hAnsi="Calibri"/>
          <w:sz w:val="22"/>
        </w:rPr>
        <w:t>High-fidelity Unity warehouse scene (storage racks, pallets, totes, human staging desks, dynamic pedestrian agents driven by Unity NavMesh).</w:t>
      </w:r>
    </w:p>
    <w:p>
      <w:pPr>
        <w:pStyle w:val="ListBullet"/>
        <w:spacing w:after="80" w:line="276" w:lineRule="auto"/>
      </w:pPr>
      <w:r>
        <w:rPr>
          <w:rFonts w:ascii="Calibri" w:hAnsi="Calibri"/>
          <w:b/>
          <w:sz w:val="22"/>
        </w:rPr>
        <w:t xml:space="preserve">Robot Morphology: </w:t>
      </w:r>
      <w:r>
        <w:rPr>
          <w:rFonts w:ascii="Calibri" w:hAnsi="Calibri"/>
          <w:sz w:val="22"/>
        </w:rPr>
        <w:t>Differential-drive pallet stacker AMR with a vertical prismatic lift mast, modeled in URDF and simulated via Unity ArticulationBody physics.</w:t>
      </w:r>
    </w:p>
    <w:p>
      <w:pPr>
        <w:pStyle w:val="ListBullet"/>
        <w:spacing w:after="80" w:line="276" w:lineRule="auto"/>
      </w:pPr>
      <w:r>
        <w:rPr>
          <w:rFonts w:ascii="Calibri" w:hAnsi="Calibri"/>
          <w:b/>
          <w:sz w:val="22"/>
        </w:rPr>
        <w:t xml:space="preserve">Communication Bridge: </w:t>
      </w:r>
      <w:r>
        <w:rPr>
          <w:rFonts w:ascii="Calibri" w:hAnsi="Calibri"/>
          <w:sz w:val="22"/>
        </w:rPr>
        <w:t>Unity-Robotics-Hub (ROS-TCP-Connector &lt;-&gt; ROS-TCP-Endpoint) running bidirectional message streams over local TCP sockets.</w:t>
      </w:r>
    </w:p>
    <w:p>
      <w:pPr>
        <w:pStyle w:val="ListBullet"/>
        <w:spacing w:after="80" w:line="276" w:lineRule="auto"/>
      </w:pPr>
      <w:r>
        <w:rPr>
          <w:rFonts w:ascii="Calibri" w:hAnsi="Calibri"/>
          <w:b/>
          <w:sz w:val="22"/>
        </w:rPr>
        <w:t xml:space="preserve">Obstacle Avoidance Stack: </w:t>
      </w:r>
      <w:r>
        <w:rPr>
          <w:rFonts w:ascii="Calibri" w:hAnsi="Calibri"/>
          <w:sz w:val="22"/>
        </w:rPr>
        <w:t>ROS 2 Nav2 global planner (A* / Dijkstra) coupled with tuned local reactive planners (DWA / TEB / Artificial Potential Fields) for static and dynamic avoidance.</w:t>
      </w:r>
    </w:p>
    <w:p>
      <w:pPr>
        <w:pStyle w:val="ListBullet"/>
        <w:spacing w:after="80" w:line="276" w:lineRule="auto"/>
      </w:pPr>
      <w:r>
        <w:rPr>
          <w:rFonts w:ascii="Calibri" w:hAnsi="Calibri"/>
          <w:b/>
          <w:sz w:val="22"/>
        </w:rPr>
        <w:t xml:space="preserve">Sim-to-Real Architecture: </w:t>
      </w:r>
      <w:r>
        <w:rPr>
          <w:rFonts w:ascii="Calibri" w:hAnsi="Calibri"/>
          <w:sz w:val="22"/>
        </w:rPr>
        <w:t>Standard ROS 2 topic compliance (/scan, /cmd_vel, /odom, /tf) ensuring 1-to-1 software reuse when switching from Unity to physical micro-ROS (STM32/ESP32).</w:t>
      </w:r>
    </w:p>
    <w:p>
      <w:pPr>
        <w:pStyle w:val="ListBullet"/>
        <w:spacing w:after="80" w:line="276" w:lineRule="auto"/>
      </w:pPr>
      <w:r>
        <w:rPr>
          <w:rFonts w:ascii="Calibri" w:hAnsi="Calibri"/>
          <w:b/>
          <w:sz w:val="22"/>
        </w:rPr>
        <w:t xml:space="preserve">Out of Scope (Justified): </w:t>
      </w:r>
      <w:r>
        <w:rPr>
          <w:rFonts w:ascii="Calibri" w:hAnsi="Calibri"/>
          <w:sz w:val="22"/>
        </w:rPr>
        <w:t>Multi-DOF articulated arm manipulation (deferred to human workers at staging area to keep 80% focus on obstacle-avoidance navigation).</w:t>
      </w:r>
    </w:p>
    <w:p>
      <w:pPr>
        <w:pStyle w:val="ListBullet"/>
        <w:spacing w:after="80" w:line="276" w:lineRule="auto"/>
      </w:pPr>
      <w:r>
        <w:rPr>
          <w:rFonts w:ascii="Calibri" w:hAnsi="Calibri"/>
          <w:b/>
          <w:sz w:val="22"/>
        </w:rPr>
        <w:t xml:space="preserve">Out of Scope (Justified): </w:t>
      </w:r>
      <w:r>
        <w:rPr>
          <w:rFonts w:ascii="Calibri" w:hAnsi="Calibri"/>
          <w:sz w:val="22"/>
        </w:rPr>
        <w:t>High-payload physical hydraulics (scaled to desktop-scale prototype for the hardware phase).</w:t>
      </w:r>
    </w:p>
    <w:p>
      <w:pPr>
        <w:spacing w:before="280" w:after="80"/>
      </w:pPr>
      <w:r>
        <w:rPr>
          <w:rFonts w:ascii="Calibri" w:hAnsi="Calibri"/>
          <w:b/>
          <w:color w:val="1B365D"/>
          <w:sz w:val="32"/>
        </w:rPr>
        <w:t>4. Course Milestones &amp; Deliverables Roadmap</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20" w:type="dxa"/>
              <w:bottom w:w="120" w:type="dxa"/>
              <w:left w:w="150" w:type="dxa"/>
              <w:right w:w="150" w:type="dxa"/>
            </w:tcMar>
          </w:tcPr>
          <w:p>
            <w:r>
              <w:rPr>
                <w:rFonts w:ascii="Calibri" w:hAnsi="Calibri"/>
                <w:b/>
                <w:color w:val="FFFFFF"/>
              </w:rPr>
              <w:t>Milestone / Due</w:t>
            </w:r>
          </w:p>
        </w:tc>
        <w:tc>
          <w:tcPr>
            <w:tcW w:type="dxa" w:w="2340"/>
            <w:shd w:val="clear" w:color="auto" w:fill="1B365D"/>
            <w:tcMar>
              <w:top w:w="120" w:type="dxa"/>
              <w:bottom w:w="120" w:type="dxa"/>
              <w:left w:w="150" w:type="dxa"/>
              <w:right w:w="150" w:type="dxa"/>
            </w:tcMar>
          </w:tcPr>
          <w:p>
            <w:r>
              <w:rPr>
                <w:rFonts w:ascii="Calibri" w:hAnsi="Calibri"/>
                <w:b/>
                <w:color w:val="FFFFFF"/>
              </w:rPr>
              <w:t>Week</w:t>
            </w:r>
          </w:p>
        </w:tc>
        <w:tc>
          <w:tcPr>
            <w:tcW w:type="dxa" w:w="2340"/>
            <w:shd w:val="clear" w:color="auto" w:fill="1B365D"/>
            <w:tcMar>
              <w:top w:w="120" w:type="dxa"/>
              <w:bottom w:w="120" w:type="dxa"/>
              <w:left w:w="150" w:type="dxa"/>
              <w:right w:w="150" w:type="dxa"/>
            </w:tcMar>
          </w:tcPr>
          <w:p>
            <w:r>
              <w:rPr>
                <w:rFonts w:ascii="Calibri" w:hAnsi="Calibri"/>
                <w:b/>
                <w:color w:val="FFFFFF"/>
              </w:rPr>
              <w:t>Core Deliverable</w:t>
            </w:r>
          </w:p>
        </w:tc>
        <w:tc>
          <w:tcPr>
            <w:tcW w:type="dxa" w:w="2340"/>
            <w:shd w:val="clear" w:color="auto" w:fill="1B365D"/>
            <w:tcMar>
              <w:top w:w="120" w:type="dxa"/>
              <w:bottom w:w="120" w:type="dxa"/>
              <w:left w:w="150" w:type="dxa"/>
              <w:right w:w="150" w:type="dxa"/>
            </w:tcMar>
          </w:tcPr>
          <w:p>
            <w:r>
              <w:rPr>
                <w:rFonts w:ascii="Calibri" w:hAnsi="Calibri"/>
                <w:b/>
                <w:color w:val="FFFFFF"/>
              </w:rPr>
              <w:t>Weight</w:t>
            </w:r>
          </w:p>
        </w:tc>
      </w:tr>
      <w:tr>
        <w:tc>
          <w:tcPr>
            <w:tcW w:type="dxa" w:w="2340"/>
            <w:shd w:val="clear" w:color="auto" w:fill="FFFFFF"/>
            <w:tcMar>
              <w:top w:w="100" w:type="dxa"/>
              <w:bottom w:w="100" w:type="dxa"/>
              <w:left w:w="150" w:type="dxa"/>
              <w:right w:w="150" w:type="dxa"/>
            </w:tcMar>
          </w:tcPr>
          <w:p>
            <w:r>
              <w:rPr>
                <w:rFonts w:ascii="Calibri" w:hAnsi="Calibri"/>
                <w:sz w:val="20"/>
              </w:rPr>
              <w:t>Milestone 1</w:t>
              <w:br/>
              <w:t>(Session 5)</w:t>
            </w:r>
          </w:p>
        </w:tc>
        <w:tc>
          <w:tcPr>
            <w:tcW w:type="dxa" w:w="2340"/>
            <w:shd w:val="clear" w:color="auto" w:fill="FFFFFF"/>
            <w:tcMar>
              <w:top w:w="100" w:type="dxa"/>
              <w:bottom w:w="100" w:type="dxa"/>
              <w:left w:w="150" w:type="dxa"/>
              <w:right w:w="150" w:type="dxa"/>
            </w:tcMar>
          </w:tcPr>
          <w:p>
            <w:r>
              <w:rPr>
                <w:rFonts w:ascii="Calibri" w:hAnsi="Calibri"/>
                <w:sz w:val="20"/>
              </w:rPr>
              <w:t>Week 5</w:t>
            </w:r>
          </w:p>
        </w:tc>
        <w:tc>
          <w:tcPr>
            <w:tcW w:type="dxa" w:w="2340"/>
            <w:shd w:val="clear" w:color="auto" w:fill="FFFFFF"/>
            <w:tcMar>
              <w:top w:w="100" w:type="dxa"/>
              <w:bottom w:w="100" w:type="dxa"/>
              <w:left w:w="150" w:type="dxa"/>
              <w:right w:w="150" w:type="dxa"/>
            </w:tcMar>
          </w:tcPr>
          <w:p>
            <w:r>
              <w:rPr>
                <w:rFonts w:ascii="Calibri" w:hAnsi="Calibri"/>
                <w:sz w:val="20"/>
              </w:rPr>
              <w:t>Demo tutorial adaptation for UC6: Robot spawns in Unity warehouse, connects via ROS-TCP, navigates waypoint A -&gt; B, triggers lift service.</w:t>
            </w:r>
          </w:p>
        </w:tc>
        <w:tc>
          <w:tcPr>
            <w:tcW w:type="dxa" w:w="2340"/>
            <w:shd w:val="clear" w:color="auto" w:fill="FFFFFF"/>
            <w:tcMar>
              <w:top w:w="100" w:type="dxa"/>
              <w:bottom w:w="100" w:type="dxa"/>
              <w:left w:w="150" w:type="dxa"/>
              <w:right w:w="150" w:type="dxa"/>
            </w:tcMar>
          </w:tcPr>
          <w:p>
            <w:r>
              <w:rPr>
                <w:rFonts w:ascii="Calibri" w:hAnsi="Calibri"/>
                <w:sz w:val="20"/>
              </w:rPr>
              <w:t>16.7%</w:t>
              <w:br/>
              <w:t>(Part of 50%)</w:t>
            </w:r>
          </w:p>
        </w:tc>
      </w:tr>
      <w:tr>
        <w:tc>
          <w:tcPr>
            <w:tcW w:type="dxa" w:w="2340"/>
            <w:shd w:val="clear" w:color="auto" w:fill="F2F4F7"/>
            <w:tcMar>
              <w:top w:w="100" w:type="dxa"/>
              <w:bottom w:w="100" w:type="dxa"/>
              <w:left w:w="150" w:type="dxa"/>
              <w:right w:w="150" w:type="dxa"/>
            </w:tcMar>
          </w:tcPr>
          <w:p>
            <w:r>
              <w:rPr>
                <w:rFonts w:ascii="Calibri" w:hAnsi="Calibri"/>
                <w:sz w:val="20"/>
              </w:rPr>
              <w:t>Milestone 2</w:t>
              <w:br/>
              <w:t>(Session 10)</w:t>
            </w:r>
          </w:p>
        </w:tc>
        <w:tc>
          <w:tcPr>
            <w:tcW w:type="dxa" w:w="2340"/>
            <w:shd w:val="clear" w:color="auto" w:fill="F2F4F7"/>
            <w:tcMar>
              <w:top w:w="100" w:type="dxa"/>
              <w:bottom w:w="100" w:type="dxa"/>
              <w:left w:w="150" w:type="dxa"/>
              <w:right w:w="150" w:type="dxa"/>
            </w:tcMar>
          </w:tcPr>
          <w:p>
            <w:r>
              <w:rPr>
                <w:rFonts w:ascii="Calibri" w:hAnsi="Calibri"/>
                <w:sz w:val="20"/>
              </w:rPr>
              <w:t>Week 10</w:t>
            </w:r>
          </w:p>
        </w:tc>
        <w:tc>
          <w:tcPr>
            <w:tcW w:type="dxa" w:w="2340"/>
            <w:shd w:val="clear" w:color="auto" w:fill="F2F4F7"/>
            <w:tcMar>
              <w:top w:w="100" w:type="dxa"/>
              <w:bottom w:w="100" w:type="dxa"/>
              <w:left w:w="150" w:type="dxa"/>
              <w:right w:w="150" w:type="dxa"/>
            </w:tcMar>
          </w:tcPr>
          <w:p>
            <w:r>
              <w:rPr>
                <w:rFonts w:ascii="Calibri" w:hAnsi="Calibri"/>
                <w:sz w:val="20"/>
              </w:rPr>
              <w:t>Demo Static Obstacle Avoidance: Navigating cluttered aisles with dropped boxes, misplaced pallets, and static equipment using 2D LiDAR costmaps.</w:t>
            </w:r>
          </w:p>
        </w:tc>
        <w:tc>
          <w:tcPr>
            <w:tcW w:type="dxa" w:w="2340"/>
            <w:shd w:val="clear" w:color="auto" w:fill="F2F4F7"/>
            <w:tcMar>
              <w:top w:w="100" w:type="dxa"/>
              <w:bottom w:w="100" w:type="dxa"/>
              <w:left w:w="150" w:type="dxa"/>
              <w:right w:w="150" w:type="dxa"/>
            </w:tcMar>
          </w:tcPr>
          <w:p>
            <w:r>
              <w:rPr>
                <w:rFonts w:ascii="Calibri" w:hAnsi="Calibri"/>
                <w:sz w:val="20"/>
              </w:rPr>
              <w:t>16.7%</w:t>
              <w:br/>
              <w:t>(Part of 50%)</w:t>
            </w:r>
          </w:p>
        </w:tc>
      </w:tr>
      <w:tr>
        <w:tc>
          <w:tcPr>
            <w:tcW w:type="dxa" w:w="2340"/>
            <w:shd w:val="clear" w:color="auto" w:fill="FFFFFF"/>
            <w:tcMar>
              <w:top w:w="100" w:type="dxa"/>
              <w:bottom w:w="100" w:type="dxa"/>
              <w:left w:w="150" w:type="dxa"/>
              <w:right w:w="150" w:type="dxa"/>
            </w:tcMar>
          </w:tcPr>
          <w:p>
            <w:r>
              <w:rPr>
                <w:rFonts w:ascii="Calibri" w:hAnsi="Calibri"/>
                <w:sz w:val="20"/>
              </w:rPr>
              <w:t>Milestone 3</w:t>
              <w:br/>
              <w:t>(Session 14)</w:t>
            </w:r>
          </w:p>
        </w:tc>
        <w:tc>
          <w:tcPr>
            <w:tcW w:type="dxa" w:w="2340"/>
            <w:shd w:val="clear" w:color="auto" w:fill="FFFFFF"/>
            <w:tcMar>
              <w:top w:w="100" w:type="dxa"/>
              <w:bottom w:w="100" w:type="dxa"/>
              <w:left w:w="150" w:type="dxa"/>
              <w:right w:w="150" w:type="dxa"/>
            </w:tcMar>
          </w:tcPr>
          <w:p>
            <w:r>
              <w:rPr>
                <w:rFonts w:ascii="Calibri" w:hAnsi="Calibri"/>
                <w:sz w:val="20"/>
              </w:rPr>
              <w:t>Week 14</w:t>
            </w:r>
          </w:p>
        </w:tc>
        <w:tc>
          <w:tcPr>
            <w:tcW w:type="dxa" w:w="2340"/>
            <w:shd w:val="clear" w:color="auto" w:fill="FFFFFF"/>
            <w:tcMar>
              <w:top w:w="100" w:type="dxa"/>
              <w:bottom w:w="100" w:type="dxa"/>
              <w:left w:w="150" w:type="dxa"/>
              <w:right w:w="150" w:type="dxa"/>
            </w:tcMar>
          </w:tcPr>
          <w:p>
            <w:r>
              <w:rPr>
                <w:rFonts w:ascii="Calibri" w:hAnsi="Calibri"/>
                <w:sz w:val="20"/>
              </w:rPr>
              <w:t>Demo Dynamic Obstacle Avoidance: Real-time collision avoidance with walking humans and crossing carts in shared aisles.</w:t>
            </w:r>
          </w:p>
        </w:tc>
        <w:tc>
          <w:tcPr>
            <w:tcW w:type="dxa" w:w="2340"/>
            <w:shd w:val="clear" w:color="auto" w:fill="FFFFFF"/>
            <w:tcMar>
              <w:top w:w="100" w:type="dxa"/>
              <w:bottom w:w="100" w:type="dxa"/>
              <w:left w:w="150" w:type="dxa"/>
              <w:right w:w="150" w:type="dxa"/>
            </w:tcMar>
          </w:tcPr>
          <w:p>
            <w:r>
              <w:rPr>
                <w:rFonts w:ascii="Calibri" w:hAnsi="Calibri"/>
                <w:sz w:val="20"/>
              </w:rPr>
              <w:t>16.7%</w:t>
              <w:br/>
              <w:t>(Part of 50%)</w:t>
            </w:r>
          </w:p>
        </w:tc>
      </w:tr>
      <w:tr>
        <w:tc>
          <w:tcPr>
            <w:tcW w:type="dxa" w:w="2340"/>
            <w:shd w:val="clear" w:color="auto" w:fill="F2F4F7"/>
            <w:tcMar>
              <w:top w:w="100" w:type="dxa"/>
              <w:bottom w:w="100" w:type="dxa"/>
              <w:left w:w="150" w:type="dxa"/>
              <w:right w:w="150" w:type="dxa"/>
            </w:tcMar>
          </w:tcPr>
          <w:p>
            <w:r>
              <w:rPr>
                <w:rFonts w:ascii="Calibri" w:hAnsi="Calibri"/>
                <w:sz w:val="20"/>
              </w:rPr>
              <w:t>Final Report</w:t>
              <w:br/>
              <w:t>(Session 15)</w:t>
            </w:r>
          </w:p>
        </w:tc>
        <w:tc>
          <w:tcPr>
            <w:tcW w:type="dxa" w:w="2340"/>
            <w:shd w:val="clear" w:color="auto" w:fill="F2F4F7"/>
            <w:tcMar>
              <w:top w:w="100" w:type="dxa"/>
              <w:bottom w:w="100" w:type="dxa"/>
              <w:left w:w="150" w:type="dxa"/>
              <w:right w:w="150" w:type="dxa"/>
            </w:tcMar>
          </w:tcPr>
          <w:p>
            <w:r>
              <w:rPr>
                <w:rFonts w:ascii="Calibri" w:hAnsi="Calibri"/>
                <w:sz w:val="20"/>
              </w:rPr>
              <w:t>Week 15</w:t>
            </w:r>
          </w:p>
        </w:tc>
        <w:tc>
          <w:tcPr>
            <w:tcW w:type="dxa" w:w="2340"/>
            <w:shd w:val="clear" w:color="auto" w:fill="F2F4F7"/>
            <w:tcMar>
              <w:top w:w="100" w:type="dxa"/>
              <w:bottom w:w="100" w:type="dxa"/>
              <w:left w:w="150" w:type="dxa"/>
              <w:right w:w="150" w:type="dxa"/>
            </w:tcMar>
          </w:tcPr>
          <w:p>
            <w:r>
              <w:rPr>
                <w:rFonts w:ascii="Calibri" w:hAnsi="Calibri"/>
                <w:sz w:val="20"/>
              </w:rPr>
              <w:t>Comprehensive technical documentation following Moodle checklist and template.</w:t>
            </w:r>
          </w:p>
        </w:tc>
        <w:tc>
          <w:tcPr>
            <w:tcW w:type="dxa" w:w="2340"/>
            <w:shd w:val="clear" w:color="auto" w:fill="F2F4F7"/>
            <w:tcMar>
              <w:top w:w="100" w:type="dxa"/>
              <w:bottom w:w="100" w:type="dxa"/>
              <w:left w:w="150" w:type="dxa"/>
              <w:right w:w="150" w:type="dxa"/>
            </w:tcMar>
          </w:tcPr>
          <w:p>
            <w:r>
              <w:rPr>
                <w:rFonts w:ascii="Calibri" w:hAnsi="Calibri"/>
                <w:sz w:val="20"/>
              </w:rPr>
              <w:t>35%</w:t>
            </w:r>
          </w:p>
        </w:tc>
      </w:tr>
      <w:tr>
        <w:tc>
          <w:tcPr>
            <w:tcW w:type="dxa" w:w="2340"/>
            <w:shd w:val="clear" w:color="auto" w:fill="FFFFFF"/>
            <w:tcMar>
              <w:top w:w="100" w:type="dxa"/>
              <w:bottom w:w="100" w:type="dxa"/>
              <w:left w:w="150" w:type="dxa"/>
              <w:right w:w="150" w:type="dxa"/>
            </w:tcMar>
          </w:tcPr>
          <w:p>
            <w:r>
              <w:rPr>
                <w:rFonts w:ascii="Calibri" w:hAnsi="Calibri"/>
                <w:sz w:val="20"/>
              </w:rPr>
              <w:t>Oral Demo</w:t>
              <w:br/>
              <w:t>(Session 15)</w:t>
            </w:r>
          </w:p>
        </w:tc>
        <w:tc>
          <w:tcPr>
            <w:tcW w:type="dxa" w:w="2340"/>
            <w:shd w:val="clear" w:color="auto" w:fill="FFFFFF"/>
            <w:tcMar>
              <w:top w:w="100" w:type="dxa"/>
              <w:bottom w:w="100" w:type="dxa"/>
              <w:left w:w="150" w:type="dxa"/>
              <w:right w:w="150" w:type="dxa"/>
            </w:tcMar>
          </w:tcPr>
          <w:p>
            <w:r>
              <w:rPr>
                <w:rFonts w:ascii="Calibri" w:hAnsi="Calibri"/>
                <w:sz w:val="20"/>
              </w:rPr>
              <w:t>Week 15</w:t>
            </w:r>
          </w:p>
        </w:tc>
        <w:tc>
          <w:tcPr>
            <w:tcW w:type="dxa" w:w="2340"/>
            <w:shd w:val="clear" w:color="auto" w:fill="FFFFFF"/>
            <w:tcMar>
              <w:top w:w="100" w:type="dxa"/>
              <w:bottom w:w="100" w:type="dxa"/>
              <w:left w:w="150" w:type="dxa"/>
              <w:right w:w="150" w:type="dxa"/>
            </w:tcMar>
          </w:tcPr>
          <w:p>
            <w:r>
              <w:rPr>
                <w:rFonts w:ascii="Calibri" w:hAnsi="Calibri"/>
                <w:sz w:val="20"/>
              </w:rPr>
              <w:t>Live demonstration, technical defense, and presentation slides.</w:t>
            </w:r>
          </w:p>
        </w:tc>
        <w:tc>
          <w:tcPr>
            <w:tcW w:type="dxa" w:w="2340"/>
            <w:shd w:val="clear" w:color="auto" w:fill="FFFFFF"/>
            <w:tcMar>
              <w:top w:w="100" w:type="dxa"/>
              <w:bottom w:w="100" w:type="dxa"/>
              <w:left w:w="150" w:type="dxa"/>
              <w:right w:w="150" w:type="dxa"/>
            </w:tcMar>
          </w:tcPr>
          <w:p>
            <w:r>
              <w:rPr>
                <w:rFonts w:ascii="Calibri" w:hAnsi="Calibri"/>
                <w:sz w:val="20"/>
              </w:rPr>
              <w:t>15%</w:t>
            </w:r>
          </w:p>
        </w:tc>
      </w:tr>
      <w:tr>
        <w:tc>
          <w:tcPr>
            <w:tcW w:type="dxa" w:w="2340"/>
            <w:shd w:val="clear" w:color="auto" w:fill="F2F4F7"/>
            <w:tcMar>
              <w:top w:w="100" w:type="dxa"/>
              <w:bottom w:w="100" w:type="dxa"/>
              <w:left w:w="150" w:type="dxa"/>
              <w:right w:w="150" w:type="dxa"/>
            </w:tcMar>
          </w:tcPr>
          <w:p>
            <w:r>
              <w:rPr>
                <w:rFonts w:ascii="Calibri" w:hAnsi="Calibri"/>
                <w:sz w:val="20"/>
              </w:rPr>
              <w:t>Weekly Reports</w:t>
              <w:br/>
              <w:t>(Sessions 1–14)</w:t>
            </w:r>
          </w:p>
        </w:tc>
        <w:tc>
          <w:tcPr>
            <w:tcW w:type="dxa" w:w="2340"/>
            <w:shd w:val="clear" w:color="auto" w:fill="F2F4F7"/>
            <w:tcMar>
              <w:top w:w="100" w:type="dxa"/>
              <w:bottom w:w="100" w:type="dxa"/>
              <w:left w:w="150" w:type="dxa"/>
              <w:right w:w="150" w:type="dxa"/>
            </w:tcMar>
          </w:tcPr>
          <w:p>
            <w:r>
              <w:rPr>
                <w:rFonts w:ascii="Calibri" w:hAnsi="Calibri"/>
                <w:sz w:val="20"/>
              </w:rPr>
              <w:t>Weekly</w:t>
            </w:r>
          </w:p>
        </w:tc>
        <w:tc>
          <w:tcPr>
            <w:tcW w:type="dxa" w:w="2340"/>
            <w:shd w:val="clear" w:color="auto" w:fill="F2F4F7"/>
            <w:tcMar>
              <w:top w:w="100" w:type="dxa"/>
              <w:bottom w:w="100" w:type="dxa"/>
              <w:left w:w="150" w:type="dxa"/>
              <w:right w:w="150" w:type="dxa"/>
            </w:tcMar>
          </w:tcPr>
          <w:p>
            <w:r>
              <w:rPr>
                <w:rFonts w:ascii="Calibri" w:hAnsi="Calibri"/>
                <w:sz w:val="20"/>
              </w:rPr>
              <w:t>Concise weekly progress update submitted to Moodle. (Strict -5% penalty per late submission!)</w:t>
            </w:r>
          </w:p>
        </w:tc>
        <w:tc>
          <w:tcPr>
            <w:tcW w:type="dxa" w:w="2340"/>
            <w:shd w:val="clear" w:color="auto" w:fill="F2F4F7"/>
            <w:tcMar>
              <w:top w:w="100" w:type="dxa"/>
              <w:bottom w:w="100" w:type="dxa"/>
              <w:left w:w="150" w:type="dxa"/>
              <w:right w:w="150" w:type="dxa"/>
            </w:tcMar>
          </w:tcPr>
          <w:p>
            <w:r>
              <w:rPr>
                <w:rFonts w:ascii="Calibri" w:hAnsi="Calibri"/>
                <w:sz w:val="20"/>
              </w:rPr>
              <w:t>Continuous</w:t>
            </w:r>
          </w:p>
        </w:tc>
      </w:tr>
    </w:tbl>
    <w:p>
      <w:pPr>
        <w:spacing w:after="200"/>
      </w:pPr>
    </w:p>
    <w:p>
      <w:pPr>
        <w:spacing w:before="280" w:after="80"/>
      </w:pPr>
      <w:r>
        <w:rPr>
          <w:rFonts w:ascii="Calibri" w:hAnsi="Calibri"/>
          <w:b/>
          <w:color w:val="1B365D"/>
          <w:sz w:val="32"/>
        </w:rPr>
        <w:t>5. Team Roles &amp; Responsibility Matrix (4 Members)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Mar>
              <w:top w:w="120" w:type="dxa"/>
              <w:bottom w:w="120" w:type="dxa"/>
              <w:left w:w="150" w:type="dxa"/>
              <w:right w:w="150" w:type="dxa"/>
            </w:tcMar>
          </w:tcPr>
          <w:p>
            <w:r>
              <w:rPr>
                <w:rFonts w:ascii="Calibri" w:hAnsi="Calibri"/>
                <w:b/>
                <w:color w:val="FFFFFF"/>
              </w:rPr>
              <w:t>Role &amp; Member</w:t>
            </w:r>
          </w:p>
        </w:tc>
        <w:tc>
          <w:tcPr>
            <w:tcW w:type="dxa" w:w="3120"/>
            <w:shd w:val="clear" w:color="auto" w:fill="1B365D"/>
            <w:tcMar>
              <w:top w:w="120" w:type="dxa"/>
              <w:bottom w:w="120" w:type="dxa"/>
              <w:left w:w="150" w:type="dxa"/>
              <w:right w:w="150" w:type="dxa"/>
            </w:tcMar>
          </w:tcPr>
          <w:p>
            <w:r>
              <w:rPr>
                <w:rFonts w:ascii="Calibri" w:hAnsi="Calibri"/>
                <w:b/>
                <w:color w:val="FFFFFF"/>
              </w:rPr>
              <w:t>Primary Domain</w:t>
            </w:r>
          </w:p>
        </w:tc>
        <w:tc>
          <w:tcPr>
            <w:tcW w:type="dxa" w:w="3120"/>
            <w:shd w:val="clear" w:color="auto" w:fill="1B365D"/>
            <w:tcMar>
              <w:top w:w="120" w:type="dxa"/>
              <w:bottom w:w="120" w:type="dxa"/>
              <w:left w:w="150" w:type="dxa"/>
              <w:right w:w="150" w:type="dxa"/>
            </w:tcMar>
          </w:tcPr>
          <w:p>
            <w:r>
              <w:rPr>
                <w:rFonts w:ascii="Calibri" w:hAnsi="Calibri"/>
                <w:b/>
                <w:color w:val="FFFFFF"/>
              </w:rPr>
              <w:t>Core Responsibilities</w:t>
            </w:r>
          </w:p>
        </w:tc>
      </w:tr>
      <w:tr>
        <w:tc>
          <w:tcPr>
            <w:tcW w:type="dxa" w:w="3120"/>
            <w:shd w:val="clear" w:color="auto" w:fill="FFFFFF"/>
            <w:tcMar>
              <w:top w:w="100" w:type="dxa"/>
              <w:bottom w:w="100" w:type="dxa"/>
              <w:left w:w="150" w:type="dxa"/>
              <w:right w:w="150" w:type="dxa"/>
            </w:tcMar>
          </w:tcPr>
          <w:p>
            <w:r>
              <w:rPr>
                <w:rFonts w:ascii="Calibri" w:hAnsi="Calibri"/>
                <w:sz w:val="20"/>
              </w:rPr>
              <w:t>Team Lead / System Architect</w:t>
              <w:br/>
              <w:t>(YOU)</w:t>
            </w:r>
          </w:p>
        </w:tc>
        <w:tc>
          <w:tcPr>
            <w:tcW w:type="dxa" w:w="3120"/>
            <w:shd w:val="clear" w:color="auto" w:fill="FFFFFF"/>
            <w:tcMar>
              <w:top w:w="100" w:type="dxa"/>
              <w:bottom w:w="100" w:type="dxa"/>
              <w:left w:w="150" w:type="dxa"/>
              <w:right w:w="150" w:type="dxa"/>
            </w:tcMar>
          </w:tcPr>
          <w:p>
            <w:r>
              <w:rPr>
                <w:rFonts w:ascii="Calibri" w:hAnsi="Calibri"/>
                <w:sz w:val="20"/>
              </w:rPr>
              <w:t>Embedded, Systems &amp; ROS 2</w:t>
            </w:r>
          </w:p>
        </w:tc>
        <w:tc>
          <w:tcPr>
            <w:tcW w:type="dxa" w:w="3120"/>
            <w:shd w:val="clear" w:color="auto" w:fill="FFFFFF"/>
            <w:tcMar>
              <w:top w:w="100" w:type="dxa"/>
              <w:bottom w:w="100" w:type="dxa"/>
              <w:left w:w="150" w:type="dxa"/>
              <w:right w:w="150" w:type="dxa"/>
            </w:tcMar>
          </w:tcPr>
          <w:p>
            <w:r>
              <w:rPr>
                <w:rFonts w:ascii="Calibri" w:hAnsi="Calibri"/>
                <w:sz w:val="20"/>
              </w:rPr>
              <w:t>Overall system architecture, Git repository management. ROS 2 workspace configuration, TF transforms, coordinate frames. Hardware abstraction layer and STM32 / ESP32 micro-ROS migration plan. Code reviews and integration testing.</w:t>
            </w:r>
          </w:p>
        </w:tc>
      </w:tr>
      <w:tr>
        <w:tc>
          <w:tcPr>
            <w:tcW w:type="dxa" w:w="3120"/>
            <w:shd w:val="clear" w:color="auto" w:fill="F2F4F7"/>
            <w:tcMar>
              <w:top w:w="100" w:type="dxa"/>
              <w:bottom w:w="100" w:type="dxa"/>
              <w:left w:w="150" w:type="dxa"/>
              <w:right w:w="150" w:type="dxa"/>
            </w:tcMar>
          </w:tcPr>
          <w:p>
            <w:r>
              <w:rPr>
                <w:rFonts w:ascii="Calibri" w:hAnsi="Calibri"/>
                <w:sz w:val="20"/>
              </w:rPr>
              <w:t>SWE Member 1</w:t>
              <w:br/>
              <w:t>(Algorithm Engineer)</w:t>
            </w:r>
          </w:p>
        </w:tc>
        <w:tc>
          <w:tcPr>
            <w:tcW w:type="dxa" w:w="3120"/>
            <w:shd w:val="clear" w:color="auto" w:fill="F2F4F7"/>
            <w:tcMar>
              <w:top w:w="100" w:type="dxa"/>
              <w:bottom w:w="100" w:type="dxa"/>
              <w:left w:w="150" w:type="dxa"/>
              <w:right w:w="150" w:type="dxa"/>
            </w:tcMar>
          </w:tcPr>
          <w:p>
            <w:r>
              <w:rPr>
                <w:rFonts w:ascii="Calibri" w:hAnsi="Calibri"/>
                <w:sz w:val="20"/>
              </w:rPr>
              <w:t>Algorithms &amp; Path Planning (Python/C++)</w:t>
            </w:r>
          </w:p>
        </w:tc>
        <w:tc>
          <w:tcPr>
            <w:tcW w:type="dxa" w:w="3120"/>
            <w:shd w:val="clear" w:color="auto" w:fill="F2F4F7"/>
            <w:tcMar>
              <w:top w:w="100" w:type="dxa"/>
              <w:bottom w:w="100" w:type="dxa"/>
              <w:left w:w="150" w:type="dxa"/>
              <w:right w:w="150" w:type="dxa"/>
            </w:tcMar>
          </w:tcPr>
          <w:p>
            <w:r>
              <w:rPr>
                <w:rFonts w:ascii="Calibri" w:hAnsi="Calibri"/>
                <w:sz w:val="20"/>
              </w:rPr>
              <w:t>ROS 2 Nav2 integration, Costmap2D parameter tuning. Implementation/tuning of local obstacle avoidance algorithms (DWA, TEB, APF). Dynamic obstacle velocity tracking and collision prediction. Benchmark metric evaluations (clearance, path smoothness).</w:t>
            </w:r>
          </w:p>
        </w:tc>
      </w:tr>
      <w:tr>
        <w:tc>
          <w:tcPr>
            <w:tcW w:type="dxa" w:w="3120"/>
            <w:shd w:val="clear" w:color="auto" w:fill="FFFFFF"/>
            <w:tcMar>
              <w:top w:w="100" w:type="dxa"/>
              <w:bottom w:w="100" w:type="dxa"/>
              <w:left w:w="150" w:type="dxa"/>
              <w:right w:w="150" w:type="dxa"/>
            </w:tcMar>
          </w:tcPr>
          <w:p>
            <w:r>
              <w:rPr>
                <w:rFonts w:ascii="Calibri" w:hAnsi="Calibri"/>
                <w:sz w:val="20"/>
              </w:rPr>
              <w:t>SWE Member 2</w:t>
              <w:br/>
              <w:t>(Simulation Engineer)</w:t>
            </w:r>
          </w:p>
        </w:tc>
        <w:tc>
          <w:tcPr>
            <w:tcW w:type="dxa" w:w="3120"/>
            <w:shd w:val="clear" w:color="auto" w:fill="FFFFFF"/>
            <w:tcMar>
              <w:top w:w="100" w:type="dxa"/>
              <w:bottom w:w="100" w:type="dxa"/>
              <w:left w:w="150" w:type="dxa"/>
              <w:right w:w="150" w:type="dxa"/>
            </w:tcMar>
          </w:tcPr>
          <w:p>
            <w:r>
              <w:rPr>
                <w:rFonts w:ascii="Calibri" w:hAnsi="Calibri"/>
                <w:sz w:val="20"/>
              </w:rPr>
              <w:t>Unity 3D Simulation &amp; C# Integrator</w:t>
            </w:r>
          </w:p>
        </w:tc>
        <w:tc>
          <w:tcPr>
            <w:tcW w:type="dxa" w:w="3120"/>
            <w:shd w:val="clear" w:color="auto" w:fill="FFFFFF"/>
            <w:tcMar>
              <w:top w:w="100" w:type="dxa"/>
              <w:bottom w:w="100" w:type="dxa"/>
              <w:left w:w="150" w:type="dxa"/>
              <w:right w:w="150" w:type="dxa"/>
            </w:tcMar>
          </w:tcPr>
          <w:p>
            <w:r>
              <w:rPr>
                <w:rFonts w:ascii="Calibri" w:hAnsi="Calibri"/>
                <w:sz w:val="20"/>
              </w:rPr>
              <w:t>Warehouse 3D scene setup (shelves, totes, staging desks). URDF robot import and ArticulationBody physics tuning. Virtual 2D LiDAR raycasting publisher (sensor_msgs/LaserScan). Motor drive subscriber (geometry_msgs/Twist). Dynamic pedestrian agents using Unity NavMesh.</w:t>
            </w:r>
          </w:p>
        </w:tc>
      </w:tr>
      <w:tr>
        <w:tc>
          <w:tcPr>
            <w:tcW w:type="dxa" w:w="3120"/>
            <w:shd w:val="clear" w:color="auto" w:fill="F2F4F7"/>
            <w:tcMar>
              <w:top w:w="100" w:type="dxa"/>
              <w:bottom w:w="100" w:type="dxa"/>
              <w:left w:w="150" w:type="dxa"/>
              <w:right w:w="150" w:type="dxa"/>
            </w:tcMar>
          </w:tcPr>
          <w:p>
            <w:r>
              <w:rPr>
                <w:rFonts w:ascii="Calibri" w:hAnsi="Calibri"/>
                <w:sz w:val="20"/>
              </w:rPr>
              <w:t>Member 4</w:t>
              <w:br/>
              <w:t>(Mission Logic &amp; QA)</w:t>
            </w:r>
          </w:p>
        </w:tc>
        <w:tc>
          <w:tcPr>
            <w:tcW w:type="dxa" w:w="3120"/>
            <w:shd w:val="clear" w:color="auto" w:fill="F2F4F7"/>
            <w:tcMar>
              <w:top w:w="100" w:type="dxa"/>
              <w:bottom w:w="100" w:type="dxa"/>
              <w:left w:w="150" w:type="dxa"/>
              <w:right w:w="150" w:type="dxa"/>
            </w:tcMar>
          </w:tcPr>
          <w:p>
            <w:r>
              <w:rPr>
                <w:rFonts w:ascii="Calibri" w:hAnsi="Calibri"/>
                <w:sz w:val="20"/>
              </w:rPr>
              <w:t>Mission Logic, QA &amp; Documentation</w:t>
            </w:r>
          </w:p>
        </w:tc>
        <w:tc>
          <w:tcPr>
            <w:tcW w:type="dxa" w:w="3120"/>
            <w:shd w:val="clear" w:color="auto" w:fill="F2F4F7"/>
            <w:tcMar>
              <w:top w:w="100" w:type="dxa"/>
              <w:bottom w:w="100" w:type="dxa"/>
              <w:left w:w="150" w:type="dxa"/>
              <w:right w:w="150" w:type="dxa"/>
            </w:tcMar>
          </w:tcPr>
          <w:p>
            <w:r>
              <w:rPr>
                <w:rFonts w:ascii="Calibri" w:hAnsi="Calibri"/>
                <w:sz w:val="20"/>
              </w:rPr>
              <w:t>Drafting Weekly Progress Reports for Moodle (grade shield). High-level mission coordinator node in Python (State Machine: Shelf -&gt; Pick -&gt; Desk -&gt; Drop). Test-case execution and quantitative logging (collision counts, travel times). Final report assembly and slide deck preparation.</w:t>
            </w:r>
          </w:p>
        </w:tc>
      </w:tr>
    </w:tbl>
    <w:p>
      <w:pPr>
        <w:spacing w:after="200"/>
      </w:pPr>
    </w:p>
    <w:p>
      <w:pPr>
        <w:spacing w:before="280" w:after="80"/>
      </w:pPr>
      <w:r>
        <w:rPr>
          <w:rFonts w:ascii="Calibri" w:hAnsi="Calibri"/>
          <w:b/>
          <w:color w:val="1B365D"/>
          <w:sz w:val="32"/>
        </w:rPr>
        <w:t>6. Development Environment &amp; Toolchain Setup</w:t>
      </w:r>
    </w:p>
    <w:p>
      <w:pPr>
        <w:spacing w:after="80" w:line="276" w:lineRule="auto"/>
      </w:pPr>
      <w:r>
        <w:rPr>
          <w:rFonts w:ascii="Calibri" w:hAnsi="Calibri"/>
          <w:b/>
          <w:sz w:val="22"/>
        </w:rPr>
        <w:t xml:space="preserve">Operating System: </w:t>
      </w:r>
      <w:r>
        <w:rPr>
          <w:rFonts w:ascii="Calibri" w:hAnsi="Calibri"/>
          <w:sz w:val="22"/>
        </w:rPr>
        <w:t>Ubuntu 22.04 LTS (Jammy Jellyfish) installed in dual-boot as mandated by the course guidelines. Host Windows 11 can be used for running Unity Editor if networked to Ubuntu.</w:t>
      </w:r>
    </w:p>
    <w:p>
      <w:pPr>
        <w:spacing w:after="80" w:line="276" w:lineRule="auto"/>
      </w:pPr>
      <w:r>
        <w:rPr>
          <w:rFonts w:ascii="Calibri" w:hAnsi="Calibri"/>
          <w:b/>
          <w:sz w:val="22"/>
        </w:rPr>
        <w:t xml:space="preserve">ROS 2 Ecosystem: </w:t>
      </w:r>
      <w:r>
        <w:rPr>
          <w:rFonts w:ascii="Calibri" w:hAnsi="Calibri"/>
          <w:sz w:val="22"/>
        </w:rPr>
        <w:t>ROS 2 Humble Hawksbill desktop installation, along with Nav2 packages:</w:t>
        <w:br/>
        <w:t xml:space="preserve">  sudo apt update &amp;&amp; sudo apt install -y ros-humble-desktop ros-humble-navigation2 ros-humble-nav2-bringup python3-colcon-common-extensions</w:t>
      </w:r>
    </w:p>
    <w:p>
      <w:pPr>
        <w:spacing w:after="80" w:line="276" w:lineRule="auto"/>
      </w:pPr>
      <w:r>
        <w:rPr>
          <w:rFonts w:ascii="Calibri" w:hAnsi="Calibri"/>
          <w:b/>
          <w:sz w:val="22"/>
        </w:rPr>
        <w:t xml:space="preserve">Simulation Engine: </w:t>
      </w:r>
      <w:r>
        <w:rPr>
          <w:rFonts w:ascii="Calibri" w:hAnsi="Calibri"/>
          <w:sz w:val="22"/>
        </w:rPr>
        <w:t>Unity 2022.3 LTS (Long Term Support) with the following Unity Robotics packages installed via Unity Package Manager (Git URL):</w:t>
        <w:br/>
        <w:t xml:space="preserve">  - com.unity.robotics.ros-tcp-connector</w:t>
        <w:br/>
        <w:t xml:space="preserve">  - com.unity.robotics.urdf-importer</w:t>
      </w:r>
    </w:p>
    <w:p>
      <w:pPr>
        <w:spacing w:after="80" w:line="276" w:lineRule="auto"/>
      </w:pPr>
      <w:r>
        <w:rPr>
          <w:rFonts w:ascii="Calibri" w:hAnsi="Calibri"/>
          <w:b/>
          <w:sz w:val="22"/>
        </w:rPr>
        <w:t xml:space="preserve">Version Control: </w:t>
      </w:r>
      <w:r>
        <w:rPr>
          <w:rFonts w:ascii="Calibri" w:hAnsi="Calibri"/>
          <w:sz w:val="22"/>
        </w:rPr>
        <w:t>Git repository hosting the dual-subsystem structure: ros2_ws/ for ROS 2 nodes/launch files, unity_sim/ for the Unity project, and docs/ for weekly Moodle reports.</w:t>
      </w:r>
    </w:p>
    <w:p>
      <w:pPr>
        <w:spacing w:before="280" w:after="80"/>
      </w:pPr>
      <w:r>
        <w:rPr>
          <w:rFonts w:ascii="Calibri" w:hAnsi="Calibri"/>
          <w:b/>
          <w:color w:val="1B365D"/>
          <w:sz w:val="32"/>
        </w:rPr>
        <w:t>7. Week 1 Execution Plan (Immediate Sprints)</w:t>
      </w:r>
    </w:p>
    <w:p>
      <w:pPr>
        <w:spacing w:after="80" w:line="276" w:lineRule="auto"/>
      </w:pPr>
      <w:r>
        <w:rPr>
          <w:rFonts w:ascii="Calibri" w:hAnsi="Calibri"/>
          <w:sz w:val="22"/>
        </w:rPr>
        <w:t>Goal of Week 1: Complete toolchain installation across all 4 team members, verify ROS 2 &lt;-&gt; Unity TCP communication loopback, and submit the Week 1 milestone registration.</w:t>
      </w:r>
    </w:p>
    <w:p>
      <w:pPr>
        <w:spacing w:before="200" w:after="60"/>
      </w:pPr>
      <w:r>
        <w:rPr>
          <w:rFonts w:ascii="Calibri" w:hAnsi="Calibri"/>
          <w:b/>
          <w:color w:val="2B547E"/>
          <w:sz w:val="26"/>
        </w:rPr>
        <w:t>Action Items for Lead (YOU):</w:t>
      </w:r>
    </w:p>
    <w:p>
      <w:pPr>
        <w:pStyle w:val="ListBullet"/>
        <w:spacing w:after="80" w:line="276" w:lineRule="auto"/>
      </w:pPr>
      <w:r>
        <w:rPr>
          <w:rFonts w:ascii="Calibri" w:hAnsi="Calibri"/>
          <w:sz w:val="22"/>
        </w:rPr>
        <w:t>Initialize Git repository with proper .gitignore rules for Unity and ROS 2.</w:t>
      </w:r>
    </w:p>
    <w:p>
      <w:pPr>
        <w:pStyle w:val="ListBullet"/>
        <w:spacing w:after="80" w:line="276" w:lineRule="auto"/>
      </w:pPr>
      <w:r>
        <w:rPr>
          <w:rFonts w:ascii="Calibri" w:hAnsi="Calibri"/>
          <w:sz w:val="22"/>
        </w:rPr>
        <w:t>Set up ROS 2 Humble workspace and verify ros_tcp_endpoint server starts cleanly.</w:t>
      </w:r>
    </w:p>
    <w:p>
      <w:pPr>
        <w:pStyle w:val="ListBullet"/>
        <w:spacing w:after="80" w:line="276" w:lineRule="auto"/>
      </w:pPr>
      <w:r>
        <w:rPr>
          <w:rFonts w:ascii="Calibri" w:hAnsi="Calibri"/>
          <w:sz w:val="22"/>
        </w:rPr>
        <w:t>Select and stage the baseline Pallet Stacker URDF definition.</w:t>
      </w:r>
    </w:p>
    <w:p>
      <w:pPr>
        <w:pStyle w:val="ListBullet"/>
        <w:spacing w:after="80" w:line="276" w:lineRule="auto"/>
      </w:pPr>
      <w:r>
        <w:rPr>
          <w:rFonts w:ascii="Calibri" w:hAnsi="Calibri"/>
          <w:sz w:val="22"/>
        </w:rPr>
        <w:t>Assist teammates with Ubuntu dual-boot and ROS 2 setup.</w:t>
      </w:r>
    </w:p>
    <w:p>
      <w:pPr>
        <w:spacing w:before="200" w:after="60"/>
      </w:pPr>
      <w:r>
        <w:rPr>
          <w:rFonts w:ascii="Calibri" w:hAnsi="Calibri"/>
          <w:b/>
          <w:color w:val="2B547E"/>
          <w:sz w:val="26"/>
        </w:rPr>
        <w:t>Action Items for SWE Member 1 (Algorithms):</w:t>
      </w:r>
    </w:p>
    <w:p>
      <w:pPr>
        <w:pStyle w:val="ListBullet"/>
        <w:spacing w:after="80" w:line="276" w:lineRule="auto"/>
      </w:pPr>
      <w:r>
        <w:rPr>
          <w:rFonts w:ascii="Calibri" w:hAnsi="Calibri"/>
          <w:sz w:val="22"/>
        </w:rPr>
        <w:t>Install Ubuntu 22.04 LTS and ROS 2 Humble.</w:t>
      </w:r>
    </w:p>
    <w:p>
      <w:pPr>
        <w:pStyle w:val="ListBullet"/>
        <w:spacing w:after="80" w:line="276" w:lineRule="auto"/>
      </w:pPr>
      <w:r>
        <w:rPr>
          <w:rFonts w:ascii="Calibri" w:hAnsi="Calibri"/>
          <w:sz w:val="22"/>
        </w:rPr>
        <w:t>Read and document ROS 2 Nav2 architecture: Costmap2D, Global Planner (NavFn), and Local Planners (DWB/TEB).</w:t>
      </w:r>
    </w:p>
    <w:p>
      <w:pPr>
        <w:pStyle w:val="ListBullet"/>
        <w:spacing w:after="80" w:line="276" w:lineRule="auto"/>
      </w:pPr>
      <w:r>
        <w:rPr>
          <w:rFonts w:ascii="Calibri" w:hAnsi="Calibri"/>
          <w:sz w:val="22"/>
        </w:rPr>
        <w:t>Inspect the math behind Dynamic Window Approach (DWA) and Artificial Potential Fields (APF).</w:t>
      </w:r>
    </w:p>
    <w:p>
      <w:pPr>
        <w:spacing w:before="200" w:after="60"/>
      </w:pPr>
      <w:r>
        <w:rPr>
          <w:rFonts w:ascii="Calibri" w:hAnsi="Calibri"/>
          <w:b/>
          <w:color w:val="2B547E"/>
          <w:sz w:val="26"/>
        </w:rPr>
        <w:t>Action Items for SWE Member 2 (Unity):</w:t>
      </w:r>
    </w:p>
    <w:p>
      <w:pPr>
        <w:pStyle w:val="ListBullet"/>
        <w:spacing w:after="80" w:line="276" w:lineRule="auto"/>
      </w:pPr>
      <w:r>
        <w:rPr>
          <w:rFonts w:ascii="Calibri" w:hAnsi="Calibri"/>
          <w:sz w:val="22"/>
        </w:rPr>
        <w:t>Install Unity Hub and Unity 2022.3 LTS.</w:t>
      </w:r>
    </w:p>
    <w:p>
      <w:pPr>
        <w:pStyle w:val="ListBullet"/>
        <w:spacing w:after="80" w:line="276" w:lineRule="auto"/>
      </w:pPr>
      <w:r>
        <w:rPr>
          <w:rFonts w:ascii="Calibri" w:hAnsi="Calibri"/>
          <w:sz w:val="22"/>
        </w:rPr>
        <w:t>Clone Unity-Robotics-Hub and test the ROS 2 Navigation tutorial.</w:t>
      </w:r>
    </w:p>
    <w:p>
      <w:pPr>
        <w:pStyle w:val="ListBullet"/>
        <w:spacing w:after="80" w:line="276" w:lineRule="auto"/>
      </w:pPr>
      <w:r>
        <w:rPr>
          <w:rFonts w:ascii="Calibri" w:hAnsi="Calibri"/>
          <w:sz w:val="22"/>
        </w:rPr>
        <w:t>Test importing an example URDF into an empty Unity scene and inspecting ArticulationBody components.</w:t>
      </w:r>
    </w:p>
    <w:p>
      <w:pPr>
        <w:pStyle w:val="ListBullet"/>
        <w:spacing w:after="80" w:line="276" w:lineRule="auto"/>
      </w:pPr>
      <w:r>
        <w:rPr>
          <w:rFonts w:ascii="Calibri" w:hAnsi="Calibri"/>
          <w:sz w:val="22"/>
        </w:rPr>
        <w:t>Verify TCP socket connection from Unity to local ROS 2 endpoint.</w:t>
      </w:r>
    </w:p>
    <w:p>
      <w:pPr>
        <w:spacing w:before="200" w:after="60"/>
      </w:pPr>
      <w:r>
        <w:rPr>
          <w:rFonts w:ascii="Calibri" w:hAnsi="Calibri"/>
          <w:b/>
          <w:color w:val="2B547E"/>
          <w:sz w:val="26"/>
        </w:rPr>
        <w:t>Action Items for Member 4 (Documentation &amp; Mission Logic):</w:t>
      </w:r>
    </w:p>
    <w:p>
      <w:pPr>
        <w:pStyle w:val="ListBullet"/>
        <w:spacing w:after="80" w:line="276" w:lineRule="auto"/>
      </w:pPr>
      <w:r>
        <w:rPr>
          <w:rFonts w:ascii="Calibri" w:hAnsi="Calibri"/>
          <w:sz w:val="22"/>
        </w:rPr>
        <w:t>Establish the shared Weekly Status Report template following Dr. Huan's rubric.</w:t>
      </w:r>
    </w:p>
    <w:p>
      <w:pPr>
        <w:pStyle w:val="ListBullet"/>
        <w:spacing w:after="80" w:line="276" w:lineRule="auto"/>
      </w:pPr>
      <w:r>
        <w:rPr>
          <w:rFonts w:ascii="Calibri" w:hAnsi="Calibri"/>
          <w:sz w:val="22"/>
        </w:rPr>
        <w:t>Draft and submit the Week 1 Status Report on Moodle before the deadline.</w:t>
      </w:r>
    </w:p>
    <w:p>
      <w:pPr>
        <w:pStyle w:val="ListBullet"/>
        <w:spacing w:after="80" w:line="276" w:lineRule="auto"/>
      </w:pPr>
      <w:r>
        <w:rPr>
          <w:rFonts w:ascii="Calibri" w:hAnsi="Calibri"/>
          <w:sz w:val="22"/>
        </w:rPr>
        <w:t>Study basic Python rclpy node structure (Publisher, Subscriber, Service Server).</w:t>
      </w:r>
    </w:p>
    <w:p>
      <w:pPr>
        <w:pStyle w:val="ListBullet"/>
        <w:spacing w:after="80" w:line="276" w:lineRule="auto"/>
      </w:pPr>
      <w:r>
        <w:rPr>
          <w:rFonts w:ascii="Calibri" w:hAnsi="Calibri"/>
          <w:sz w:val="22"/>
        </w:rPr>
        <w:t>Create a diagram/flowchart of the high-level mission state machine (Docking, Lifting, Transporting, Drop-off).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