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30B1A" w14:textId="77777777" w:rsidR="009C41DF" w:rsidRPr="009C41DF" w:rsidRDefault="009C41DF" w:rsidP="00FD6A51">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rPr>
          <w:rFonts w:ascii="Segoe UI" w:hAnsi="Segoe UI" w:cs="Segoe UI"/>
          <w:b/>
          <w:bCs/>
          <w:sz w:val="60"/>
          <w:szCs w:val="60"/>
          <w:bdr w:val="single" w:sz="2" w:space="0" w:color="E3E3E3" w:frame="1"/>
        </w:rPr>
      </w:pPr>
      <w:r w:rsidRPr="009C41DF">
        <w:rPr>
          <w:rFonts w:ascii="Segoe UI" w:hAnsi="Segoe UI" w:cs="Segoe UI"/>
          <w:b/>
          <w:bCs/>
          <w:sz w:val="60"/>
          <w:szCs w:val="60"/>
          <w:bdr w:val="single" w:sz="2" w:space="0" w:color="E3E3E3" w:frame="1"/>
        </w:rPr>
        <w:t>GAZHI</w:t>
      </w:r>
    </w:p>
    <w:p w14:paraId="4096F519" w14:textId="4211E72D" w:rsidR="00FD6A51" w:rsidRPr="00FD6A51" w:rsidRDefault="00FD6A51" w:rsidP="00FD6A51">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rPr>
          <w:rFonts w:ascii="Segoe UI" w:hAnsi="Segoe UI" w:cs="Segoe UI"/>
        </w:rPr>
      </w:pPr>
      <w:r w:rsidRPr="00FD6A51">
        <w:rPr>
          <w:rFonts w:ascii="Segoe UI" w:hAnsi="Segoe UI" w:cs="Segoe UI"/>
          <w:b/>
          <w:bCs/>
          <w:bdr w:val="single" w:sz="2" w:space="0" w:color="E3E3E3" w:frame="1"/>
        </w:rPr>
        <w:br/>
      </w:r>
      <w:r w:rsidRPr="00FD6A51">
        <w:rPr>
          <w:rStyle w:val="Textoennegrita"/>
          <w:rFonts w:ascii="Segoe UI" w:hAnsi="Segoe UI" w:cs="Segoe UI"/>
          <w:bdr w:val="single" w:sz="2" w:space="0" w:color="E3E3E3" w:frame="1"/>
        </w:rPr>
        <w:t>1. Introducción</w:t>
      </w:r>
    </w:p>
    <w:p w14:paraId="7A45A96E" w14:textId="77777777" w:rsidR="00FD6A51" w:rsidRPr="00FD6A51" w:rsidRDefault="00FD6A51" w:rsidP="00FD6A5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FD6A51">
        <w:rPr>
          <w:rFonts w:ascii="Segoe UI" w:hAnsi="Segoe UI" w:cs="Segoe UI"/>
        </w:rPr>
        <w:t>La enfermedad de Alzheimer (EA) es el tipo más común de demencia y conduce a una neurodegeneración progresiva, afectando la memoria y el comportamiento según el daño regional a las células cerebrales (Ewers et al., 2011). El hipocampo, que es el centro del aprendizaje y la memoria, suele ser una de las primeras regiones del cerebro en dañarse. También se ha demostrado que los biomarcadores del líquido cefalorraquídeo (LCR) pueden volverse anormales en la fase presintomática de la enfermedad, precediendo a los biomarcadores de tomografía por emisión de positrones (PET) y resonancia magnética (RM) seguidos por marcadores clínicos (Jack Jr et al., 2010; Biagioni y Galvin, 2011). Actualmente, la causa de la EA no está clara y no hay cura o tratamiento efectivo para detener su progresión, pero el diagnóstico temprano de la enfermedad, especialmente en las etapas presintomáticas, puede proporcionar tiempo para tratar los síntomas y planificar el futuro. Sin embargo, el diagnóstico temprano de la EA es un desafío principalmente porque los sujetos de edad avanzada pueden sufrir de otras patologías relacionadas con la edad y el envejecimiento normal además de la EA. Por lo tanto, los métodos para clasificar e identificar a las personas en riesgo son fundamentales para la investigación sobre la demencia.</w:t>
      </w:r>
    </w:p>
    <w:p w14:paraId="5D81C9A2" w14:textId="77777777" w:rsidR="00FD6A51" w:rsidRPr="00FD6A51" w:rsidRDefault="00FD6A51" w:rsidP="00FD6A5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FD6A51">
        <w:rPr>
          <w:rStyle w:val="Textoennegrita"/>
          <w:rFonts w:ascii="Segoe UI" w:hAnsi="Segoe UI" w:cs="Segoe UI"/>
          <w:bdr w:val="single" w:sz="2" w:space="0" w:color="E3E3E3" w:frame="1"/>
        </w:rPr>
        <w:t>Modelado de la progresión de la enfermedad (DPM)</w:t>
      </w:r>
    </w:p>
    <w:p w14:paraId="5721429D" w14:textId="77777777" w:rsidR="00FD6A51" w:rsidRPr="00FD6A51" w:rsidRDefault="00FD6A51" w:rsidP="00FD6A5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FD6A51">
        <w:rPr>
          <w:rFonts w:ascii="Segoe UI" w:hAnsi="Segoe UI" w:cs="Segoe UI"/>
        </w:rPr>
        <w:t xml:space="preserve">El modelado de la progresión de la enfermedad utiliza estudios longitudinales para desarrollar modelos cuantitativos basados en datos que describen la evolución de la enfermedad con el tiempo. Este enfoque puede proporcionar una perspectiva completa de la enfermedad al explorar computacionalmente los datos disponibles para ayudar a comprender mejor la enfermedad para fines diagnósticos, de estadiaje, de monitorización y pronóstico. Los </w:t>
      </w:r>
      <w:r w:rsidRPr="00FE080D">
        <w:rPr>
          <w:rFonts w:ascii="Segoe UI" w:hAnsi="Segoe UI" w:cs="Segoe UI"/>
          <w:highlight w:val="yellow"/>
        </w:rPr>
        <w:t>métodos paramétricos de modelado</w:t>
      </w:r>
      <w:r w:rsidRPr="00FD6A51">
        <w:rPr>
          <w:rFonts w:ascii="Segoe UI" w:hAnsi="Segoe UI" w:cs="Segoe UI"/>
        </w:rPr>
        <w:t xml:space="preserve"> de la progresión de la enfermedad se pueden dividir en </w:t>
      </w:r>
      <w:r w:rsidRPr="00FE080D">
        <w:rPr>
          <w:rFonts w:ascii="Segoe UI" w:hAnsi="Segoe UI" w:cs="Segoe UI"/>
          <w:highlight w:val="yellow"/>
        </w:rPr>
        <w:t>dos categorías</w:t>
      </w:r>
      <w:r w:rsidRPr="00FD6A51">
        <w:rPr>
          <w:rFonts w:ascii="Segoe UI" w:hAnsi="Segoe UI" w:cs="Segoe UI"/>
        </w:rPr>
        <w:t xml:space="preserve">: ajuste continuo para modelar la </w:t>
      </w:r>
      <w:r w:rsidRPr="00524DBB">
        <w:rPr>
          <w:rFonts w:ascii="Segoe UI" w:hAnsi="Segoe UI" w:cs="Segoe UI"/>
          <w:highlight w:val="yellow"/>
        </w:rPr>
        <w:t>dinámica de los biomarcadores</w:t>
      </w:r>
      <w:r w:rsidRPr="00FD6A51">
        <w:rPr>
          <w:rFonts w:ascii="Segoe UI" w:hAnsi="Segoe UI" w:cs="Segoe UI"/>
        </w:rPr>
        <w:t xml:space="preserve"> y </w:t>
      </w:r>
      <w:r w:rsidRPr="00524DBB">
        <w:rPr>
          <w:rFonts w:ascii="Segoe UI" w:hAnsi="Segoe UI" w:cs="Segoe UI"/>
          <w:highlight w:val="yellow"/>
        </w:rPr>
        <w:t>ordenamiento discreto para la detección de anomalías</w:t>
      </w:r>
      <w:r w:rsidRPr="00FD6A51">
        <w:rPr>
          <w:rFonts w:ascii="Segoe UI" w:hAnsi="Segoe UI" w:cs="Segoe UI"/>
        </w:rPr>
        <w:t xml:space="preserve"> de biomarcadores, ambos basados en aprendizaje no supervisado, por ejemplo, mediante el uso de estimación de máxima verosimilitud. Los </w:t>
      </w:r>
      <w:r w:rsidRPr="00524DBB">
        <w:rPr>
          <w:rFonts w:ascii="Segoe UI" w:hAnsi="Segoe UI" w:cs="Segoe UI"/>
          <w:highlight w:val="green"/>
        </w:rPr>
        <w:t>métodos discretos</w:t>
      </w:r>
      <w:r w:rsidRPr="00FD6A51">
        <w:rPr>
          <w:rFonts w:ascii="Segoe UI" w:hAnsi="Segoe UI" w:cs="Segoe UI"/>
        </w:rPr>
        <w:t xml:space="preserve"> se centran en el orden temporal de los biomarcadores que se vuelven anormales durante las etapas de la enfermedad mediante la discretización de la trayectoria de progresión de la enfermedad utilizando modelos generativos basados en eventos (Fonteijn et al., 2012; Venkatraghavan et al., 2019).</w:t>
      </w:r>
    </w:p>
    <w:p w14:paraId="3205570E" w14:textId="77777777" w:rsidR="00FD6A51" w:rsidRPr="00FD6A51" w:rsidRDefault="00FD6A51" w:rsidP="00FD6A5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FD6A51">
        <w:rPr>
          <w:rFonts w:ascii="Segoe UI" w:hAnsi="Segoe UI" w:cs="Segoe UI"/>
        </w:rPr>
        <w:lastRenderedPageBreak/>
        <w:t xml:space="preserve">Los </w:t>
      </w:r>
      <w:r w:rsidRPr="00524DBB">
        <w:rPr>
          <w:rFonts w:ascii="Segoe UI" w:hAnsi="Segoe UI" w:cs="Segoe UI"/>
          <w:highlight w:val="green"/>
        </w:rPr>
        <w:t>métodos paramétricos continuos</w:t>
      </w:r>
      <w:r w:rsidRPr="00FD6A51">
        <w:rPr>
          <w:rFonts w:ascii="Segoe UI" w:hAnsi="Segoe UI" w:cs="Segoe UI"/>
        </w:rPr>
        <w:t xml:space="preserve"> para modelar la progresión de la enfermedad de Alzheimer se han inspirado en modelos hipotéticos que asumen una </w:t>
      </w:r>
      <w:r w:rsidRPr="00524DBB">
        <w:rPr>
          <w:rFonts w:ascii="Segoe UI" w:hAnsi="Segoe UI" w:cs="Segoe UI"/>
          <w:highlight w:val="yellow"/>
        </w:rPr>
        <w:t>evolución sigmoidea de los biomarcadores</w:t>
      </w:r>
      <w:r w:rsidRPr="00FD6A51">
        <w:rPr>
          <w:rFonts w:ascii="Segoe UI" w:hAnsi="Segoe UI" w:cs="Segoe UI"/>
        </w:rPr>
        <w:t xml:space="preserve"> de la EA (Jack Jr et al., 2010, 2013). El objetivo de estos métodos es modelar los valores de los biomarcadores como una función de la progresión de la enfermedad (Jedynak et al., 2012; Oxtoby y Alexander, 2017). En consecuencia, se han aplicado una variedad de enfoques para ajustar una función continua a la dinámica longitudinal de cada biomarcador utilizando modelos estadísticos como ecuaciones diferenciales y modelos de efectos mixtos (Oxtoby et al., 2014; Yau et al., 2015; Guerrero et al., 2016; Bilgel et al., 2016; Li et al., 2019), en los que es necesario alinear la trayectoria de los individuos según alguna medida de tiempo, por ejemplo, </w:t>
      </w:r>
      <w:r w:rsidRPr="00524DBB">
        <w:rPr>
          <w:rFonts w:ascii="Segoe UI" w:hAnsi="Segoe UI" w:cs="Segoe UI"/>
          <w:highlight w:val="yellow"/>
        </w:rPr>
        <w:t>tiempo hasta la conversión</w:t>
      </w:r>
      <w:r w:rsidRPr="00FD6A51">
        <w:rPr>
          <w:rFonts w:ascii="Segoe UI" w:hAnsi="Segoe UI" w:cs="Segoe UI"/>
        </w:rPr>
        <w:t>. Estos métodos son simples y requieren menos datos, pero las suposiciones paramétricas sobre las trayectorias de los biomarcadores limitan la flexibilidad de los ajustes.</w:t>
      </w:r>
    </w:p>
    <w:p w14:paraId="11E97BA5" w14:textId="77777777" w:rsidR="00FD6A51" w:rsidRPr="00FD6A51" w:rsidRDefault="00FD6A51" w:rsidP="00FD6A5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FD6A51">
        <w:rPr>
          <w:rFonts w:ascii="Segoe UI" w:hAnsi="Segoe UI" w:cs="Segoe UI"/>
        </w:rPr>
        <w:t>Recientemente, se han introducido métodos de modelado de la progresión de la enfermedad no paramétricos para modelar los biomarcadores de manera conjunta teniendo en cuenta las dependencias temporales entre las mediciones utilizando procesos gaussianos (Lorenzi et al., 2017) o aprendizaje profundo (Ghazi et al., 2019). Estos métodos son flexibles, hacen menos suposiciones para el modelado y no requieren la alineación de las trayectorias de los individuos. Sin embargo, un proceso gaussiano multivariante con restricciones de monotonía es computacionalmente costoso de ajustar debido a las grandes matrices de covarianza, y los métodos de aprendizaje profundo son menos interpretables, difíciles de entrenar en casos en los que los datos son escasos o irregulares, y no se pueden aplicar fácilmente para la predicción cuando los datos no vistos tienen menos biomarcadores que los que se utilizaron para el entrenamiento.</w:t>
      </w:r>
    </w:p>
    <w:p w14:paraId="45392E53" w14:textId="77777777" w:rsidR="00FD6A51" w:rsidRPr="00FD6A51" w:rsidRDefault="00FD6A51" w:rsidP="00FD6A5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FD6A51">
        <w:rPr>
          <w:rFonts w:ascii="Segoe UI" w:hAnsi="Segoe UI" w:cs="Segoe UI"/>
        </w:rPr>
        <w:t xml:space="preserve">Jedynak et al. (2012, 2015) propusieron un algoritmo paramétrico, que requiere menos datos de series temporales para entrenar e incorpora información de múltiples biomarcadores para modelar la progresión de la EA en una escala de tiempo de enfermedad común. Como se muestra en la Figura 1, el método transforma </w:t>
      </w:r>
      <w:r w:rsidRPr="00D26154">
        <w:rPr>
          <w:rFonts w:ascii="Segoe UI" w:hAnsi="Segoe UI" w:cs="Segoe UI"/>
          <w:highlight w:val="yellow"/>
        </w:rPr>
        <w:t>linealmente la edad del individuo en un puntaje de progresión de la enfermedad (DPS)</w:t>
      </w:r>
      <w:r w:rsidRPr="00FD6A51">
        <w:rPr>
          <w:rFonts w:ascii="Segoe UI" w:hAnsi="Segoe UI" w:cs="Segoe UI"/>
        </w:rPr>
        <w:t xml:space="preserve"> para la </w:t>
      </w:r>
      <w:r w:rsidRPr="00D26154">
        <w:rPr>
          <w:rFonts w:ascii="Segoe UI" w:hAnsi="Segoe UI" w:cs="Segoe UI"/>
          <w:highlight w:val="yellow"/>
        </w:rPr>
        <w:t>alineación temporal de las mediciones</w:t>
      </w:r>
      <w:r w:rsidRPr="00FD6A51">
        <w:rPr>
          <w:rFonts w:ascii="Segoe UI" w:hAnsi="Segoe UI" w:cs="Segoe UI"/>
        </w:rPr>
        <w:t xml:space="preserve"> dentro de la cohorte, asumiendo que los intervalos de visita en los datos son cortos en relación con la duración de la enfermedad. Se aplica el </w:t>
      </w:r>
      <w:r w:rsidRPr="00D26154">
        <w:rPr>
          <w:rFonts w:ascii="Segoe UI" w:hAnsi="Segoe UI" w:cs="Segoe UI"/>
          <w:highlight w:val="yellow"/>
        </w:rPr>
        <w:t>método de mínimos cuadrados alternados</w:t>
      </w:r>
      <w:r w:rsidRPr="00FD6A51">
        <w:rPr>
          <w:rFonts w:ascii="Segoe UI" w:hAnsi="Segoe UI" w:cs="Segoe UI"/>
        </w:rPr>
        <w:t xml:space="preserve"> para ajustar una </w:t>
      </w:r>
      <w:r w:rsidRPr="00D26154">
        <w:rPr>
          <w:rFonts w:ascii="Segoe UI" w:hAnsi="Segoe UI" w:cs="Segoe UI"/>
          <w:highlight w:val="yellow"/>
        </w:rPr>
        <w:t>función sigmoidea a la dinámica longitudinal de cada biomarcador</w:t>
      </w:r>
      <w:r w:rsidRPr="00FD6A51">
        <w:rPr>
          <w:rFonts w:ascii="Segoe UI" w:hAnsi="Segoe UI" w:cs="Segoe UI"/>
        </w:rPr>
        <w:t xml:space="preserve">. En este método, las trayectorias de los biomarcadores se ajustan de forma </w:t>
      </w:r>
      <w:r w:rsidRPr="00D26154">
        <w:rPr>
          <w:rFonts w:ascii="Segoe UI" w:hAnsi="Segoe UI" w:cs="Segoe UI"/>
          <w:highlight w:val="yellow"/>
        </w:rPr>
        <w:t>independiente</w:t>
      </w:r>
      <w:r w:rsidRPr="00FD6A51">
        <w:rPr>
          <w:rFonts w:ascii="Segoe UI" w:hAnsi="Segoe UI" w:cs="Segoe UI"/>
        </w:rPr>
        <w:t xml:space="preserve"> y las </w:t>
      </w:r>
      <w:r w:rsidRPr="00D26154">
        <w:rPr>
          <w:rFonts w:ascii="Segoe UI" w:hAnsi="Segoe UI" w:cs="Segoe UI"/>
          <w:highlight w:val="yellow"/>
        </w:rPr>
        <w:t>dependencias</w:t>
      </w:r>
      <w:r w:rsidRPr="00FD6A51">
        <w:rPr>
          <w:rFonts w:ascii="Segoe UI" w:hAnsi="Segoe UI" w:cs="Segoe UI"/>
        </w:rPr>
        <w:t xml:space="preserve"> de los biomarcadores solo se consideran cuando el algoritmo alterna para estimar los </w:t>
      </w:r>
      <w:r w:rsidRPr="00D26154">
        <w:rPr>
          <w:rFonts w:ascii="Segoe UI" w:hAnsi="Segoe UI" w:cs="Segoe UI"/>
          <w:highlight w:val="yellow"/>
        </w:rPr>
        <w:t>parámetros específicos del sujeto (edad),</w:t>
      </w:r>
      <w:r w:rsidRPr="00FD6A51">
        <w:rPr>
          <w:rFonts w:ascii="Segoe UI" w:hAnsi="Segoe UI" w:cs="Segoe UI"/>
        </w:rPr>
        <w:t xml:space="preserve"> lo que a su vez puede causar dificultades para la convergencia del algoritmo alternante. Además, el modelo </w:t>
      </w:r>
      <w:r w:rsidRPr="00FD6A51">
        <w:rPr>
          <w:rFonts w:ascii="Segoe UI" w:hAnsi="Segoe UI" w:cs="Segoe UI"/>
        </w:rPr>
        <w:lastRenderedPageBreak/>
        <w:t>propuesto no es robusto a los valores atípicos que se pueden encontrar en datos más contaminados. Los dos primeros problemas han sido abordados por Bilgel y Jedynak (2019), pero el problema con los valores atípicos sigue presente.</w:t>
      </w:r>
    </w:p>
    <w:p w14:paraId="3DB307A2" w14:textId="77777777" w:rsidR="00FD6A51" w:rsidRPr="00FD6A51" w:rsidRDefault="00FD6A51" w:rsidP="00FD6A5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FD6A51">
        <w:rPr>
          <w:rFonts w:ascii="Segoe UI" w:hAnsi="Segoe UI" w:cs="Segoe UI"/>
        </w:rPr>
        <w:t xml:space="preserve">La estimación de </w:t>
      </w:r>
      <w:r w:rsidRPr="009676B7">
        <w:rPr>
          <w:rFonts w:ascii="Segoe UI" w:hAnsi="Segoe UI" w:cs="Segoe UI"/>
          <w:highlight w:val="yellow"/>
        </w:rPr>
        <w:t>tipo máxima verosimilitud</w:t>
      </w:r>
      <w:r w:rsidRPr="00FD6A51">
        <w:rPr>
          <w:rFonts w:ascii="Segoe UI" w:hAnsi="Segoe UI" w:cs="Segoe UI"/>
        </w:rPr>
        <w:t xml:space="preserve"> (M-estimación) se introduce como un método de regresión robusto (Huber, 2004) para hacer frente a los valores atípicos al minimizar una función de pérdida diseñada para restar importancia a los valores atípicos (ver Tabla 2). La calidad del ajuste del modelo puede mejorarse aún más utilizando una función más flexible (ver Tabla 1) y/o restringiendo la función objetivo. Sin embargo, aumentar el número de parámetros debe penalizarse ya que puede aumentar la complejidad del modelo y provocar sobreajuste. La Figura 2 ilustra 1) cómo el uso de una </w:t>
      </w:r>
      <w:r w:rsidRPr="009676B7">
        <w:rPr>
          <w:rFonts w:ascii="Segoe UI" w:hAnsi="Segoe UI" w:cs="Segoe UI"/>
          <w:highlight w:val="yellow"/>
        </w:rPr>
        <w:t>función flexible</w:t>
      </w:r>
      <w:r w:rsidRPr="00FD6A51">
        <w:rPr>
          <w:rFonts w:ascii="Segoe UI" w:hAnsi="Segoe UI" w:cs="Segoe UI"/>
        </w:rPr>
        <w:t xml:space="preserve"> mejora el ajuste de la curva, 2) cómo el uso de una función restringida desplaza los asíntotas inferior y superior para ajustar la dinámica exacta del biomarcador, y 3) cómo el uso de </w:t>
      </w:r>
      <w:r w:rsidRPr="009676B7">
        <w:rPr>
          <w:rFonts w:ascii="Segoe UI" w:hAnsi="Segoe UI" w:cs="Segoe UI"/>
          <w:highlight w:val="yellow"/>
        </w:rPr>
        <w:t>M-estimación</w:t>
      </w:r>
      <w:r w:rsidRPr="00FD6A51">
        <w:rPr>
          <w:rFonts w:ascii="Segoe UI" w:hAnsi="Segoe UI" w:cs="Segoe UI"/>
        </w:rPr>
        <w:t xml:space="preserve"> reduce la influencia de los valores atípicos.</w:t>
      </w:r>
    </w:p>
    <w:p w14:paraId="1838B7C2" w14:textId="77777777" w:rsidR="00FD6A51" w:rsidRPr="00FD6A51" w:rsidRDefault="00FD6A51" w:rsidP="00FD6A5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FD6A51">
        <w:rPr>
          <w:rFonts w:ascii="Segoe UI" w:hAnsi="Segoe UI" w:cs="Segoe UI"/>
        </w:rPr>
        <w:t xml:space="preserve">En este trabajo, se propone una extensión robusta de Jedynak et al. (2012, 2015) que ajusta conjuntamente una función logística restringida a la dinámica longitudinal de cada biomarcador utilizando M-estimación para abordar los problemas de ajuste de la curva mencionados anteriormente, por ejemplo, valores atípicos, en el modelado de biomarcadores (ver Figura 2). Los </w:t>
      </w:r>
      <w:r w:rsidRPr="009676B7">
        <w:rPr>
          <w:rFonts w:ascii="Segoe UI" w:hAnsi="Segoe UI" w:cs="Segoe UI"/>
          <w:highlight w:val="yellow"/>
        </w:rPr>
        <w:t>parámetros estimados se cuantifican</w:t>
      </w:r>
      <w:r w:rsidRPr="00FD6A51">
        <w:rPr>
          <w:rFonts w:ascii="Segoe UI" w:hAnsi="Segoe UI" w:cs="Segoe UI"/>
        </w:rPr>
        <w:t xml:space="preserve"> mediante el remuestreo de </w:t>
      </w:r>
      <w:r w:rsidRPr="009676B7">
        <w:rPr>
          <w:rFonts w:ascii="Segoe UI" w:hAnsi="Segoe UI" w:cs="Segoe UI"/>
          <w:highlight w:val="yellow"/>
        </w:rPr>
        <w:t>Monte Carlo</w:t>
      </w:r>
      <w:r w:rsidRPr="00FD6A51">
        <w:rPr>
          <w:rFonts w:ascii="Segoe UI" w:hAnsi="Segoe UI" w:cs="Segoe UI"/>
        </w:rPr>
        <w:t xml:space="preserve"> a través del método de </w:t>
      </w:r>
      <w:r w:rsidRPr="009676B7">
        <w:rPr>
          <w:rFonts w:ascii="Segoe UI" w:hAnsi="Segoe UI" w:cs="Segoe UI"/>
          <w:highlight w:val="yellow"/>
        </w:rPr>
        <w:t>bootstrap</w:t>
      </w:r>
      <w:r w:rsidRPr="00FD6A51">
        <w:rPr>
          <w:rFonts w:ascii="Segoe UI" w:hAnsi="Segoe UI" w:cs="Segoe UI"/>
        </w:rPr>
        <w:t xml:space="preserve">, y los puntos de inflexión se utilizan para ordenar temporalmente los biomarcadores en el curso de la enfermedad. La </w:t>
      </w:r>
      <w:r w:rsidRPr="009676B7">
        <w:rPr>
          <w:rFonts w:ascii="Segoe UI" w:hAnsi="Segoe UI" w:cs="Segoe UI"/>
          <w:highlight w:val="yellow"/>
        </w:rPr>
        <w:t>estimación de la densidad del núcleo con bases normales</w:t>
      </w:r>
      <w:r w:rsidRPr="00FD6A51">
        <w:rPr>
          <w:rFonts w:ascii="Segoe UI" w:hAnsi="Segoe UI" w:cs="Segoe UI"/>
        </w:rPr>
        <w:t xml:space="preserve"> se aplica a </w:t>
      </w:r>
      <w:r w:rsidRPr="009676B7">
        <w:rPr>
          <w:rFonts w:ascii="Segoe UI" w:hAnsi="Segoe UI" w:cs="Segoe UI"/>
          <w:highlight w:val="yellow"/>
        </w:rPr>
        <w:t>los DPS estimados para la clasificación del estado clínico utilizando un clasificador bayesiano</w:t>
      </w:r>
      <w:r w:rsidRPr="00FD6A51">
        <w:rPr>
          <w:rFonts w:ascii="Segoe UI" w:hAnsi="Segoe UI" w:cs="Segoe UI"/>
        </w:rPr>
        <w:t>. Se consideran diferentes funciones de pérdida y logísticas, incluida una versión modificada de la función de Stannard (Stannard et al., 1985) que tiende a describir mejor las trayectorias de los biomarcadores, y se aplican al modelado de la progresión de la EA de la Iniciativa de Neuroimagen de la Enfermedad de Alzheimer (ADNI) (Petersen et al., 2010) y los datos del Centro Nacional de Coordinación del Alzheimer (NACC) (Beekly et al., 2007) utilizando biomarcadores de RM volumétrica, mediciones de LCR y PET, y pruebas cognitivas. Los resultados obtenidos indican que la función modificada de Stannard ajustada utilizando la pérdida logística logra el mejor rendimiento de modelado en diferentes remuestreos, y supera consistentemente el algoritmo básico de Jedynak et al. (2015) y los resultados de vanguardia de Bilgel y Jedynak (2019) y Marinescu et al. (2020) en casi todos los experimentos.</w:t>
      </w:r>
    </w:p>
    <w:p w14:paraId="52EE4226" w14:textId="77777777" w:rsidR="00FD6A51" w:rsidRPr="00FD6A51" w:rsidRDefault="00FD6A51" w:rsidP="00FD6A51">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rPr>
          <w:rFonts w:ascii="Segoe UI" w:hAnsi="Segoe UI" w:cs="Segoe UI"/>
        </w:rPr>
      </w:pPr>
      <w:r w:rsidRPr="00FD6A51">
        <w:rPr>
          <w:rFonts w:ascii="Segoe UI" w:hAnsi="Segoe UI" w:cs="Segoe UI"/>
        </w:rPr>
        <w:t xml:space="preserve">La principal contribución de este estudio es cuádruple. </w:t>
      </w:r>
      <w:r w:rsidRPr="009676B7">
        <w:rPr>
          <w:rFonts w:ascii="Segoe UI" w:hAnsi="Segoe UI" w:cs="Segoe UI"/>
          <w:highlight w:val="green"/>
        </w:rPr>
        <w:t>Primero</w:t>
      </w:r>
      <w:r w:rsidRPr="00FD6A51">
        <w:rPr>
          <w:rFonts w:ascii="Segoe UI" w:hAnsi="Segoe UI" w:cs="Segoe UI"/>
        </w:rPr>
        <w:t xml:space="preserve">, presentamos una </w:t>
      </w:r>
      <w:r w:rsidRPr="009676B7">
        <w:rPr>
          <w:rFonts w:ascii="Segoe UI" w:hAnsi="Segoe UI" w:cs="Segoe UI"/>
          <w:highlight w:val="yellow"/>
        </w:rPr>
        <w:t>nueva función logística generalizada</w:t>
      </w:r>
      <w:r w:rsidRPr="00FD6A51">
        <w:rPr>
          <w:rFonts w:ascii="Segoe UI" w:hAnsi="Segoe UI" w:cs="Segoe UI"/>
        </w:rPr>
        <w:t xml:space="preserve">, llamada </w:t>
      </w:r>
      <w:r w:rsidRPr="009676B7">
        <w:rPr>
          <w:rFonts w:ascii="Segoe UI" w:hAnsi="Segoe UI" w:cs="Segoe UI"/>
          <w:highlight w:val="yellow"/>
        </w:rPr>
        <w:t>Stannard modificada</w:t>
      </w:r>
      <w:r w:rsidRPr="00FD6A51">
        <w:rPr>
          <w:rFonts w:ascii="Segoe UI" w:hAnsi="Segoe UI" w:cs="Segoe UI"/>
        </w:rPr>
        <w:t xml:space="preserve">, que se ajusta mejor a las trayectorias de los biomarcadores de la EA en comparación </w:t>
      </w:r>
      <w:r w:rsidRPr="00FD6A51">
        <w:rPr>
          <w:rFonts w:ascii="Segoe UI" w:hAnsi="Segoe UI" w:cs="Segoe UI"/>
        </w:rPr>
        <w:lastRenderedPageBreak/>
        <w:t xml:space="preserve">con el uso de otras funciones logísticas. En </w:t>
      </w:r>
      <w:r w:rsidRPr="009676B7">
        <w:rPr>
          <w:rFonts w:ascii="Segoe UI" w:hAnsi="Segoe UI" w:cs="Segoe UI"/>
          <w:highlight w:val="green"/>
        </w:rPr>
        <w:t>segundo</w:t>
      </w:r>
      <w:r w:rsidRPr="00FD6A51">
        <w:rPr>
          <w:rFonts w:ascii="Segoe UI" w:hAnsi="Segoe UI" w:cs="Segoe UI"/>
        </w:rPr>
        <w:t xml:space="preserve"> lugar, el uso de la </w:t>
      </w:r>
      <w:r w:rsidRPr="009676B7">
        <w:rPr>
          <w:rFonts w:ascii="Segoe UI" w:hAnsi="Segoe UI" w:cs="Segoe UI"/>
          <w:highlight w:val="yellow"/>
        </w:rPr>
        <w:t>M-estimación suprime el efecto de los valores atípicos</w:t>
      </w:r>
      <w:r w:rsidRPr="00FD6A51">
        <w:rPr>
          <w:rFonts w:ascii="Segoe UI" w:hAnsi="Segoe UI" w:cs="Segoe UI"/>
        </w:rPr>
        <w:t xml:space="preserve"> en el ajuste. En </w:t>
      </w:r>
      <w:r w:rsidRPr="009676B7">
        <w:rPr>
          <w:rFonts w:ascii="Segoe UI" w:hAnsi="Segoe UI" w:cs="Segoe UI"/>
          <w:highlight w:val="green"/>
        </w:rPr>
        <w:t>tercer</w:t>
      </w:r>
      <w:r w:rsidRPr="00FD6A51">
        <w:rPr>
          <w:rFonts w:ascii="Segoe UI" w:hAnsi="Segoe UI" w:cs="Segoe UI"/>
        </w:rPr>
        <w:t xml:space="preserve"> lugar, se </w:t>
      </w:r>
      <w:r w:rsidRPr="009676B7">
        <w:rPr>
          <w:rFonts w:ascii="Segoe UI" w:hAnsi="Segoe UI" w:cs="Segoe UI"/>
          <w:highlight w:val="yellow"/>
        </w:rPr>
        <w:t>evalúa la generalización</w:t>
      </w:r>
      <w:r w:rsidRPr="00FD6A51">
        <w:rPr>
          <w:rFonts w:ascii="Segoe UI" w:hAnsi="Segoe UI" w:cs="Segoe UI"/>
        </w:rPr>
        <w:t xml:space="preserve"> a través de </w:t>
      </w:r>
      <w:r w:rsidRPr="009676B7">
        <w:rPr>
          <w:rFonts w:ascii="Segoe UI" w:hAnsi="Segoe UI" w:cs="Segoe UI"/>
          <w:highlight w:val="yellow"/>
        </w:rPr>
        <w:t>cohortes</w:t>
      </w:r>
      <w:r w:rsidRPr="00FD6A51">
        <w:rPr>
          <w:rFonts w:ascii="Segoe UI" w:hAnsi="Segoe UI" w:cs="Segoe UI"/>
        </w:rPr>
        <w:t xml:space="preserve"> del modelo propuesto </w:t>
      </w:r>
      <w:r w:rsidRPr="009676B7">
        <w:rPr>
          <w:rFonts w:ascii="Segoe UI" w:hAnsi="Segoe UI" w:cs="Segoe UI"/>
          <w:highlight w:val="yellow"/>
        </w:rPr>
        <w:t>aplicando el modelo entrenado con datos de ADNI a los datos de prueba</w:t>
      </w:r>
      <w:r w:rsidRPr="00FD6A51">
        <w:rPr>
          <w:rFonts w:ascii="Segoe UI" w:hAnsi="Segoe UI" w:cs="Segoe UI"/>
        </w:rPr>
        <w:t xml:space="preserve"> de la cohorte de NACC con menos biomarcadores. Por </w:t>
      </w:r>
      <w:r w:rsidRPr="009676B7">
        <w:rPr>
          <w:rFonts w:ascii="Segoe UI" w:hAnsi="Segoe UI" w:cs="Segoe UI"/>
          <w:highlight w:val="green"/>
        </w:rPr>
        <w:t>último</w:t>
      </w:r>
      <w:r w:rsidRPr="00FD6A51">
        <w:rPr>
          <w:rFonts w:ascii="Segoe UI" w:hAnsi="Segoe UI" w:cs="Segoe UI"/>
        </w:rPr>
        <w:t xml:space="preserve">, se introduce un enfoque de extremo a extremo que realiza </w:t>
      </w:r>
      <w:r w:rsidRPr="009676B7">
        <w:rPr>
          <w:rFonts w:ascii="Segoe UI" w:hAnsi="Segoe UI" w:cs="Segoe UI"/>
          <w:highlight w:val="yellow"/>
        </w:rPr>
        <w:t>modelado de trayectoria de biomarcadores</w:t>
      </w:r>
      <w:r w:rsidRPr="00FD6A51">
        <w:rPr>
          <w:rFonts w:ascii="Segoe UI" w:hAnsi="Segoe UI" w:cs="Segoe UI"/>
        </w:rPr>
        <w:t xml:space="preserve"> (aprendizaje no supervisado), detección de </w:t>
      </w:r>
      <w:r w:rsidRPr="009676B7">
        <w:rPr>
          <w:rFonts w:ascii="Segoe UI" w:hAnsi="Segoe UI" w:cs="Segoe UI"/>
          <w:highlight w:val="yellow"/>
        </w:rPr>
        <w:t>puntos de inflexión de biomarcadores</w:t>
      </w:r>
      <w:r w:rsidRPr="00FD6A51">
        <w:rPr>
          <w:rFonts w:ascii="Segoe UI" w:hAnsi="Segoe UI" w:cs="Segoe UI"/>
        </w:rPr>
        <w:t xml:space="preserve"> (ordenamiento de eventos) y </w:t>
      </w:r>
      <w:r w:rsidRPr="009676B7">
        <w:rPr>
          <w:rFonts w:ascii="Segoe UI" w:hAnsi="Segoe UI" w:cs="Segoe UI"/>
          <w:highlight w:val="yellow"/>
        </w:rPr>
        <w:t>clasificación del estado clínico</w:t>
      </w:r>
      <w:r w:rsidRPr="00FD6A51">
        <w:rPr>
          <w:rFonts w:ascii="Segoe UI" w:hAnsi="Segoe UI" w:cs="Segoe UI"/>
        </w:rPr>
        <w:t xml:space="preserve"> (aprendizaje supervisado). Esta es una forma holística de implementar un sistema adecuado tanto para la investigación como para aplicaciones clínicas para estudiar, detectar y monitorear mejor la EA.</w:t>
      </w:r>
    </w:p>
    <w:p w14:paraId="4554E184" w14:textId="77777777" w:rsidR="00B0695B" w:rsidRDefault="00B0695B" w:rsidP="00FD6A51"/>
    <w:p w14:paraId="7147AB3E" w14:textId="77777777" w:rsidR="00FD6A51" w:rsidRPr="00FD6A51" w:rsidRDefault="00FD6A51" w:rsidP="00FD6A51">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kern w:val="0"/>
          <w:sz w:val="24"/>
          <w:szCs w:val="24"/>
          <w:lang w:eastAsia="es-ES"/>
          <w14:ligatures w14:val="none"/>
        </w:rPr>
        <w:t>El método propuesto tiene como objetivo principal minimizar el error del modelado paramétrico de la progresión de la enfermedad, al mismo tiempo que hace que las estimaciones sean estables y robustas frente a valores atípicos. Esto se logra ajustando una función logística restringida utilizando un estimador M.</w:t>
      </w:r>
    </w:p>
    <w:p w14:paraId="65816920" w14:textId="77777777" w:rsidR="00FD6A51" w:rsidRPr="00FD6A51" w:rsidRDefault="00FD6A51" w:rsidP="00FD6A5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0"/>
          <w:szCs w:val="30"/>
          <w:lang w:eastAsia="es-ES"/>
          <w14:ligatures w14:val="none"/>
        </w:rPr>
      </w:pPr>
      <w:r w:rsidRPr="00FD6A51">
        <w:rPr>
          <w:rFonts w:ascii="Segoe UI" w:eastAsia="Times New Roman" w:hAnsi="Segoe UI" w:cs="Segoe UI"/>
          <w:b/>
          <w:bCs/>
          <w:kern w:val="0"/>
          <w:sz w:val="30"/>
          <w:szCs w:val="30"/>
          <w:lang w:eastAsia="es-ES"/>
          <w14:ligatures w14:val="none"/>
        </w:rPr>
        <w:t>2.1. Modelando la dinámica de los biomarcadores</w:t>
      </w:r>
    </w:p>
    <w:p w14:paraId="30AAD75A" w14:textId="77777777" w:rsidR="00FD6A51" w:rsidRPr="00FD6A51" w:rsidRDefault="00FD6A51" w:rsidP="00FD6A51">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kern w:val="0"/>
          <w:sz w:val="24"/>
          <w:szCs w:val="24"/>
          <w:lang w:eastAsia="es-ES"/>
          <w14:ligatures w14:val="none"/>
        </w:rPr>
        <w:t xml:space="preserve">El </w:t>
      </w:r>
      <w:r w:rsidRPr="00E529CB">
        <w:rPr>
          <w:rFonts w:ascii="Segoe UI" w:eastAsia="Times New Roman" w:hAnsi="Segoe UI" w:cs="Segoe UI"/>
          <w:kern w:val="0"/>
          <w:sz w:val="24"/>
          <w:szCs w:val="24"/>
          <w:highlight w:val="yellow"/>
          <w:lang w:eastAsia="es-ES"/>
          <w14:ligatures w14:val="none"/>
        </w:rPr>
        <w:t>modelo estima dos conjuntos de parámetros</w:t>
      </w:r>
      <w:r w:rsidRPr="00FD6A51">
        <w:rPr>
          <w:rFonts w:ascii="Segoe UI" w:eastAsia="Times New Roman" w:hAnsi="Segoe UI" w:cs="Segoe UI"/>
          <w:kern w:val="0"/>
          <w:sz w:val="24"/>
          <w:szCs w:val="24"/>
          <w:lang w:eastAsia="es-ES"/>
          <w14:ligatures w14:val="none"/>
        </w:rPr>
        <w:t xml:space="preserve">: los </w:t>
      </w:r>
      <w:r w:rsidRPr="00E529CB">
        <w:rPr>
          <w:rFonts w:ascii="Segoe UI" w:eastAsia="Times New Roman" w:hAnsi="Segoe UI" w:cs="Segoe UI"/>
          <w:kern w:val="0"/>
          <w:sz w:val="24"/>
          <w:szCs w:val="24"/>
          <w:highlight w:val="green"/>
          <w:lang w:eastAsia="es-ES"/>
          <w14:ligatures w14:val="none"/>
        </w:rPr>
        <w:t>parámetros específicos del biomarcador observado</w:t>
      </w:r>
      <w:r w:rsidRPr="00FD6A51">
        <w:rPr>
          <w:rFonts w:ascii="Segoe UI" w:eastAsia="Times New Roman" w:hAnsi="Segoe UI" w:cs="Segoe UI"/>
          <w:kern w:val="0"/>
          <w:sz w:val="24"/>
          <w:szCs w:val="24"/>
          <w:lang w:eastAsia="es-ES"/>
          <w14:ligatures w14:val="none"/>
        </w:rPr>
        <w:t xml:space="preserve">, asignados para ajustar las curvas de los biomarcadores, y </w:t>
      </w:r>
      <w:r w:rsidRPr="00E529CB">
        <w:rPr>
          <w:rFonts w:ascii="Segoe UI" w:eastAsia="Times New Roman" w:hAnsi="Segoe UI" w:cs="Segoe UI"/>
          <w:kern w:val="0"/>
          <w:sz w:val="24"/>
          <w:szCs w:val="24"/>
          <w:highlight w:val="green"/>
          <w:lang w:eastAsia="es-ES"/>
          <w14:ligatures w14:val="none"/>
        </w:rPr>
        <w:t>los parámetros ocultos específicos del progreso de la enfermedad relacionados con la edad</w:t>
      </w:r>
      <w:r w:rsidRPr="00FD6A51">
        <w:rPr>
          <w:rFonts w:ascii="Segoe UI" w:eastAsia="Times New Roman" w:hAnsi="Segoe UI" w:cs="Segoe UI"/>
          <w:kern w:val="0"/>
          <w:sz w:val="24"/>
          <w:szCs w:val="24"/>
          <w:lang w:eastAsia="es-ES"/>
          <w14:ligatures w14:val="none"/>
        </w:rPr>
        <w:t xml:space="preserve">, que se definen para </w:t>
      </w:r>
      <w:r w:rsidRPr="00E529CB">
        <w:rPr>
          <w:rFonts w:ascii="Segoe UI" w:eastAsia="Times New Roman" w:hAnsi="Segoe UI" w:cs="Segoe UI"/>
          <w:kern w:val="0"/>
          <w:sz w:val="24"/>
          <w:szCs w:val="24"/>
          <w:highlight w:val="yellow"/>
          <w:lang w:eastAsia="es-ES"/>
          <w14:ligatures w14:val="none"/>
        </w:rPr>
        <w:t>alinear</w:t>
      </w:r>
      <w:r w:rsidRPr="00FD6A51">
        <w:rPr>
          <w:rFonts w:ascii="Segoe UI" w:eastAsia="Times New Roman" w:hAnsi="Segoe UI" w:cs="Segoe UI"/>
          <w:kern w:val="0"/>
          <w:sz w:val="24"/>
          <w:szCs w:val="24"/>
          <w:lang w:eastAsia="es-ES"/>
          <w14:ligatures w14:val="none"/>
        </w:rPr>
        <w:t xml:space="preserve"> la trayectoria de los </w:t>
      </w:r>
      <w:r w:rsidRPr="00E529CB">
        <w:rPr>
          <w:rFonts w:ascii="Segoe UI" w:eastAsia="Times New Roman" w:hAnsi="Segoe UI" w:cs="Segoe UI"/>
          <w:kern w:val="0"/>
          <w:sz w:val="24"/>
          <w:szCs w:val="24"/>
          <w:highlight w:val="yellow"/>
          <w:lang w:eastAsia="es-ES"/>
          <w14:ligatures w14:val="none"/>
        </w:rPr>
        <w:t>sujetos</w:t>
      </w:r>
      <w:r w:rsidRPr="00FD6A51">
        <w:rPr>
          <w:rFonts w:ascii="Segoe UI" w:eastAsia="Times New Roman" w:hAnsi="Segoe UI" w:cs="Segoe UI"/>
          <w:kern w:val="0"/>
          <w:sz w:val="24"/>
          <w:szCs w:val="24"/>
          <w:lang w:eastAsia="es-ES"/>
          <w14:ligatures w14:val="none"/>
        </w:rPr>
        <w:t>. Cada medición de biomarcadores se define como:</w:t>
      </w:r>
    </w:p>
    <w:p w14:paraId="251472A9" w14:textId="7D7AE7FF" w:rsidR="00FD6A51" w:rsidRP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FD6A51">
        <w:rPr>
          <w:rFonts w:ascii="KaTeX_Math" w:eastAsia="Times New Roman" w:hAnsi="KaTeX_Math" w:cs="Times New Roman"/>
          <w:i/>
          <w:iCs/>
          <w:kern w:val="0"/>
          <w:sz w:val="29"/>
          <w:szCs w:val="29"/>
          <w:bdr w:val="single" w:sz="2" w:space="0" w:color="E3E3E3" w:frame="1"/>
          <w:lang w:eastAsia="es-ES"/>
          <w14:ligatures w14:val="none"/>
        </w:rPr>
        <w:t>y</w:t>
      </w:r>
      <w:r w:rsidRPr="00FD6A51">
        <w:rPr>
          <w:rFonts w:ascii="KaTeX_Math" w:eastAsia="Times New Roman" w:hAnsi="KaTeX_Math" w:cs="Times New Roman"/>
          <w:i/>
          <w:iCs/>
          <w:kern w:val="0"/>
          <w:sz w:val="20"/>
          <w:szCs w:val="20"/>
          <w:bdr w:val="single" w:sz="2" w:space="0" w:color="E3E3E3" w:frame="1"/>
          <w:lang w:eastAsia="es-ES"/>
          <w14:ligatures w14:val="none"/>
        </w:rPr>
        <w:t>i</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j</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f</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s</w:t>
      </w:r>
      <w:r w:rsidRPr="00FD6A51">
        <w:rPr>
          <w:rFonts w:ascii="KaTeX_Math" w:eastAsia="Times New Roman" w:hAnsi="KaTeX_Math" w:cs="Times New Roman"/>
          <w:i/>
          <w:iCs/>
          <w:kern w:val="0"/>
          <w:sz w:val="20"/>
          <w:szCs w:val="20"/>
          <w:bdr w:val="single" w:sz="2" w:space="0" w:color="E3E3E3" w:frame="1"/>
          <w:lang w:eastAsia="es-ES"/>
          <w14:ligatures w14:val="none"/>
        </w:rPr>
        <w:t>i</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j</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θ</w:t>
      </w:r>
      <w:r w:rsidRPr="00FD6A51">
        <w:rPr>
          <w:rFonts w:ascii="KaTeX_Math" w:eastAsia="Times New Roman" w:hAnsi="KaTeX_Math" w:cs="Times New Roman"/>
          <w:i/>
          <w:iCs/>
          <w:kern w:val="0"/>
          <w:sz w:val="20"/>
          <w:szCs w:val="20"/>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σ</w:t>
      </w:r>
      <w:r w:rsidRPr="00FD6A51">
        <w:rPr>
          <w:rFonts w:ascii="KaTeX_Math" w:eastAsia="Times New Roman" w:hAnsi="KaTeX_Math" w:cs="Times New Roman"/>
          <w:i/>
          <w:iCs/>
          <w:kern w:val="0"/>
          <w:sz w:val="20"/>
          <w:szCs w:val="20"/>
          <w:bdr w:val="single" w:sz="2" w:space="0" w:color="E3E3E3" w:frame="1"/>
          <w:lang w:eastAsia="es-ES"/>
          <w14:ligatures w14:val="none"/>
        </w:rPr>
        <w:t>k</w:t>
      </w:r>
      <w:r>
        <w:rPr>
          <w:rFonts w:ascii="KaTeX_Math" w:eastAsia="Times New Roman" w:hAnsi="KaTeX_Math" w:cs="Times New Roman"/>
          <w:i/>
          <w:iCs/>
          <w:kern w:val="0"/>
          <w:sz w:val="20"/>
          <w:szCs w:val="20"/>
          <w:bdr w:val="single" w:sz="2" w:space="0" w:color="E3E3E3" w:frame="1"/>
          <w:lang w:eastAsia="es-ES"/>
          <w14:ligatures w14:val="none"/>
        </w:rPr>
        <w:t xml:space="preserve"> </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ϵ</w:t>
      </w:r>
      <w:r w:rsidRPr="00FD6A51">
        <w:rPr>
          <w:rFonts w:ascii="KaTeX_Math" w:eastAsia="Times New Roman" w:hAnsi="KaTeX_Math" w:cs="Times New Roman"/>
          <w:i/>
          <w:iCs/>
          <w:kern w:val="0"/>
          <w:sz w:val="20"/>
          <w:szCs w:val="20"/>
          <w:bdr w:val="single" w:sz="2" w:space="0" w:color="E3E3E3" w:frame="1"/>
          <w:lang w:eastAsia="es-ES"/>
          <w14:ligatures w14:val="none"/>
        </w:rPr>
        <w:t>i</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j</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p>
    <w:p w14:paraId="1C7F8481" w14:textId="53B73391" w:rsidR="00FD6A51" w:rsidRP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kern w:val="0"/>
          <w:sz w:val="24"/>
          <w:szCs w:val="24"/>
          <w:lang w:eastAsia="es-ES"/>
          <w14:ligatures w14:val="none"/>
        </w:rPr>
        <w:t xml:space="preserve">donde </w:t>
      </w:r>
      <w:r w:rsidRPr="00E529CB">
        <w:rPr>
          <w:rFonts w:ascii="KaTeX_Math" w:eastAsia="Times New Roman" w:hAnsi="KaTeX_Math" w:cs="Times New Roman"/>
          <w:i/>
          <w:iCs/>
          <w:kern w:val="0"/>
          <w:sz w:val="29"/>
          <w:szCs w:val="29"/>
          <w:highlight w:val="yellow"/>
          <w:bdr w:val="single" w:sz="2" w:space="0" w:color="E3E3E3" w:frame="1"/>
          <w:lang w:eastAsia="es-ES"/>
          <w14:ligatures w14:val="none"/>
        </w:rPr>
        <w:t>σ</w:t>
      </w:r>
      <w:r w:rsidRPr="00E529CB">
        <w:rPr>
          <w:rFonts w:ascii="KaTeX_Math" w:eastAsia="Times New Roman" w:hAnsi="KaTeX_Math" w:cs="Times New Roman"/>
          <w:i/>
          <w:iCs/>
          <w:kern w:val="0"/>
          <w:sz w:val="20"/>
          <w:szCs w:val="20"/>
          <w:highlight w:val="yellow"/>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Segoe UI" w:eastAsia="Times New Roman" w:hAnsi="Segoe UI" w:cs="Segoe UI"/>
          <w:kern w:val="0"/>
          <w:sz w:val="24"/>
          <w:szCs w:val="24"/>
          <w:lang w:eastAsia="es-ES"/>
          <w14:ligatures w14:val="none"/>
        </w:rPr>
        <w:t xml:space="preserve"> es la </w:t>
      </w:r>
      <w:r w:rsidRPr="00E529CB">
        <w:rPr>
          <w:rFonts w:ascii="Segoe UI" w:eastAsia="Times New Roman" w:hAnsi="Segoe UI" w:cs="Segoe UI"/>
          <w:kern w:val="0"/>
          <w:sz w:val="24"/>
          <w:szCs w:val="24"/>
          <w:highlight w:val="yellow"/>
          <w:lang w:eastAsia="es-ES"/>
          <w14:ligatures w14:val="none"/>
        </w:rPr>
        <w:t>desviación estándar</w:t>
      </w:r>
      <w:r w:rsidRPr="00FD6A51">
        <w:rPr>
          <w:rFonts w:ascii="Segoe UI" w:eastAsia="Times New Roman" w:hAnsi="Segoe UI" w:cs="Segoe UI"/>
          <w:kern w:val="0"/>
          <w:sz w:val="24"/>
          <w:szCs w:val="24"/>
          <w:lang w:eastAsia="es-ES"/>
          <w14:ligatures w14:val="none"/>
        </w:rPr>
        <w:t xml:space="preserve"> del </w:t>
      </w:r>
      <w:r w:rsidRPr="00E529CB">
        <w:rPr>
          <w:rFonts w:ascii="Segoe UI" w:eastAsia="Times New Roman" w:hAnsi="Segoe UI" w:cs="Segoe UI"/>
          <w:kern w:val="0"/>
          <w:sz w:val="24"/>
          <w:szCs w:val="24"/>
          <w:highlight w:val="yellow"/>
          <w:lang w:eastAsia="es-ES"/>
          <w14:ligatures w14:val="none"/>
        </w:rPr>
        <w:t>k-ésimo biomarcador</w:t>
      </w:r>
      <w:r w:rsidRPr="00FD6A51">
        <w:rPr>
          <w:rFonts w:ascii="Segoe UI" w:eastAsia="Times New Roman" w:hAnsi="Segoe UI" w:cs="Segoe UI"/>
          <w:kern w:val="0"/>
          <w:sz w:val="24"/>
          <w:szCs w:val="24"/>
          <w:lang w:eastAsia="es-ES"/>
          <w14:ligatures w14:val="none"/>
        </w:rPr>
        <w:t xml:space="preserve"> con parámetros </w:t>
      </w:r>
      <w:r w:rsidRPr="00FD6A51">
        <w:rPr>
          <w:rFonts w:ascii="KaTeX_Math" w:eastAsia="Times New Roman" w:hAnsi="KaTeX_Math" w:cs="Times New Roman"/>
          <w:i/>
          <w:iCs/>
          <w:kern w:val="0"/>
          <w:sz w:val="29"/>
          <w:szCs w:val="29"/>
          <w:bdr w:val="single" w:sz="2" w:space="0" w:color="E3E3E3" w:frame="1"/>
          <w:lang w:eastAsia="es-ES"/>
          <w14:ligatures w14:val="none"/>
        </w:rPr>
        <w:t>θ</w:t>
      </w:r>
      <w:r w:rsidRPr="00FD6A51">
        <w:rPr>
          <w:rFonts w:ascii="KaTeX_Math" w:eastAsia="Times New Roman" w:hAnsi="KaTeX_Math" w:cs="Times New Roman"/>
          <w:i/>
          <w:iCs/>
          <w:kern w:val="0"/>
          <w:sz w:val="20"/>
          <w:szCs w:val="20"/>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Segoe UI" w:eastAsia="Times New Roman" w:hAnsi="Segoe UI" w:cs="Segoe UI"/>
          <w:kern w:val="0"/>
          <w:sz w:val="24"/>
          <w:szCs w:val="24"/>
          <w:lang w:eastAsia="es-ES"/>
          <w14:ligatures w14:val="none"/>
        </w:rPr>
        <w:t xml:space="preserve">, </w:t>
      </w:r>
      <w:r w:rsidRPr="00FD6A51">
        <w:rPr>
          <w:rFonts w:ascii="KaTeX_Math" w:eastAsia="Times New Roman" w:hAnsi="KaTeX_Math" w:cs="Times New Roman"/>
          <w:i/>
          <w:iCs/>
          <w:kern w:val="0"/>
          <w:sz w:val="29"/>
          <w:szCs w:val="29"/>
          <w:bdr w:val="single" w:sz="2" w:space="0" w:color="E3E3E3" w:frame="1"/>
          <w:lang w:eastAsia="es-ES"/>
          <w14:ligatures w14:val="none"/>
        </w:rPr>
        <w:t>ϵ</w:t>
      </w:r>
      <w:r w:rsidRPr="00FD6A51">
        <w:rPr>
          <w:rFonts w:ascii="KaTeX_Math" w:eastAsia="Times New Roman" w:hAnsi="KaTeX_Math" w:cs="Times New Roman"/>
          <w:i/>
          <w:iCs/>
          <w:kern w:val="0"/>
          <w:sz w:val="20"/>
          <w:szCs w:val="20"/>
          <w:bdr w:val="single" w:sz="2" w:space="0" w:color="E3E3E3" w:frame="1"/>
          <w:lang w:eastAsia="es-ES"/>
          <w14:ligatures w14:val="none"/>
        </w:rPr>
        <w:t>i</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j</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Segoe UI" w:eastAsia="Times New Roman" w:hAnsi="Segoe UI" w:cs="Segoe UI"/>
          <w:kern w:val="0"/>
          <w:sz w:val="24"/>
          <w:szCs w:val="24"/>
          <w:lang w:eastAsia="es-ES"/>
          <w14:ligatures w14:val="none"/>
        </w:rPr>
        <w:t xml:space="preserve"> es el ruido gaussiano blanco aditivo (efecto aleatorio) con suposición independiente e idénticamente distribuida (i.i.d.), y </w:t>
      </w:r>
      <w:r w:rsidRPr="004C4660">
        <w:rPr>
          <w:rFonts w:ascii="KaTeX_Math" w:eastAsia="Times New Roman" w:hAnsi="KaTeX_Math" w:cs="Times New Roman"/>
          <w:i/>
          <w:iCs/>
          <w:kern w:val="0"/>
          <w:sz w:val="29"/>
          <w:szCs w:val="29"/>
          <w:highlight w:val="yellow"/>
          <w:bdr w:val="single" w:sz="2" w:space="0" w:color="E3E3E3" w:frame="1"/>
          <w:lang w:eastAsia="es-ES"/>
          <w14:ligatures w14:val="none"/>
        </w:rPr>
        <w:t>s</w:t>
      </w:r>
      <w:r w:rsidRPr="004C4660">
        <w:rPr>
          <w:rFonts w:ascii="KaTeX_Math" w:eastAsia="Times New Roman" w:hAnsi="KaTeX_Math" w:cs="Times New Roman"/>
          <w:i/>
          <w:iCs/>
          <w:kern w:val="0"/>
          <w:sz w:val="20"/>
          <w:szCs w:val="20"/>
          <w:highlight w:val="yellow"/>
          <w:bdr w:val="single" w:sz="2" w:space="0" w:color="E3E3E3" w:frame="1"/>
          <w:lang w:eastAsia="es-ES"/>
          <w14:ligatures w14:val="none"/>
        </w:rPr>
        <w:t>i</w:t>
      </w:r>
      <w:r w:rsidRPr="004C4660">
        <w:rPr>
          <w:rFonts w:ascii="Times New Roman" w:eastAsia="Times New Roman" w:hAnsi="Times New Roman" w:cs="Times New Roman"/>
          <w:kern w:val="0"/>
          <w:sz w:val="20"/>
          <w:szCs w:val="20"/>
          <w:highlight w:val="yellow"/>
          <w:bdr w:val="single" w:sz="2" w:space="0" w:color="E3E3E3" w:frame="1"/>
          <w:lang w:eastAsia="es-ES"/>
          <w14:ligatures w14:val="none"/>
        </w:rPr>
        <w:t>,</w:t>
      </w:r>
      <w:r w:rsidRPr="004C4660">
        <w:rPr>
          <w:rFonts w:ascii="KaTeX_Math" w:eastAsia="Times New Roman" w:hAnsi="KaTeX_Math" w:cs="Times New Roman"/>
          <w:i/>
          <w:iCs/>
          <w:kern w:val="0"/>
          <w:sz w:val="20"/>
          <w:szCs w:val="20"/>
          <w:highlight w:val="yellow"/>
          <w:bdr w:val="single" w:sz="2" w:space="0" w:color="E3E3E3" w:frame="1"/>
          <w:lang w:eastAsia="es-ES"/>
          <w14:ligatures w14:val="none"/>
        </w:rPr>
        <w:t>j</w:t>
      </w:r>
      <w:r w:rsidRPr="004C4660">
        <w:rPr>
          <w:rFonts w:ascii="Times New Roman" w:eastAsia="Times New Roman" w:hAnsi="Times New Roman" w:cs="Times New Roman"/>
          <w:kern w:val="0"/>
          <w:sz w:val="2"/>
          <w:szCs w:val="2"/>
          <w:highlight w:val="yellow"/>
          <w:bdr w:val="single" w:sz="2" w:space="0" w:color="E3E3E3" w:frame="1"/>
          <w:lang w:eastAsia="es-ES"/>
          <w14:ligatures w14:val="none"/>
        </w:rPr>
        <w:t>​</w:t>
      </w:r>
      <w:r w:rsidRPr="004C4660">
        <w:rPr>
          <w:rFonts w:ascii="Segoe UI" w:eastAsia="Times New Roman" w:hAnsi="Segoe UI" w:cs="Segoe UI"/>
          <w:kern w:val="0"/>
          <w:sz w:val="24"/>
          <w:szCs w:val="24"/>
          <w:highlight w:val="yellow"/>
          <w:lang w:eastAsia="es-ES"/>
          <w14:ligatures w14:val="none"/>
        </w:rPr>
        <w:t xml:space="preserve"> es la puntuación de progresión de la enfermedad (DPS)</w:t>
      </w:r>
      <w:r w:rsidRPr="00FD6A51">
        <w:rPr>
          <w:rFonts w:ascii="Segoe UI" w:eastAsia="Times New Roman" w:hAnsi="Segoe UI" w:cs="Segoe UI"/>
          <w:kern w:val="0"/>
          <w:sz w:val="24"/>
          <w:szCs w:val="24"/>
          <w:lang w:eastAsia="es-ES"/>
          <w14:ligatures w14:val="none"/>
        </w:rPr>
        <w:t xml:space="preserve"> para la j-ésima visita del i-ésimo sujeto y se obtiene como:</w:t>
      </w:r>
    </w:p>
    <w:p w14:paraId="630B0ACC" w14:textId="36421286" w:rsidR="00FD6A51" w:rsidRP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4C4660">
        <w:rPr>
          <w:rFonts w:ascii="KaTeX_Math" w:eastAsia="Times New Roman" w:hAnsi="KaTeX_Math" w:cs="Times New Roman"/>
          <w:i/>
          <w:iCs/>
          <w:kern w:val="0"/>
          <w:sz w:val="29"/>
          <w:szCs w:val="29"/>
          <w:highlight w:val="green"/>
          <w:bdr w:val="single" w:sz="2" w:space="0" w:color="E3E3E3" w:frame="1"/>
          <w:lang w:eastAsia="es-ES"/>
          <w14:ligatures w14:val="none"/>
        </w:rPr>
        <w:t>s</w:t>
      </w:r>
      <w:r w:rsidRPr="004C4660">
        <w:rPr>
          <w:rFonts w:ascii="KaTeX_Math" w:eastAsia="Times New Roman" w:hAnsi="KaTeX_Math" w:cs="Times New Roman"/>
          <w:i/>
          <w:iCs/>
          <w:kern w:val="0"/>
          <w:sz w:val="20"/>
          <w:szCs w:val="20"/>
          <w:highlight w:val="green"/>
          <w:bdr w:val="single" w:sz="2" w:space="0" w:color="E3E3E3" w:frame="1"/>
          <w:lang w:eastAsia="es-ES"/>
          <w14:ligatures w14:val="none"/>
        </w:rPr>
        <w:t>i</w:t>
      </w:r>
      <w:r w:rsidRPr="004C4660">
        <w:rPr>
          <w:rFonts w:ascii="Times New Roman" w:eastAsia="Times New Roman" w:hAnsi="Times New Roman" w:cs="Times New Roman"/>
          <w:kern w:val="0"/>
          <w:sz w:val="20"/>
          <w:szCs w:val="20"/>
          <w:highlight w:val="green"/>
          <w:bdr w:val="single" w:sz="2" w:space="0" w:color="E3E3E3" w:frame="1"/>
          <w:lang w:eastAsia="es-ES"/>
          <w14:ligatures w14:val="none"/>
        </w:rPr>
        <w:t>,</w:t>
      </w:r>
      <w:r w:rsidRPr="004C4660">
        <w:rPr>
          <w:rFonts w:ascii="KaTeX_Math" w:eastAsia="Times New Roman" w:hAnsi="KaTeX_Math" w:cs="Times New Roman"/>
          <w:i/>
          <w:iCs/>
          <w:kern w:val="0"/>
          <w:sz w:val="20"/>
          <w:szCs w:val="20"/>
          <w:highlight w:val="green"/>
          <w:bdr w:val="single" w:sz="2" w:space="0" w:color="E3E3E3" w:frame="1"/>
          <w:lang w:eastAsia="es-ES"/>
          <w14:ligatures w14:val="none"/>
        </w:rPr>
        <w:t>j</w:t>
      </w:r>
      <w:r w:rsidRPr="004C4660">
        <w:rPr>
          <w:rFonts w:ascii="Times New Roman" w:eastAsia="Times New Roman" w:hAnsi="Times New Roman" w:cs="Times New Roman"/>
          <w:kern w:val="0"/>
          <w:sz w:val="2"/>
          <w:szCs w:val="2"/>
          <w:highlight w:val="green"/>
          <w:bdr w:val="single" w:sz="2" w:space="0" w:color="E3E3E3" w:frame="1"/>
          <w:lang w:eastAsia="es-ES"/>
          <w14:ligatures w14:val="none"/>
        </w:rPr>
        <w:t>​</w:t>
      </w:r>
      <w:r w:rsidRPr="004C4660">
        <w:rPr>
          <w:rFonts w:ascii="Times New Roman" w:eastAsia="Times New Roman" w:hAnsi="Times New Roman" w:cs="Times New Roman"/>
          <w:kern w:val="0"/>
          <w:sz w:val="29"/>
          <w:szCs w:val="29"/>
          <w:highlight w:val="green"/>
          <w:bdr w:val="single" w:sz="2" w:space="0" w:color="E3E3E3" w:frame="1"/>
          <w:lang w:eastAsia="es-ES"/>
          <w14:ligatures w14:val="none"/>
        </w:rPr>
        <w:t>=</w:t>
      </w:r>
      <w:r w:rsidRPr="004C4660">
        <w:rPr>
          <w:rFonts w:ascii="KaTeX_Math" w:eastAsia="Times New Roman" w:hAnsi="KaTeX_Math" w:cs="Times New Roman"/>
          <w:i/>
          <w:iCs/>
          <w:kern w:val="0"/>
          <w:sz w:val="29"/>
          <w:szCs w:val="29"/>
          <w:highlight w:val="green"/>
          <w:bdr w:val="single" w:sz="2" w:space="0" w:color="E3E3E3" w:frame="1"/>
          <w:lang w:eastAsia="es-ES"/>
          <w14:ligatures w14:val="none"/>
        </w:rPr>
        <w:t>α</w:t>
      </w:r>
      <w:r w:rsidRPr="004C4660">
        <w:rPr>
          <w:rFonts w:ascii="KaTeX_Math" w:eastAsia="Times New Roman" w:hAnsi="KaTeX_Math" w:cs="Times New Roman"/>
          <w:i/>
          <w:iCs/>
          <w:kern w:val="0"/>
          <w:sz w:val="20"/>
          <w:szCs w:val="20"/>
          <w:highlight w:val="green"/>
          <w:bdr w:val="single" w:sz="2" w:space="0" w:color="E3E3E3" w:frame="1"/>
          <w:lang w:eastAsia="es-ES"/>
          <w14:ligatures w14:val="none"/>
        </w:rPr>
        <w:t>i</w:t>
      </w:r>
      <w:r w:rsidRPr="004C4660">
        <w:rPr>
          <w:rFonts w:ascii="Times New Roman" w:eastAsia="Times New Roman" w:hAnsi="Times New Roman" w:cs="Times New Roman"/>
          <w:kern w:val="0"/>
          <w:sz w:val="2"/>
          <w:szCs w:val="2"/>
          <w:highlight w:val="green"/>
          <w:bdr w:val="single" w:sz="2" w:space="0" w:color="E3E3E3" w:frame="1"/>
          <w:lang w:eastAsia="es-ES"/>
          <w14:ligatures w14:val="none"/>
        </w:rPr>
        <w:t>​</w:t>
      </w:r>
      <w:r w:rsidRPr="004C4660">
        <w:rPr>
          <w:rFonts w:ascii="KaTeX_Math" w:eastAsia="Times New Roman" w:hAnsi="KaTeX_Math" w:cs="Times New Roman"/>
          <w:i/>
          <w:iCs/>
          <w:kern w:val="0"/>
          <w:sz w:val="29"/>
          <w:szCs w:val="29"/>
          <w:highlight w:val="green"/>
          <w:bdr w:val="single" w:sz="2" w:space="0" w:color="E3E3E3" w:frame="1"/>
          <w:lang w:eastAsia="es-ES"/>
          <w14:ligatures w14:val="none"/>
        </w:rPr>
        <w:t>t</w:t>
      </w:r>
      <w:r w:rsidRPr="004C4660">
        <w:rPr>
          <w:rFonts w:ascii="KaTeX_Math" w:eastAsia="Times New Roman" w:hAnsi="KaTeX_Math" w:cs="Times New Roman"/>
          <w:i/>
          <w:iCs/>
          <w:kern w:val="0"/>
          <w:sz w:val="20"/>
          <w:szCs w:val="20"/>
          <w:highlight w:val="green"/>
          <w:bdr w:val="single" w:sz="2" w:space="0" w:color="E3E3E3" w:frame="1"/>
          <w:lang w:eastAsia="es-ES"/>
          <w14:ligatures w14:val="none"/>
        </w:rPr>
        <w:t>i</w:t>
      </w:r>
      <w:r w:rsidRPr="004C4660">
        <w:rPr>
          <w:rFonts w:ascii="Times New Roman" w:eastAsia="Times New Roman" w:hAnsi="Times New Roman" w:cs="Times New Roman"/>
          <w:kern w:val="0"/>
          <w:sz w:val="20"/>
          <w:szCs w:val="20"/>
          <w:highlight w:val="green"/>
          <w:bdr w:val="single" w:sz="2" w:space="0" w:color="E3E3E3" w:frame="1"/>
          <w:lang w:eastAsia="es-ES"/>
          <w14:ligatures w14:val="none"/>
        </w:rPr>
        <w:t>,</w:t>
      </w:r>
      <w:r w:rsidRPr="004C4660">
        <w:rPr>
          <w:rFonts w:ascii="KaTeX_Math" w:eastAsia="Times New Roman" w:hAnsi="KaTeX_Math" w:cs="Times New Roman"/>
          <w:i/>
          <w:iCs/>
          <w:kern w:val="0"/>
          <w:sz w:val="20"/>
          <w:szCs w:val="20"/>
          <w:highlight w:val="green"/>
          <w:bdr w:val="single" w:sz="2" w:space="0" w:color="E3E3E3" w:frame="1"/>
          <w:lang w:eastAsia="es-ES"/>
          <w14:ligatures w14:val="none"/>
        </w:rPr>
        <w:t>j</w:t>
      </w:r>
      <w:r w:rsidRPr="004C4660">
        <w:rPr>
          <w:rFonts w:ascii="Times New Roman" w:eastAsia="Times New Roman" w:hAnsi="Times New Roman" w:cs="Times New Roman"/>
          <w:kern w:val="0"/>
          <w:sz w:val="2"/>
          <w:szCs w:val="2"/>
          <w:highlight w:val="green"/>
          <w:bdr w:val="single" w:sz="2" w:space="0" w:color="E3E3E3" w:frame="1"/>
          <w:lang w:eastAsia="es-ES"/>
          <w14:ligatures w14:val="none"/>
        </w:rPr>
        <w:t>​</w:t>
      </w:r>
      <w:r w:rsidRPr="004C4660">
        <w:rPr>
          <w:rFonts w:ascii="Times New Roman" w:eastAsia="Times New Roman" w:hAnsi="Times New Roman" w:cs="Times New Roman"/>
          <w:kern w:val="0"/>
          <w:sz w:val="29"/>
          <w:szCs w:val="29"/>
          <w:highlight w:val="green"/>
          <w:bdr w:val="single" w:sz="2" w:space="0" w:color="E3E3E3" w:frame="1"/>
          <w:lang w:eastAsia="es-ES"/>
          <w14:ligatures w14:val="none"/>
        </w:rPr>
        <w:t>+</w:t>
      </w:r>
      <w:r w:rsidRPr="004C4660">
        <w:rPr>
          <w:rFonts w:ascii="KaTeX_Math" w:eastAsia="Times New Roman" w:hAnsi="KaTeX_Math" w:cs="Times New Roman"/>
          <w:i/>
          <w:iCs/>
          <w:kern w:val="0"/>
          <w:sz w:val="29"/>
          <w:szCs w:val="29"/>
          <w:highlight w:val="green"/>
          <w:bdr w:val="single" w:sz="2" w:space="0" w:color="E3E3E3" w:frame="1"/>
          <w:lang w:eastAsia="es-ES"/>
          <w14:ligatures w14:val="none"/>
        </w:rPr>
        <w:t>β</w:t>
      </w:r>
      <w:r w:rsidRPr="004C4660">
        <w:rPr>
          <w:rFonts w:ascii="KaTeX_Math" w:eastAsia="Times New Roman" w:hAnsi="KaTeX_Math" w:cs="Times New Roman"/>
          <w:i/>
          <w:iCs/>
          <w:kern w:val="0"/>
          <w:sz w:val="20"/>
          <w:szCs w:val="20"/>
          <w:highlight w:val="green"/>
          <w:bdr w:val="single" w:sz="2" w:space="0" w:color="E3E3E3" w:frame="1"/>
          <w:lang w:eastAsia="es-ES"/>
          <w14:ligatures w14:val="none"/>
        </w:rPr>
        <w:t>i</w:t>
      </w:r>
      <w:r w:rsidRPr="004C4660">
        <w:rPr>
          <w:rFonts w:ascii="Times New Roman" w:eastAsia="Times New Roman" w:hAnsi="Times New Roman" w:cs="Times New Roman"/>
          <w:kern w:val="0"/>
          <w:sz w:val="2"/>
          <w:szCs w:val="2"/>
          <w:highlight w:val="green"/>
          <w:bdr w:val="single" w:sz="2" w:space="0" w:color="E3E3E3" w:frame="1"/>
          <w:lang w:eastAsia="es-ES"/>
          <w14:ligatures w14:val="none"/>
        </w:rPr>
        <w:t>​</w:t>
      </w:r>
    </w:p>
    <w:p w14:paraId="39AA2E51" w14:textId="5CFD4CD8" w:rsidR="00FD6A51" w:rsidRP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kern w:val="0"/>
          <w:sz w:val="24"/>
          <w:szCs w:val="24"/>
          <w:lang w:eastAsia="es-ES"/>
          <w14:ligatures w14:val="none"/>
        </w:rPr>
        <w:t xml:space="preserve">donde </w:t>
      </w:r>
      <w:r w:rsidRPr="00FD6A51">
        <w:rPr>
          <w:rFonts w:ascii="KaTeX_Math" w:eastAsia="Times New Roman" w:hAnsi="KaTeX_Math" w:cs="Times New Roman"/>
          <w:i/>
          <w:iCs/>
          <w:kern w:val="0"/>
          <w:sz w:val="29"/>
          <w:szCs w:val="29"/>
          <w:bdr w:val="single" w:sz="2" w:space="0" w:color="E3E3E3" w:frame="1"/>
          <w:lang w:eastAsia="es-ES"/>
          <w14:ligatures w14:val="none"/>
        </w:rPr>
        <w:t>t</w:t>
      </w:r>
      <w:r w:rsidRPr="00FD6A51">
        <w:rPr>
          <w:rFonts w:ascii="KaTeX_Math" w:eastAsia="Times New Roman" w:hAnsi="KaTeX_Math" w:cs="Times New Roman"/>
          <w:i/>
          <w:iCs/>
          <w:kern w:val="0"/>
          <w:sz w:val="20"/>
          <w:szCs w:val="20"/>
          <w:bdr w:val="single" w:sz="2" w:space="0" w:color="E3E3E3" w:frame="1"/>
          <w:lang w:eastAsia="es-ES"/>
          <w14:ligatures w14:val="none"/>
        </w:rPr>
        <w:t>i</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j</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Segoe UI" w:eastAsia="Times New Roman" w:hAnsi="Segoe UI" w:cs="Segoe UI"/>
          <w:kern w:val="0"/>
          <w:sz w:val="24"/>
          <w:szCs w:val="24"/>
          <w:lang w:eastAsia="es-ES"/>
          <w14:ligatures w14:val="none"/>
        </w:rPr>
        <w:t xml:space="preserve"> es la edad del sujeto i en la visita j, y </w:t>
      </w:r>
      <w:r w:rsidRPr="00FD6A51">
        <w:rPr>
          <w:rFonts w:ascii="KaTeX_Math" w:eastAsia="Times New Roman" w:hAnsi="KaTeX_Math" w:cs="Times New Roman"/>
          <w:i/>
          <w:iCs/>
          <w:kern w:val="0"/>
          <w:sz w:val="29"/>
          <w:szCs w:val="29"/>
          <w:bdr w:val="single" w:sz="2" w:space="0" w:color="E3E3E3" w:frame="1"/>
          <w:lang w:eastAsia="es-ES"/>
          <w14:ligatures w14:val="none"/>
        </w:rPr>
        <w:t>α</w:t>
      </w:r>
      <w:r w:rsidRPr="00FD6A51">
        <w:rPr>
          <w:rFonts w:ascii="KaTeX_Math" w:eastAsia="Times New Roman" w:hAnsi="KaTeX_Math" w:cs="Times New Roman"/>
          <w:i/>
          <w:iCs/>
          <w:kern w:val="0"/>
          <w:sz w:val="20"/>
          <w:szCs w:val="20"/>
          <w:bdr w:val="single" w:sz="2" w:space="0" w:color="E3E3E3" w:frame="1"/>
          <w:lang w:eastAsia="es-ES"/>
          <w14:ligatures w14:val="none"/>
        </w:rPr>
        <w:t>i</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Segoe UI" w:eastAsia="Times New Roman" w:hAnsi="Segoe UI" w:cs="Segoe UI"/>
          <w:kern w:val="0"/>
          <w:sz w:val="24"/>
          <w:szCs w:val="24"/>
          <w:lang w:eastAsia="es-ES"/>
          <w14:ligatures w14:val="none"/>
        </w:rPr>
        <w:t xml:space="preserve"> y </w:t>
      </w:r>
      <w:r w:rsidRPr="00FD6A51">
        <w:rPr>
          <w:rFonts w:ascii="KaTeX_Math" w:eastAsia="Times New Roman" w:hAnsi="KaTeX_Math" w:cs="Times New Roman"/>
          <w:i/>
          <w:iCs/>
          <w:kern w:val="0"/>
          <w:sz w:val="29"/>
          <w:szCs w:val="29"/>
          <w:bdr w:val="single" w:sz="2" w:space="0" w:color="E3E3E3" w:frame="1"/>
          <w:lang w:eastAsia="es-ES"/>
          <w14:ligatures w14:val="none"/>
        </w:rPr>
        <w:t>β</w:t>
      </w:r>
      <w:r w:rsidRPr="00FD6A51">
        <w:rPr>
          <w:rFonts w:ascii="KaTeX_Math" w:eastAsia="Times New Roman" w:hAnsi="KaTeX_Math" w:cs="Times New Roman"/>
          <w:i/>
          <w:iCs/>
          <w:kern w:val="0"/>
          <w:sz w:val="20"/>
          <w:szCs w:val="20"/>
          <w:bdr w:val="single" w:sz="2" w:space="0" w:color="E3E3E3" w:frame="1"/>
          <w:lang w:eastAsia="es-ES"/>
          <w14:ligatures w14:val="none"/>
        </w:rPr>
        <w:t>i</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Segoe UI" w:eastAsia="Times New Roman" w:hAnsi="Segoe UI" w:cs="Segoe UI"/>
          <w:kern w:val="0"/>
          <w:sz w:val="24"/>
          <w:szCs w:val="24"/>
          <w:lang w:eastAsia="es-ES"/>
          <w14:ligatures w14:val="none"/>
        </w:rPr>
        <w:t xml:space="preserve"> son la </w:t>
      </w:r>
      <w:r w:rsidRPr="004C4660">
        <w:rPr>
          <w:rFonts w:ascii="Segoe UI" w:eastAsia="Times New Roman" w:hAnsi="Segoe UI" w:cs="Segoe UI"/>
          <w:kern w:val="0"/>
          <w:sz w:val="24"/>
          <w:szCs w:val="24"/>
          <w:highlight w:val="green"/>
          <w:lang w:eastAsia="es-ES"/>
          <w14:ligatures w14:val="none"/>
        </w:rPr>
        <w:t>tasa y el inicio de la progresión de la enfermedad</w:t>
      </w:r>
      <w:r w:rsidRPr="00FD6A51">
        <w:rPr>
          <w:rFonts w:ascii="Segoe UI" w:eastAsia="Times New Roman" w:hAnsi="Segoe UI" w:cs="Segoe UI"/>
          <w:kern w:val="0"/>
          <w:sz w:val="24"/>
          <w:szCs w:val="24"/>
          <w:lang w:eastAsia="es-ES"/>
          <w14:ligatures w14:val="none"/>
        </w:rPr>
        <w:t xml:space="preserve"> del sujeto i, respectivamente. Finalmente, la </w:t>
      </w:r>
      <w:r w:rsidRPr="005D7302">
        <w:rPr>
          <w:rFonts w:ascii="Segoe UI" w:eastAsia="Times New Roman" w:hAnsi="Segoe UI" w:cs="Segoe UI"/>
          <w:kern w:val="0"/>
          <w:sz w:val="24"/>
          <w:szCs w:val="24"/>
          <w:highlight w:val="yellow"/>
          <w:lang w:eastAsia="es-ES"/>
          <w14:ligatures w14:val="none"/>
        </w:rPr>
        <w:t>optimización multiobjetivo para la regresión no lineal robusta</w:t>
      </w:r>
      <w:r w:rsidRPr="00FD6A51">
        <w:rPr>
          <w:rFonts w:ascii="Segoe UI" w:eastAsia="Times New Roman" w:hAnsi="Segoe UI" w:cs="Segoe UI"/>
          <w:kern w:val="0"/>
          <w:sz w:val="24"/>
          <w:szCs w:val="24"/>
          <w:lang w:eastAsia="es-ES"/>
          <w14:ligatures w14:val="none"/>
        </w:rPr>
        <w:t xml:space="preserve"> se define como:</w:t>
      </w:r>
    </w:p>
    <w:p w14:paraId="50BFBD14" w14:textId="6C8D016F" w:rsid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KaTeX_Size2" w:eastAsia="Times New Roman" w:hAnsi="KaTeX_Size2" w:cs="Times New Roman"/>
          <w:kern w:val="0"/>
          <w:sz w:val="29"/>
          <w:szCs w:val="29"/>
          <w:bdr w:val="single" w:sz="2" w:space="0" w:color="E3E3E3" w:frame="1"/>
          <w:lang w:eastAsia="es-ES"/>
          <w14:ligatures w14:val="none"/>
        </w:rPr>
      </w:pPr>
      <w:r>
        <w:rPr>
          <w:rFonts w:ascii="Times New Roman" w:eastAsia="Times New Roman" w:hAnsi="Times New Roman" w:cs="Times New Roman"/>
          <w:kern w:val="0"/>
          <w:sz w:val="29"/>
          <w:szCs w:val="29"/>
          <w:bdr w:val="none" w:sz="0" w:space="0" w:color="auto"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α</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β</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θ</w:t>
      </w:r>
      <w:r w:rsidRPr="00FD6A51">
        <w:rPr>
          <w:rFonts w:ascii="Times New Roman" w:eastAsia="Times New Roman" w:hAnsi="Times New Roman" w:cs="Times New Roman"/>
          <w:kern w:val="0"/>
          <w:sz w:val="29"/>
          <w:szCs w:val="29"/>
          <w:bdr w:val="single" w:sz="2" w:space="0" w:color="E3E3E3" w:frame="1"/>
          <w:lang w:eastAsia="es-ES"/>
          <w14:ligatures w14:val="none"/>
        </w:rPr>
        <w:t>^}=min</w:t>
      </w:r>
      <w:r w:rsidRPr="00FD6A51">
        <w:rPr>
          <w:rFonts w:ascii="KaTeX_Math" w:eastAsia="Times New Roman" w:hAnsi="KaTeX_Math" w:cs="Times New Roman"/>
          <w:i/>
          <w:iCs/>
          <w:kern w:val="0"/>
          <w:sz w:val="20"/>
          <w:szCs w:val="20"/>
          <w:bdr w:val="single" w:sz="2" w:space="0" w:color="E3E3E3" w:frame="1"/>
          <w:lang w:eastAsia="es-ES"/>
          <w14:ligatures w14:val="none"/>
        </w:rPr>
        <w:t>i</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j</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KaTeX_Size1" w:eastAsia="Times New Roman" w:hAnsi="KaTeX_Size1" w:cs="Times New Roman"/>
          <w:kern w:val="0"/>
          <w:sz w:val="29"/>
          <w:szCs w:val="29"/>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i</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j</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w</w:t>
      </w:r>
      <w:r w:rsidRPr="00FD6A51">
        <w:rPr>
          <w:rFonts w:ascii="KaTeX_Math" w:eastAsia="Times New Roman" w:hAnsi="KaTeX_Math" w:cs="Times New Roman"/>
          <w:i/>
          <w:iCs/>
          <w:kern w:val="0"/>
          <w:sz w:val="20"/>
          <w:szCs w:val="20"/>
          <w:bdr w:val="single" w:sz="2" w:space="0" w:color="E3E3E3" w:frame="1"/>
          <w:lang w:eastAsia="es-ES"/>
          <w14:ligatures w14:val="none"/>
        </w:rPr>
        <w:t>i</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ρ</w:t>
      </w:r>
      <w:r w:rsidRPr="00FD6A51">
        <w:rPr>
          <w:rFonts w:ascii="KaTeX_Size2" w:eastAsia="Times New Roman" w:hAnsi="KaTeX_Size2" w:cs="Times New Roman"/>
          <w:kern w:val="0"/>
          <w:sz w:val="29"/>
          <w:szCs w:val="29"/>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σ</w:t>
      </w:r>
      <w:r w:rsidRPr="00FD6A51">
        <w:rPr>
          <w:rFonts w:ascii="KaTeX_Math" w:eastAsia="Times New Roman" w:hAnsi="KaTeX_Math" w:cs="Times New Roman"/>
          <w:i/>
          <w:iCs/>
          <w:kern w:val="0"/>
          <w:sz w:val="14"/>
          <w:szCs w:val="14"/>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y</w:t>
      </w:r>
      <w:r w:rsidRPr="00FD6A51">
        <w:rPr>
          <w:rFonts w:ascii="KaTeX_Math" w:eastAsia="Times New Roman" w:hAnsi="KaTeX_Math" w:cs="Times New Roman"/>
          <w:i/>
          <w:iCs/>
          <w:kern w:val="0"/>
          <w:sz w:val="14"/>
          <w:szCs w:val="14"/>
          <w:bdr w:val="single" w:sz="2" w:space="0" w:color="E3E3E3" w:frame="1"/>
          <w:lang w:eastAsia="es-ES"/>
          <w14:ligatures w14:val="none"/>
        </w:rPr>
        <w:t>i</w:t>
      </w:r>
      <w:r w:rsidRPr="00FD6A51">
        <w:rPr>
          <w:rFonts w:ascii="Times New Roman" w:eastAsia="Times New Roman" w:hAnsi="Times New Roman" w:cs="Times New Roman"/>
          <w:kern w:val="0"/>
          <w:sz w:val="14"/>
          <w:szCs w:val="14"/>
          <w:bdr w:val="single" w:sz="2" w:space="0" w:color="E3E3E3" w:frame="1"/>
          <w:lang w:eastAsia="es-ES"/>
          <w14:ligatures w14:val="none"/>
        </w:rPr>
        <w:t>,</w:t>
      </w:r>
      <w:r w:rsidRPr="00FD6A51">
        <w:rPr>
          <w:rFonts w:ascii="KaTeX_Math" w:eastAsia="Times New Roman" w:hAnsi="KaTeX_Math" w:cs="Times New Roman"/>
          <w:i/>
          <w:iCs/>
          <w:kern w:val="0"/>
          <w:sz w:val="14"/>
          <w:szCs w:val="14"/>
          <w:bdr w:val="single" w:sz="2" w:space="0" w:color="E3E3E3" w:frame="1"/>
          <w:lang w:eastAsia="es-ES"/>
          <w14:ligatures w14:val="none"/>
        </w:rPr>
        <w:t>j</w:t>
      </w:r>
      <w:r w:rsidRPr="00FD6A51">
        <w:rPr>
          <w:rFonts w:ascii="Times New Roman" w:eastAsia="Times New Roman" w:hAnsi="Times New Roman" w:cs="Times New Roman"/>
          <w:kern w:val="0"/>
          <w:sz w:val="14"/>
          <w:szCs w:val="14"/>
          <w:bdr w:val="single" w:sz="2" w:space="0" w:color="E3E3E3" w:frame="1"/>
          <w:lang w:eastAsia="es-ES"/>
          <w14:ligatures w14:val="none"/>
        </w:rPr>
        <w:t>,</w:t>
      </w:r>
      <w:r w:rsidRPr="00FD6A51">
        <w:rPr>
          <w:rFonts w:ascii="KaTeX_Math" w:eastAsia="Times New Roman" w:hAnsi="KaTeX_Math" w:cs="Times New Roman"/>
          <w:i/>
          <w:iCs/>
          <w:kern w:val="0"/>
          <w:sz w:val="14"/>
          <w:szCs w:val="14"/>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f</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α</w:t>
      </w:r>
      <w:r w:rsidRPr="00FD6A51">
        <w:rPr>
          <w:rFonts w:ascii="KaTeX_Math" w:eastAsia="Times New Roman" w:hAnsi="KaTeX_Math" w:cs="Times New Roman"/>
          <w:i/>
          <w:iCs/>
          <w:kern w:val="0"/>
          <w:sz w:val="14"/>
          <w:szCs w:val="14"/>
          <w:bdr w:val="single" w:sz="2" w:space="0" w:color="E3E3E3" w:frame="1"/>
          <w:lang w:eastAsia="es-ES"/>
          <w14:ligatures w14:val="none"/>
        </w:rPr>
        <w:t>i</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t</w:t>
      </w:r>
      <w:r w:rsidRPr="00FD6A51">
        <w:rPr>
          <w:rFonts w:ascii="KaTeX_Math" w:eastAsia="Times New Roman" w:hAnsi="KaTeX_Math" w:cs="Times New Roman"/>
          <w:i/>
          <w:iCs/>
          <w:kern w:val="0"/>
          <w:sz w:val="14"/>
          <w:szCs w:val="14"/>
          <w:bdr w:val="single" w:sz="2" w:space="0" w:color="E3E3E3" w:frame="1"/>
          <w:lang w:eastAsia="es-ES"/>
          <w14:ligatures w14:val="none"/>
        </w:rPr>
        <w:t>i</w:t>
      </w:r>
      <w:r w:rsidRPr="00FD6A51">
        <w:rPr>
          <w:rFonts w:ascii="Times New Roman" w:eastAsia="Times New Roman" w:hAnsi="Times New Roman" w:cs="Times New Roman"/>
          <w:kern w:val="0"/>
          <w:sz w:val="14"/>
          <w:szCs w:val="14"/>
          <w:bdr w:val="single" w:sz="2" w:space="0" w:color="E3E3E3" w:frame="1"/>
          <w:lang w:eastAsia="es-ES"/>
          <w14:ligatures w14:val="none"/>
        </w:rPr>
        <w:t>,</w:t>
      </w:r>
      <w:r w:rsidRPr="00FD6A51">
        <w:rPr>
          <w:rFonts w:ascii="KaTeX_Math" w:eastAsia="Times New Roman" w:hAnsi="KaTeX_Math" w:cs="Times New Roman"/>
          <w:i/>
          <w:iCs/>
          <w:kern w:val="0"/>
          <w:sz w:val="14"/>
          <w:szCs w:val="14"/>
          <w:bdr w:val="single" w:sz="2" w:space="0" w:color="E3E3E3" w:frame="1"/>
          <w:lang w:eastAsia="es-ES"/>
          <w14:ligatures w14:val="none"/>
        </w:rPr>
        <w:t>j</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β</w:t>
      </w:r>
      <w:r w:rsidRPr="00FD6A51">
        <w:rPr>
          <w:rFonts w:ascii="KaTeX_Math" w:eastAsia="Times New Roman" w:hAnsi="KaTeX_Math" w:cs="Times New Roman"/>
          <w:i/>
          <w:iCs/>
          <w:kern w:val="0"/>
          <w:sz w:val="14"/>
          <w:szCs w:val="14"/>
          <w:bdr w:val="single" w:sz="2" w:space="0" w:color="E3E3E3" w:frame="1"/>
          <w:lang w:eastAsia="es-ES"/>
          <w14:ligatures w14:val="none"/>
        </w:rPr>
        <w:t>i</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θ</w:t>
      </w:r>
      <w:r w:rsidRPr="00FD6A51">
        <w:rPr>
          <w:rFonts w:ascii="KaTeX_Math" w:eastAsia="Times New Roman" w:hAnsi="KaTeX_Math" w:cs="Times New Roman"/>
          <w:i/>
          <w:iCs/>
          <w:kern w:val="0"/>
          <w:sz w:val="14"/>
          <w:szCs w:val="14"/>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KaTeX_Size2" w:eastAsia="Times New Roman" w:hAnsi="KaTeX_Size2" w:cs="Times New Roman"/>
          <w:kern w:val="0"/>
          <w:sz w:val="29"/>
          <w:szCs w:val="29"/>
          <w:bdr w:val="single" w:sz="2" w:space="0" w:color="E3E3E3" w:frame="1"/>
          <w:lang w:eastAsia="es-ES"/>
          <w14:ligatures w14:val="none"/>
        </w:rPr>
        <w:t>)</w:t>
      </w:r>
    </w:p>
    <w:p w14:paraId="6A86DC47" w14:textId="17F671FF" w:rsidR="00FD6A51" w:rsidRP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noProof/>
          <w:kern w:val="0"/>
          <w:sz w:val="24"/>
          <w:szCs w:val="24"/>
          <w:lang w:eastAsia="es-ES"/>
          <w14:ligatures w14:val="none"/>
        </w:rPr>
        <w:lastRenderedPageBreak/>
        <w:drawing>
          <wp:inline distT="0" distB="0" distL="0" distR="0" wp14:anchorId="648002F3" wp14:editId="1DFE10C7">
            <wp:extent cx="4464279" cy="438173"/>
            <wp:effectExtent l="0" t="0" r="0" b="0"/>
            <wp:docPr id="252361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61015" name=""/>
                    <pic:cNvPicPr/>
                  </pic:nvPicPr>
                  <pic:blipFill>
                    <a:blip r:embed="rId5"/>
                    <a:stretch>
                      <a:fillRect/>
                    </a:stretch>
                  </pic:blipFill>
                  <pic:spPr>
                    <a:xfrm>
                      <a:off x="0" y="0"/>
                      <a:ext cx="4464279" cy="438173"/>
                    </a:xfrm>
                    <a:prstGeom prst="rect">
                      <a:avLst/>
                    </a:prstGeom>
                  </pic:spPr>
                </pic:pic>
              </a:graphicData>
            </a:graphic>
          </wp:inline>
        </w:drawing>
      </w:r>
    </w:p>
    <w:p w14:paraId="66C5986E" w14:textId="107079B9" w:rsid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kern w:val="0"/>
          <w:sz w:val="24"/>
          <w:szCs w:val="24"/>
          <w:lang w:eastAsia="es-ES"/>
          <w14:ligatures w14:val="none"/>
        </w:rPr>
        <w:t xml:space="preserve">donde </w:t>
      </w:r>
      <w:proofErr w:type="gramStart"/>
      <w:r w:rsidRPr="005D7302">
        <w:rPr>
          <w:rFonts w:ascii="KaTeX_Math" w:eastAsia="Times New Roman" w:hAnsi="KaTeX_Math" w:cs="Times New Roman"/>
          <w:i/>
          <w:iCs/>
          <w:kern w:val="0"/>
          <w:sz w:val="29"/>
          <w:szCs w:val="29"/>
          <w:highlight w:val="yellow"/>
          <w:bdr w:val="single" w:sz="2" w:space="0" w:color="E3E3E3" w:frame="1"/>
          <w:lang w:eastAsia="es-ES"/>
          <w14:ligatures w14:val="none"/>
        </w:rPr>
        <w:t>ρ</w:t>
      </w:r>
      <w:r w:rsidRPr="005D7302">
        <w:rPr>
          <w:rFonts w:ascii="Times New Roman" w:eastAsia="Times New Roman" w:hAnsi="Times New Roman" w:cs="Times New Roman"/>
          <w:kern w:val="0"/>
          <w:sz w:val="29"/>
          <w:szCs w:val="29"/>
          <w:highlight w:val="yellow"/>
          <w:bdr w:val="single" w:sz="2" w:space="0" w:color="E3E3E3" w:frame="1"/>
          <w:lang w:eastAsia="es-ES"/>
          <w14:ligatures w14:val="none"/>
        </w:rPr>
        <w:t>(</w:t>
      </w:r>
      <w:proofErr w:type="gramEnd"/>
      <w:r w:rsidRPr="005D7302">
        <w:rPr>
          <w:rFonts w:ascii="Cambria Math" w:eastAsia="Times New Roman" w:hAnsi="Cambria Math" w:cs="Cambria Math"/>
          <w:kern w:val="0"/>
          <w:sz w:val="29"/>
          <w:szCs w:val="29"/>
          <w:highlight w:val="yellow"/>
          <w:bdr w:val="single" w:sz="2" w:space="0" w:color="E3E3E3" w:frame="1"/>
          <w:lang w:eastAsia="es-ES"/>
          <w14:ligatures w14:val="none"/>
        </w:rPr>
        <w:t>⋅</w:t>
      </w:r>
      <w:r w:rsidRPr="005D7302">
        <w:rPr>
          <w:rFonts w:ascii="Times New Roman" w:eastAsia="Times New Roman" w:hAnsi="Times New Roman" w:cs="Times New Roman"/>
          <w:kern w:val="0"/>
          <w:sz w:val="29"/>
          <w:szCs w:val="29"/>
          <w:highlight w:val="yellow"/>
          <w:bdr w:val="single" w:sz="2" w:space="0" w:color="E3E3E3" w:frame="1"/>
          <w:lang w:eastAsia="es-ES"/>
          <w14:ligatures w14:val="none"/>
        </w:rPr>
        <w:t>)</w:t>
      </w:r>
      <w:r w:rsidRPr="00FD6A51">
        <w:rPr>
          <w:rFonts w:ascii="Segoe UI" w:eastAsia="Times New Roman" w:hAnsi="Segoe UI" w:cs="Segoe UI"/>
          <w:kern w:val="0"/>
          <w:sz w:val="24"/>
          <w:szCs w:val="24"/>
          <w:lang w:eastAsia="es-ES"/>
          <w14:ligatures w14:val="none"/>
        </w:rPr>
        <w:t xml:space="preserve"> es una </w:t>
      </w:r>
      <w:r w:rsidRPr="00335952">
        <w:rPr>
          <w:rFonts w:ascii="Segoe UI" w:eastAsia="Times New Roman" w:hAnsi="Segoe UI" w:cs="Segoe UI"/>
          <w:kern w:val="0"/>
          <w:sz w:val="24"/>
          <w:szCs w:val="24"/>
          <w:highlight w:val="yellow"/>
          <w:u w:val="single"/>
          <w:lang w:eastAsia="es-ES"/>
          <w14:ligatures w14:val="none"/>
        </w:rPr>
        <w:t>función tipo máxima verosimilitud</w:t>
      </w:r>
      <w:r w:rsidRPr="00FD6A51">
        <w:rPr>
          <w:rFonts w:ascii="Segoe UI" w:eastAsia="Times New Roman" w:hAnsi="Segoe UI" w:cs="Segoe UI"/>
          <w:kern w:val="0"/>
          <w:sz w:val="24"/>
          <w:szCs w:val="24"/>
          <w:lang w:eastAsia="es-ES"/>
          <w14:ligatures w14:val="none"/>
        </w:rPr>
        <w:t xml:space="preserve"> y </w:t>
      </w:r>
      <w:r w:rsidRPr="005D7302">
        <w:rPr>
          <w:rFonts w:ascii="KaTeX_Math" w:eastAsia="Times New Roman" w:hAnsi="KaTeX_Math" w:cs="Times New Roman"/>
          <w:i/>
          <w:iCs/>
          <w:kern w:val="0"/>
          <w:sz w:val="29"/>
          <w:szCs w:val="29"/>
          <w:highlight w:val="yellow"/>
          <w:bdr w:val="single" w:sz="2" w:space="0" w:color="E3E3E3" w:frame="1"/>
          <w:lang w:eastAsia="es-ES"/>
          <w14:ligatures w14:val="none"/>
        </w:rPr>
        <w:t>w</w:t>
      </w:r>
      <w:r w:rsidRPr="005D7302">
        <w:rPr>
          <w:rFonts w:ascii="KaTeX_Math" w:eastAsia="Times New Roman" w:hAnsi="KaTeX_Math" w:cs="Times New Roman"/>
          <w:i/>
          <w:iCs/>
          <w:kern w:val="0"/>
          <w:sz w:val="20"/>
          <w:szCs w:val="20"/>
          <w:highlight w:val="yellow"/>
          <w:bdr w:val="single" w:sz="2" w:space="0" w:color="E3E3E3" w:frame="1"/>
          <w:lang w:eastAsia="es-ES"/>
          <w14:ligatures w14:val="none"/>
        </w:rPr>
        <w:t>i</w:t>
      </w:r>
      <w:r w:rsidRPr="005D7302">
        <w:rPr>
          <w:rFonts w:ascii="Times New Roman" w:eastAsia="Times New Roman" w:hAnsi="Times New Roman" w:cs="Times New Roman"/>
          <w:kern w:val="0"/>
          <w:sz w:val="2"/>
          <w:szCs w:val="2"/>
          <w:highlight w:val="yellow"/>
          <w:bdr w:val="single" w:sz="2" w:space="0" w:color="E3E3E3" w:frame="1"/>
          <w:lang w:eastAsia="es-ES"/>
          <w14:ligatures w14:val="none"/>
        </w:rPr>
        <w:t>​</w:t>
      </w:r>
      <w:r w:rsidRPr="005D7302">
        <w:rPr>
          <w:rFonts w:ascii="Times New Roman" w:eastAsia="Times New Roman" w:hAnsi="Times New Roman" w:cs="Times New Roman"/>
          <w:kern w:val="0"/>
          <w:sz w:val="29"/>
          <w:szCs w:val="29"/>
          <w:highlight w:val="yellow"/>
          <w:bdr w:val="single" w:sz="2" w:space="0" w:color="E3E3E3" w:frame="1"/>
          <w:lang w:eastAsia="es-ES"/>
          <w14:ligatures w14:val="none"/>
        </w:rPr>
        <w:t>=1/</w:t>
      </w:r>
      <w:r w:rsidRPr="005D7302">
        <w:rPr>
          <w:rFonts w:ascii="KaTeX_Math" w:eastAsia="Times New Roman" w:hAnsi="KaTeX_Math" w:cs="Times New Roman"/>
          <w:i/>
          <w:iCs/>
          <w:kern w:val="0"/>
          <w:sz w:val="20"/>
          <w:szCs w:val="20"/>
          <w:highlight w:val="yellow"/>
          <w:bdr w:val="single" w:sz="2" w:space="0" w:color="E3E3E3" w:frame="1"/>
          <w:lang w:eastAsia="es-ES"/>
          <w14:ligatures w14:val="none"/>
        </w:rPr>
        <w:t>N</w:t>
      </w:r>
      <w:r w:rsidRPr="005D7302">
        <w:rPr>
          <w:rFonts w:ascii="KaTeX_Math" w:eastAsia="Times New Roman" w:hAnsi="KaTeX_Math" w:cs="Times New Roman"/>
          <w:i/>
          <w:iCs/>
          <w:kern w:val="0"/>
          <w:sz w:val="14"/>
          <w:szCs w:val="14"/>
          <w:highlight w:val="yellow"/>
          <w:bdr w:val="single" w:sz="2" w:space="0" w:color="E3E3E3" w:frame="1"/>
          <w:lang w:eastAsia="es-ES"/>
          <w14:ligatures w14:val="none"/>
        </w:rPr>
        <w:t>i</w:t>
      </w:r>
      <w:r w:rsidRPr="00FD6A51">
        <w:rPr>
          <w:rFonts w:ascii="Segoe UI" w:eastAsia="Times New Roman" w:hAnsi="Segoe UI" w:cs="Segoe UI"/>
          <w:kern w:val="0"/>
          <w:sz w:val="24"/>
          <w:szCs w:val="24"/>
          <w:lang w:eastAsia="es-ES"/>
          <w14:ligatures w14:val="none"/>
        </w:rPr>
        <w:t xml:space="preserve"> es un factor de ponderación para </w:t>
      </w:r>
      <w:r w:rsidRPr="005D7302">
        <w:rPr>
          <w:rFonts w:ascii="Segoe UI" w:eastAsia="Times New Roman" w:hAnsi="Segoe UI" w:cs="Segoe UI"/>
          <w:kern w:val="0"/>
          <w:sz w:val="24"/>
          <w:szCs w:val="24"/>
          <w:highlight w:val="yellow"/>
          <w:lang w:eastAsia="es-ES"/>
          <w14:ligatures w14:val="none"/>
        </w:rPr>
        <w:t>normalizar la función objetivo</w:t>
      </w:r>
      <w:r w:rsidRPr="00FD6A51">
        <w:rPr>
          <w:rFonts w:ascii="Segoe UI" w:eastAsia="Times New Roman" w:hAnsi="Segoe UI" w:cs="Segoe UI"/>
          <w:kern w:val="0"/>
          <w:sz w:val="24"/>
          <w:szCs w:val="24"/>
          <w:lang w:eastAsia="es-ES"/>
          <w14:ligatures w14:val="none"/>
        </w:rPr>
        <w:t xml:space="preserve"> con el número de puntos disponibles por sujeto (Ni).</w:t>
      </w:r>
    </w:p>
    <w:p w14:paraId="25F682E6" w14:textId="77777777" w:rsidR="00990AC4" w:rsidRDefault="00990AC4" w:rsidP="00990AC4">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En términos simples, la idea detrás de la maximización de la verosimilitud es encontrar los valores de los parámetros del modelo que hacen que los datos observados sean más probables bajo ese modelo. Esto se logra maximizando la función de verosimilitud, que es una medida de cuán bien el modelo explica los datos observados.</w:t>
      </w:r>
    </w:p>
    <w:p w14:paraId="7D087DD4" w14:textId="583899DF" w:rsidR="00990AC4" w:rsidRDefault="00990AC4" w:rsidP="00990AC4">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Por ejemplo, si se tienen datos observados </w:t>
      </w:r>
      <w:r>
        <w:rPr>
          <w:rStyle w:val="mord"/>
          <w:rFonts w:ascii="KaTeX_Math" w:hAnsi="KaTeX_Math"/>
          <w:i/>
          <w:iCs/>
          <w:color w:val="ECECEC"/>
          <w:sz w:val="29"/>
          <w:szCs w:val="29"/>
          <w:bdr w:val="single" w:sz="2" w:space="0" w:color="E3E3E3" w:frame="1"/>
        </w:rPr>
        <w:t>X</w:t>
      </w:r>
      <w:r>
        <w:rPr>
          <w:rStyle w:val="mord"/>
          <w:color w:val="ECECEC"/>
          <w:sz w:val="20"/>
          <w:szCs w:val="20"/>
          <w:bdr w:val="single" w:sz="2" w:space="0" w:color="E3E3E3" w:frame="1"/>
        </w:rPr>
        <w:t>1</w:t>
      </w:r>
      <w:proofErr w:type="gramStart"/>
      <w:r>
        <w:rPr>
          <w:rStyle w:val="vlist-s"/>
          <w:color w:val="ECECEC"/>
          <w:sz w:val="2"/>
          <w:szCs w:val="2"/>
          <w:bdr w:val="single" w:sz="2" w:space="0" w:color="E3E3E3" w:frame="1"/>
        </w:rPr>
        <w:t>​</w:t>
      </w:r>
      <w:r>
        <w:rPr>
          <w:rStyle w:val="mpunct"/>
          <w:color w:val="ECECEC"/>
          <w:sz w:val="29"/>
          <w:szCs w:val="29"/>
          <w:bdr w:val="single" w:sz="2" w:space="0" w:color="E3E3E3" w:frame="1"/>
        </w:rPr>
        <w:t>,</w:t>
      </w:r>
      <w:r>
        <w:rPr>
          <w:rStyle w:val="mord"/>
          <w:rFonts w:ascii="KaTeX_Math" w:hAnsi="KaTeX_Math"/>
          <w:i/>
          <w:iCs/>
          <w:color w:val="ECECEC"/>
          <w:sz w:val="29"/>
          <w:szCs w:val="29"/>
          <w:bdr w:val="single" w:sz="2" w:space="0" w:color="E3E3E3" w:frame="1"/>
        </w:rPr>
        <w:t>X</w:t>
      </w:r>
      <w:proofErr w:type="gramEnd"/>
      <w:r>
        <w:rPr>
          <w:rStyle w:val="mord"/>
          <w:color w:val="ECECEC"/>
          <w:sz w:val="20"/>
          <w:szCs w:val="20"/>
          <w:bdr w:val="single" w:sz="2" w:space="0" w:color="E3E3E3" w:frame="1"/>
        </w:rPr>
        <w:t>2</w:t>
      </w:r>
      <w:r>
        <w:rPr>
          <w:rStyle w:val="vlist-s"/>
          <w:color w:val="ECECEC"/>
          <w:sz w:val="2"/>
          <w:szCs w:val="2"/>
          <w:bdr w:val="single" w:sz="2" w:space="0" w:color="E3E3E3" w:frame="1"/>
        </w:rPr>
        <w:t>​</w:t>
      </w:r>
      <w:r>
        <w:rPr>
          <w:rStyle w:val="mpunct"/>
          <w:color w:val="ECECEC"/>
          <w:sz w:val="29"/>
          <w:szCs w:val="29"/>
          <w:bdr w:val="single" w:sz="2" w:space="0" w:color="E3E3E3" w:frame="1"/>
        </w:rPr>
        <w:t>,</w:t>
      </w:r>
      <w:r>
        <w:rPr>
          <w:rStyle w:val="mord"/>
          <w:color w:val="ECECEC"/>
          <w:sz w:val="29"/>
          <w:szCs w:val="29"/>
          <w:bdr w:val="single" w:sz="2" w:space="0" w:color="E3E3E3" w:frame="1"/>
        </w:rPr>
        <w:t>...</w:t>
      </w:r>
      <w:r>
        <w:rPr>
          <w:rStyle w:val="mpunct"/>
          <w:color w:val="ECECEC"/>
          <w:sz w:val="29"/>
          <w:szCs w:val="29"/>
          <w:bdr w:val="single" w:sz="2" w:space="0" w:color="E3E3E3" w:frame="1"/>
        </w:rPr>
        <w:t>,</w:t>
      </w:r>
      <w:proofErr w:type="spellStart"/>
      <w:r>
        <w:rPr>
          <w:rStyle w:val="mord"/>
          <w:rFonts w:ascii="KaTeX_Math" w:hAnsi="KaTeX_Math"/>
          <w:i/>
          <w:iCs/>
          <w:color w:val="ECECEC"/>
          <w:sz w:val="29"/>
          <w:szCs w:val="29"/>
          <w:bdr w:val="single" w:sz="2" w:space="0" w:color="E3E3E3" w:frame="1"/>
        </w:rPr>
        <w:t>X</w:t>
      </w:r>
      <w:r>
        <w:rPr>
          <w:rStyle w:val="mord"/>
          <w:rFonts w:ascii="KaTeX_Math" w:hAnsi="KaTeX_Math"/>
          <w:i/>
          <w:iCs/>
          <w:color w:val="ECECEC"/>
          <w:sz w:val="20"/>
          <w:szCs w:val="20"/>
          <w:bdr w:val="single" w:sz="2" w:space="0" w:color="E3E3E3" w:frame="1"/>
        </w:rPr>
        <w:t>n</w:t>
      </w:r>
      <w:proofErr w:type="spellEnd"/>
      <w:r>
        <w:rPr>
          <w:rStyle w:val="vlist-s"/>
          <w:color w:val="ECECEC"/>
          <w:sz w:val="2"/>
          <w:szCs w:val="2"/>
          <w:bdr w:val="single" w:sz="2" w:space="0" w:color="E3E3E3" w:frame="1"/>
        </w:rPr>
        <w:t>​</w:t>
      </w:r>
      <w:r>
        <w:rPr>
          <w:rFonts w:ascii="Segoe UI" w:hAnsi="Segoe UI" w:cs="Segoe UI"/>
          <w:color w:val="ECECEC"/>
        </w:rPr>
        <w:t xml:space="preserve"> que se suponen provienen de una distribución con parámetros desconocidos </w:t>
      </w:r>
      <w:r>
        <w:rPr>
          <w:rStyle w:val="mord"/>
          <w:rFonts w:ascii="KaTeX_Math" w:hAnsi="KaTeX_Math"/>
          <w:i/>
          <w:iCs/>
          <w:color w:val="ECECEC"/>
          <w:sz w:val="29"/>
          <w:szCs w:val="29"/>
          <w:bdr w:val="single" w:sz="2" w:space="0" w:color="E3E3E3" w:frame="1"/>
        </w:rPr>
        <w:t>θ</w:t>
      </w:r>
      <w:r>
        <w:rPr>
          <w:rFonts w:ascii="Segoe UI" w:hAnsi="Segoe UI" w:cs="Segoe UI"/>
          <w:color w:val="ECECEC"/>
        </w:rPr>
        <w:t xml:space="preserve">, la función de verosimilitud </w:t>
      </w:r>
      <w:r>
        <w:rPr>
          <w:rStyle w:val="mord"/>
          <w:rFonts w:ascii="KaTeX_Math" w:hAnsi="KaTeX_Math"/>
          <w:i/>
          <w:iCs/>
          <w:color w:val="ECECEC"/>
          <w:sz w:val="29"/>
          <w:szCs w:val="29"/>
          <w:bdr w:val="single" w:sz="2" w:space="0" w:color="E3E3E3" w:frame="1"/>
        </w:rPr>
        <w:t>L</w:t>
      </w:r>
      <w:r>
        <w:rPr>
          <w:rStyle w:val="mopen"/>
          <w:color w:val="ECECEC"/>
          <w:sz w:val="29"/>
          <w:szCs w:val="29"/>
          <w:bdr w:val="single" w:sz="2" w:space="0" w:color="E3E3E3" w:frame="1"/>
        </w:rPr>
        <w:t>(</w:t>
      </w:r>
      <w:r>
        <w:rPr>
          <w:rStyle w:val="mord"/>
          <w:rFonts w:ascii="KaTeX_Math" w:hAnsi="KaTeX_Math"/>
          <w:i/>
          <w:iCs/>
          <w:color w:val="ECECEC"/>
          <w:sz w:val="29"/>
          <w:szCs w:val="29"/>
          <w:bdr w:val="single" w:sz="2" w:space="0" w:color="E3E3E3" w:frame="1"/>
        </w:rPr>
        <w:t>θ</w:t>
      </w:r>
      <w:r>
        <w:rPr>
          <w:rStyle w:val="mord"/>
          <w:rFonts w:ascii="Cambria Math" w:hAnsi="Cambria Math" w:cs="Cambria Math"/>
          <w:color w:val="ECECEC"/>
          <w:sz w:val="29"/>
          <w:szCs w:val="29"/>
          <w:bdr w:val="single" w:sz="2" w:space="0" w:color="E3E3E3" w:frame="1"/>
        </w:rPr>
        <w:t>∣</w:t>
      </w:r>
      <w:r>
        <w:rPr>
          <w:rStyle w:val="mord"/>
          <w:rFonts w:ascii="KaTeX_Math" w:hAnsi="KaTeX_Math"/>
          <w:i/>
          <w:iCs/>
          <w:color w:val="ECECEC"/>
          <w:sz w:val="29"/>
          <w:szCs w:val="29"/>
          <w:bdr w:val="single" w:sz="2" w:space="0" w:color="E3E3E3" w:frame="1"/>
        </w:rPr>
        <w:t>x</w:t>
      </w:r>
      <w:r>
        <w:rPr>
          <w:rStyle w:val="mord"/>
          <w:color w:val="ECECEC"/>
          <w:sz w:val="20"/>
          <w:szCs w:val="20"/>
          <w:bdr w:val="single" w:sz="2" w:space="0" w:color="E3E3E3" w:frame="1"/>
        </w:rPr>
        <w:t>1</w:t>
      </w:r>
      <w:r>
        <w:rPr>
          <w:rStyle w:val="vlist-s"/>
          <w:color w:val="ECECEC"/>
          <w:sz w:val="2"/>
          <w:szCs w:val="2"/>
          <w:bdr w:val="single" w:sz="2" w:space="0" w:color="E3E3E3" w:frame="1"/>
        </w:rPr>
        <w:t>​</w:t>
      </w:r>
      <w:r>
        <w:rPr>
          <w:rStyle w:val="mpunct"/>
          <w:color w:val="ECECEC"/>
          <w:sz w:val="29"/>
          <w:szCs w:val="29"/>
          <w:bdr w:val="single" w:sz="2" w:space="0" w:color="E3E3E3" w:frame="1"/>
        </w:rPr>
        <w:t>,</w:t>
      </w:r>
      <w:r>
        <w:rPr>
          <w:rStyle w:val="mord"/>
          <w:rFonts w:ascii="KaTeX_Math" w:hAnsi="KaTeX_Math"/>
          <w:i/>
          <w:iCs/>
          <w:color w:val="ECECEC"/>
          <w:sz w:val="29"/>
          <w:szCs w:val="29"/>
          <w:bdr w:val="single" w:sz="2" w:space="0" w:color="E3E3E3" w:frame="1"/>
        </w:rPr>
        <w:t>x</w:t>
      </w:r>
      <w:r>
        <w:rPr>
          <w:rStyle w:val="mord"/>
          <w:color w:val="ECECEC"/>
          <w:sz w:val="20"/>
          <w:szCs w:val="20"/>
          <w:bdr w:val="single" w:sz="2" w:space="0" w:color="E3E3E3" w:frame="1"/>
        </w:rPr>
        <w:t>2</w:t>
      </w:r>
      <w:r>
        <w:rPr>
          <w:rStyle w:val="vlist-s"/>
          <w:color w:val="ECECEC"/>
          <w:sz w:val="2"/>
          <w:szCs w:val="2"/>
          <w:bdr w:val="single" w:sz="2" w:space="0" w:color="E3E3E3" w:frame="1"/>
        </w:rPr>
        <w:t>​</w:t>
      </w:r>
      <w:r>
        <w:rPr>
          <w:rStyle w:val="mpunct"/>
          <w:color w:val="ECECEC"/>
          <w:sz w:val="29"/>
          <w:szCs w:val="29"/>
          <w:bdr w:val="single" w:sz="2" w:space="0" w:color="E3E3E3" w:frame="1"/>
        </w:rPr>
        <w:t>,</w:t>
      </w:r>
      <w:r>
        <w:rPr>
          <w:rStyle w:val="mord"/>
          <w:color w:val="ECECEC"/>
          <w:sz w:val="29"/>
          <w:szCs w:val="29"/>
          <w:bdr w:val="single" w:sz="2" w:space="0" w:color="E3E3E3" w:frame="1"/>
        </w:rPr>
        <w:t>...</w:t>
      </w:r>
      <w:r>
        <w:rPr>
          <w:rStyle w:val="mpunct"/>
          <w:color w:val="ECECEC"/>
          <w:sz w:val="29"/>
          <w:szCs w:val="29"/>
          <w:bdr w:val="single" w:sz="2" w:space="0" w:color="E3E3E3" w:frame="1"/>
        </w:rPr>
        <w:t>,</w:t>
      </w:r>
      <w:proofErr w:type="spellStart"/>
      <w:r>
        <w:rPr>
          <w:rStyle w:val="mord"/>
          <w:rFonts w:ascii="KaTeX_Math" w:hAnsi="KaTeX_Math"/>
          <w:i/>
          <w:iCs/>
          <w:color w:val="ECECEC"/>
          <w:sz w:val="29"/>
          <w:szCs w:val="29"/>
          <w:bdr w:val="single" w:sz="2" w:space="0" w:color="E3E3E3" w:frame="1"/>
        </w:rPr>
        <w:t>x</w:t>
      </w:r>
      <w:r>
        <w:rPr>
          <w:rStyle w:val="mord"/>
          <w:rFonts w:ascii="KaTeX_Math" w:hAnsi="KaTeX_Math"/>
          <w:i/>
          <w:iCs/>
          <w:color w:val="ECECEC"/>
          <w:sz w:val="20"/>
          <w:szCs w:val="20"/>
          <w:bdr w:val="single" w:sz="2" w:space="0" w:color="E3E3E3" w:frame="1"/>
        </w:rPr>
        <w:t>n</w:t>
      </w:r>
      <w:proofErr w:type="spellEnd"/>
      <w:r>
        <w:rPr>
          <w:rStyle w:val="vlist-s"/>
          <w:color w:val="ECECEC"/>
          <w:sz w:val="2"/>
          <w:szCs w:val="2"/>
          <w:bdr w:val="single" w:sz="2" w:space="0" w:color="E3E3E3" w:frame="1"/>
        </w:rPr>
        <w:t>​</w:t>
      </w:r>
      <w:r>
        <w:rPr>
          <w:rStyle w:val="mclose"/>
          <w:color w:val="ECECEC"/>
          <w:sz w:val="29"/>
          <w:szCs w:val="29"/>
          <w:bdr w:val="single" w:sz="2" w:space="0" w:color="E3E3E3" w:frame="1"/>
        </w:rPr>
        <w:t>)</w:t>
      </w:r>
      <w:r>
        <w:rPr>
          <w:rFonts w:ascii="Segoe UI" w:hAnsi="Segoe UI" w:cs="Segoe UI"/>
          <w:color w:val="ECECEC"/>
        </w:rPr>
        <w:t xml:space="preserve"> da la probabilidad conjunta de observar los datos dados los parámetros </w:t>
      </w:r>
      <w:r>
        <w:rPr>
          <w:rStyle w:val="mord"/>
          <w:rFonts w:ascii="KaTeX_Math" w:hAnsi="KaTeX_Math"/>
          <w:i/>
          <w:iCs/>
          <w:color w:val="ECECEC"/>
          <w:sz w:val="29"/>
          <w:szCs w:val="29"/>
          <w:bdr w:val="single" w:sz="2" w:space="0" w:color="E3E3E3" w:frame="1"/>
        </w:rPr>
        <w:t>θ</w:t>
      </w:r>
      <w:r>
        <w:rPr>
          <w:rFonts w:ascii="Segoe UI" w:hAnsi="Segoe UI" w:cs="Segoe UI"/>
          <w:color w:val="ECECEC"/>
        </w:rPr>
        <w:t xml:space="preserve">. La estimación de máxima verosimilitud busca encontrar el valor de </w:t>
      </w:r>
      <w:r>
        <w:rPr>
          <w:rStyle w:val="mord"/>
          <w:rFonts w:ascii="KaTeX_Math" w:hAnsi="KaTeX_Math"/>
          <w:i/>
          <w:iCs/>
          <w:color w:val="ECECEC"/>
          <w:sz w:val="29"/>
          <w:szCs w:val="29"/>
          <w:bdr w:val="single" w:sz="2" w:space="0" w:color="E3E3E3" w:frame="1"/>
        </w:rPr>
        <w:t>θ</w:t>
      </w:r>
      <w:r>
        <w:rPr>
          <w:rFonts w:ascii="Segoe UI" w:hAnsi="Segoe UI" w:cs="Segoe UI"/>
          <w:color w:val="ECECEC"/>
        </w:rPr>
        <w:t xml:space="preserve"> que maximiza esta función.</w:t>
      </w:r>
    </w:p>
    <w:p w14:paraId="6A3590C2" w14:textId="77777777" w:rsidR="00990AC4" w:rsidRPr="00FD6A51" w:rsidRDefault="00990AC4"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p>
    <w:p w14:paraId="4575B0F1" w14:textId="77777777" w:rsidR="00FD6A51" w:rsidRP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kern w:val="0"/>
          <w:sz w:val="24"/>
          <w:szCs w:val="24"/>
          <w:lang w:eastAsia="es-ES"/>
          <w14:ligatures w14:val="none"/>
        </w:rPr>
        <w:t xml:space="preserve">Para </w:t>
      </w:r>
      <w:r w:rsidRPr="000050A8">
        <w:rPr>
          <w:rFonts w:ascii="Segoe UI" w:eastAsia="Times New Roman" w:hAnsi="Segoe UI" w:cs="Segoe UI"/>
          <w:kern w:val="0"/>
          <w:sz w:val="24"/>
          <w:szCs w:val="24"/>
          <w:highlight w:val="yellow"/>
          <w:lang w:eastAsia="es-ES"/>
          <w14:ligatures w14:val="none"/>
        </w:rPr>
        <w:t>ajustar las trayectorias longitudinales de los biomarcadores</w:t>
      </w:r>
      <w:r w:rsidRPr="00FD6A51">
        <w:rPr>
          <w:rFonts w:ascii="Segoe UI" w:eastAsia="Times New Roman" w:hAnsi="Segoe UI" w:cs="Segoe UI"/>
          <w:kern w:val="0"/>
          <w:sz w:val="24"/>
          <w:szCs w:val="24"/>
          <w:lang w:eastAsia="es-ES"/>
          <w14:ligatures w14:val="none"/>
        </w:rPr>
        <w:t xml:space="preserve">, se consideran </w:t>
      </w:r>
      <w:r w:rsidRPr="000050A8">
        <w:rPr>
          <w:rFonts w:ascii="Segoe UI" w:eastAsia="Times New Roman" w:hAnsi="Segoe UI" w:cs="Segoe UI"/>
          <w:kern w:val="0"/>
          <w:sz w:val="24"/>
          <w:szCs w:val="24"/>
          <w:highlight w:val="yellow"/>
          <w:lang w:eastAsia="es-ES"/>
          <w14:ligatures w14:val="none"/>
        </w:rPr>
        <w:t>cuatro funciones logísticas.</w:t>
      </w:r>
      <w:r w:rsidRPr="00FD6A51">
        <w:rPr>
          <w:rFonts w:ascii="Segoe UI" w:eastAsia="Times New Roman" w:hAnsi="Segoe UI" w:cs="Segoe UI"/>
          <w:kern w:val="0"/>
          <w:sz w:val="24"/>
          <w:szCs w:val="24"/>
          <w:lang w:eastAsia="es-ES"/>
          <w14:ligatures w14:val="none"/>
        </w:rPr>
        <w:t xml:space="preserve"> Todas las funciones tienen el </w:t>
      </w:r>
      <w:r w:rsidRPr="000050A8">
        <w:rPr>
          <w:rFonts w:ascii="Segoe UI" w:eastAsia="Times New Roman" w:hAnsi="Segoe UI" w:cs="Segoe UI"/>
          <w:kern w:val="0"/>
          <w:sz w:val="24"/>
          <w:szCs w:val="24"/>
          <w:highlight w:val="yellow"/>
          <w:lang w:eastAsia="es-ES"/>
          <w14:ligatures w14:val="none"/>
        </w:rPr>
        <w:t>mismo rango</w:t>
      </w:r>
      <w:r w:rsidRPr="00FD6A51">
        <w:rPr>
          <w:rFonts w:ascii="Segoe UI" w:eastAsia="Times New Roman" w:hAnsi="Segoe UI" w:cs="Segoe UI"/>
          <w:kern w:val="0"/>
          <w:sz w:val="24"/>
          <w:szCs w:val="24"/>
          <w:lang w:eastAsia="es-ES"/>
          <w14:ligatures w14:val="none"/>
        </w:rPr>
        <w:t xml:space="preserve"> (0, 1) y pueden producir los mismos puntos de inflexión en c, que se utilizarán más adelante para el ordenamiento de los biomarcadores. Se propone la utilización de una </w:t>
      </w:r>
      <w:r w:rsidRPr="000050A8">
        <w:rPr>
          <w:rFonts w:ascii="Segoe UI" w:eastAsia="Times New Roman" w:hAnsi="Segoe UI" w:cs="Segoe UI"/>
          <w:kern w:val="0"/>
          <w:sz w:val="24"/>
          <w:szCs w:val="24"/>
          <w:highlight w:val="yellow"/>
          <w:lang w:eastAsia="es-ES"/>
          <w14:ligatures w14:val="none"/>
        </w:rPr>
        <w:t>función logística flexible modificada basada en la función Stannard</w:t>
      </w:r>
      <w:r w:rsidRPr="00FD6A51">
        <w:rPr>
          <w:rFonts w:ascii="Segoe UI" w:eastAsia="Times New Roman" w:hAnsi="Segoe UI" w:cs="Segoe UI"/>
          <w:kern w:val="0"/>
          <w:sz w:val="24"/>
          <w:szCs w:val="24"/>
          <w:lang w:eastAsia="es-ES"/>
          <w14:ligatures w14:val="none"/>
        </w:rPr>
        <w:t xml:space="preserve">, donde el factor </w:t>
      </w:r>
      <w:r w:rsidRPr="000050A8">
        <w:rPr>
          <w:rFonts w:ascii="Segoe UI" w:eastAsia="Times New Roman" w:hAnsi="Segoe UI" w:cs="Segoe UI"/>
          <w:kern w:val="0"/>
          <w:sz w:val="24"/>
          <w:szCs w:val="24"/>
          <w:highlight w:val="yellow"/>
          <w:lang w:eastAsia="es-ES"/>
          <w14:ligatures w14:val="none"/>
        </w:rPr>
        <w:t>1/γ</w:t>
      </w:r>
      <w:r w:rsidRPr="00FD6A51">
        <w:rPr>
          <w:rFonts w:ascii="Segoe UI" w:eastAsia="Times New Roman" w:hAnsi="Segoe UI" w:cs="Segoe UI"/>
          <w:kern w:val="0"/>
          <w:sz w:val="24"/>
          <w:szCs w:val="24"/>
          <w:lang w:eastAsia="es-ES"/>
          <w14:ligatures w14:val="none"/>
        </w:rPr>
        <w:t xml:space="preserve"> se multiplica por el término exponencial para crear una curva de crecimiento asimétrica con un punto de inflexión en c, como otras funciones. Esta función tiende a describir mejor los patrones sigmoidales asimétricos de las trayectorias de los biomarcadores con la modelización tanto de los crecimientos lentos como rápidos al principio o al final del período de la enfermedad.</w:t>
      </w:r>
    </w:p>
    <w:p w14:paraId="4F11E67D" w14:textId="77777777" w:rsidR="00FD6A51" w:rsidRPr="00FD6A51" w:rsidRDefault="00FD6A51" w:rsidP="00FD6A5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0"/>
          <w:szCs w:val="30"/>
          <w:lang w:eastAsia="es-ES"/>
          <w14:ligatures w14:val="none"/>
        </w:rPr>
      </w:pPr>
      <w:r w:rsidRPr="00FD6A51">
        <w:rPr>
          <w:rFonts w:ascii="Segoe UI" w:eastAsia="Times New Roman" w:hAnsi="Segoe UI" w:cs="Segoe UI"/>
          <w:b/>
          <w:bCs/>
          <w:kern w:val="0"/>
          <w:sz w:val="30"/>
          <w:szCs w:val="30"/>
          <w:lang w:eastAsia="es-ES"/>
          <w14:ligatures w14:val="none"/>
        </w:rPr>
        <w:t>2.2. Ajuste del modelo</w:t>
      </w:r>
    </w:p>
    <w:p w14:paraId="7CC43A8C" w14:textId="36C891AC" w:rsidR="00FD6A51" w:rsidRPr="00FD6A51" w:rsidRDefault="00FD6A51" w:rsidP="00FD6A51">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kern w:val="0"/>
          <w:sz w:val="24"/>
          <w:szCs w:val="24"/>
          <w:lang w:eastAsia="es-ES"/>
          <w14:ligatures w14:val="none"/>
        </w:rPr>
        <w:t xml:space="preserve">Se aplica un enfoque alternativo, como técnica de optimización eficiente, para resolver el problema donde el algoritmo estima iterativamente </w:t>
      </w:r>
      <w:r w:rsidRPr="00FD6A51">
        <w:rPr>
          <w:rFonts w:ascii="KaTeX_Math" w:eastAsia="Times New Roman" w:hAnsi="KaTeX_Math" w:cs="Times New Roman"/>
          <w:i/>
          <w:iCs/>
          <w:kern w:val="0"/>
          <w:sz w:val="29"/>
          <w:szCs w:val="29"/>
          <w:bdr w:val="single" w:sz="2" w:space="0" w:color="E3E3E3" w:frame="1"/>
          <w:lang w:eastAsia="es-ES"/>
          <w14:ligatures w14:val="none"/>
        </w:rPr>
        <w:t>θ</w:t>
      </w:r>
      <w:r w:rsidRPr="00FD6A51">
        <w:rPr>
          <w:rFonts w:ascii="Segoe UI" w:eastAsia="Times New Roman" w:hAnsi="Segoe UI" w:cs="Segoe UI"/>
          <w:kern w:val="0"/>
          <w:sz w:val="24"/>
          <w:szCs w:val="24"/>
          <w:lang w:eastAsia="es-ES"/>
          <w14:ligatures w14:val="none"/>
        </w:rPr>
        <w:t xml:space="preserve"> utilizando valores fijos de </w:t>
      </w:r>
      <w:r w:rsidRPr="00FD6A51">
        <w:rPr>
          <w:rFonts w:ascii="KaTeX_Math" w:eastAsia="Times New Roman" w:hAnsi="KaTeX_Math" w:cs="Times New Roman"/>
          <w:i/>
          <w:iCs/>
          <w:kern w:val="0"/>
          <w:sz w:val="29"/>
          <w:szCs w:val="29"/>
          <w:bdr w:val="single" w:sz="2" w:space="0" w:color="E3E3E3" w:frame="1"/>
          <w:lang w:eastAsia="es-ES"/>
          <w14:ligatures w14:val="none"/>
        </w:rPr>
        <w:t>α</w:t>
      </w:r>
      <w:r w:rsidRPr="00FD6A51">
        <w:rPr>
          <w:rFonts w:ascii="Segoe UI" w:eastAsia="Times New Roman" w:hAnsi="Segoe UI" w:cs="Segoe UI"/>
          <w:kern w:val="0"/>
          <w:sz w:val="24"/>
          <w:szCs w:val="24"/>
          <w:lang w:eastAsia="es-ES"/>
          <w14:ligatures w14:val="none"/>
        </w:rPr>
        <w:t xml:space="preserve"> y </w:t>
      </w:r>
      <w:r w:rsidRPr="00FD6A51">
        <w:rPr>
          <w:rFonts w:ascii="KaTeX_Math" w:eastAsia="Times New Roman" w:hAnsi="KaTeX_Math" w:cs="Times New Roman"/>
          <w:i/>
          <w:iCs/>
          <w:kern w:val="0"/>
          <w:sz w:val="29"/>
          <w:szCs w:val="29"/>
          <w:bdr w:val="single" w:sz="2" w:space="0" w:color="E3E3E3" w:frame="1"/>
          <w:lang w:eastAsia="es-ES"/>
          <w14:ligatures w14:val="none"/>
        </w:rPr>
        <w:t>β</w:t>
      </w:r>
      <w:r w:rsidRPr="00FD6A51">
        <w:rPr>
          <w:rFonts w:ascii="Segoe UI" w:eastAsia="Times New Roman" w:hAnsi="Segoe UI" w:cs="Segoe UI"/>
          <w:kern w:val="0"/>
          <w:sz w:val="24"/>
          <w:szCs w:val="24"/>
          <w:lang w:eastAsia="es-ES"/>
          <w14:ligatures w14:val="none"/>
        </w:rPr>
        <w:t xml:space="preserve"> y viceversa hasta que los parámetros convergen. El algoritmo propuesto se puede resumir de la siguiente manera:</w:t>
      </w:r>
    </w:p>
    <w:p w14:paraId="0F0717B4" w14:textId="489641F1" w:rsidR="00FD6A51" w:rsidRP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b/>
          <w:bCs/>
          <w:kern w:val="0"/>
          <w:sz w:val="24"/>
          <w:szCs w:val="24"/>
          <w:bdr w:val="single" w:sz="2" w:space="0" w:color="E3E3E3" w:frame="1"/>
          <w:lang w:eastAsia="es-ES"/>
          <w14:ligatures w14:val="none"/>
        </w:rPr>
        <w:t>Inicialización:</w:t>
      </w:r>
      <w:r w:rsidRPr="00FD6A51">
        <w:rPr>
          <w:rFonts w:ascii="Segoe UI" w:eastAsia="Times New Roman" w:hAnsi="Segoe UI" w:cs="Segoe UI"/>
          <w:kern w:val="0"/>
          <w:sz w:val="24"/>
          <w:szCs w:val="24"/>
          <w:lang w:eastAsia="es-ES"/>
          <w14:ligatures w14:val="none"/>
        </w:rPr>
        <w:t xml:space="preserve"> inicialice { </w:t>
      </w:r>
      <w:r w:rsidRPr="00FD6A51">
        <w:rPr>
          <w:rFonts w:ascii="KaTeX_Math" w:eastAsia="Times New Roman" w:hAnsi="KaTeX_Math" w:cs="Times New Roman"/>
          <w:i/>
          <w:iCs/>
          <w:kern w:val="0"/>
          <w:sz w:val="29"/>
          <w:szCs w:val="29"/>
          <w:bdr w:val="single" w:sz="2" w:space="0" w:color="E3E3E3" w:frame="1"/>
          <w:lang w:eastAsia="es-ES"/>
          <w14:ligatures w14:val="none"/>
        </w:rPr>
        <w:t>α</w:t>
      </w:r>
      <w:r w:rsidRPr="00FD6A51">
        <w:rPr>
          <w:rFonts w:ascii="Times New Roman" w:eastAsia="Times New Roman" w:hAnsi="Times New Roman" w:cs="Times New Roman"/>
          <w:kern w:val="0"/>
          <w:sz w:val="20"/>
          <w:szCs w:val="20"/>
          <w:bdr w:val="single" w:sz="2" w:space="0" w:color="E3E3E3" w:frame="1"/>
          <w:lang w:eastAsia="es-ES"/>
          <w14:ligatures w14:val="none"/>
        </w:rPr>
        <w:t>(0)</w:t>
      </w:r>
      <w:r w:rsidRPr="00FD6A51">
        <w:rPr>
          <w:rFonts w:ascii="Segoe UI" w:eastAsia="Times New Roman" w:hAnsi="Segoe UI" w:cs="Segoe UI"/>
          <w:kern w:val="0"/>
          <w:sz w:val="24"/>
          <w:szCs w:val="24"/>
          <w:lang w:eastAsia="es-ES"/>
          <w14:ligatures w14:val="none"/>
        </w:rPr>
        <w:t xml:space="preserve">, </w:t>
      </w:r>
      <w:r w:rsidRPr="00FD6A51">
        <w:rPr>
          <w:rFonts w:ascii="KaTeX_Math" w:eastAsia="Times New Roman" w:hAnsi="KaTeX_Math" w:cs="Times New Roman"/>
          <w:i/>
          <w:iCs/>
          <w:kern w:val="0"/>
          <w:sz w:val="29"/>
          <w:szCs w:val="29"/>
          <w:bdr w:val="single" w:sz="2" w:space="0" w:color="E3E3E3" w:frame="1"/>
          <w:lang w:eastAsia="es-ES"/>
          <w14:ligatures w14:val="none"/>
        </w:rPr>
        <w:t>β</w:t>
      </w:r>
      <w:r w:rsidRPr="00FD6A51">
        <w:rPr>
          <w:rFonts w:ascii="Times New Roman" w:eastAsia="Times New Roman" w:hAnsi="Times New Roman" w:cs="Times New Roman"/>
          <w:kern w:val="0"/>
          <w:sz w:val="20"/>
          <w:szCs w:val="20"/>
          <w:bdr w:val="single" w:sz="2" w:space="0" w:color="E3E3E3" w:frame="1"/>
          <w:lang w:eastAsia="es-ES"/>
          <w14:ligatures w14:val="none"/>
        </w:rPr>
        <w:t>(0)</w:t>
      </w:r>
      <w:r w:rsidRPr="00FD6A51">
        <w:rPr>
          <w:rFonts w:ascii="Segoe UI" w:eastAsia="Times New Roman" w:hAnsi="Segoe UI" w:cs="Segoe UI"/>
          <w:kern w:val="0"/>
          <w:sz w:val="24"/>
          <w:szCs w:val="24"/>
          <w:lang w:eastAsia="es-ES"/>
          <w14:ligatures w14:val="none"/>
        </w:rPr>
        <w:t xml:space="preserve">, </w:t>
      </w:r>
      <w:r w:rsidRPr="00FD6A51">
        <w:rPr>
          <w:rFonts w:ascii="KaTeX_Math" w:eastAsia="Times New Roman" w:hAnsi="KaTeX_Math" w:cs="Times New Roman"/>
          <w:i/>
          <w:iCs/>
          <w:kern w:val="0"/>
          <w:sz w:val="29"/>
          <w:szCs w:val="29"/>
          <w:bdr w:val="single" w:sz="2" w:space="0" w:color="E3E3E3" w:frame="1"/>
          <w:lang w:eastAsia="es-ES"/>
          <w14:ligatures w14:val="none"/>
        </w:rPr>
        <w:t>θ</w:t>
      </w:r>
      <w:r w:rsidRPr="00FD6A51">
        <w:rPr>
          <w:rFonts w:ascii="Times New Roman" w:eastAsia="Times New Roman" w:hAnsi="Times New Roman" w:cs="Times New Roman"/>
          <w:kern w:val="0"/>
          <w:sz w:val="20"/>
          <w:szCs w:val="20"/>
          <w:bdr w:val="single" w:sz="2" w:space="0" w:color="E3E3E3" w:frame="1"/>
          <w:lang w:eastAsia="es-ES"/>
          <w14:ligatures w14:val="none"/>
        </w:rPr>
        <w:t>(0)</w:t>
      </w:r>
      <w:r w:rsidRPr="00FD6A51">
        <w:rPr>
          <w:rFonts w:ascii="Segoe UI" w:eastAsia="Times New Roman" w:hAnsi="Segoe UI" w:cs="Segoe UI"/>
          <w:kern w:val="0"/>
          <w:sz w:val="24"/>
          <w:szCs w:val="24"/>
          <w:lang w:eastAsia="es-ES"/>
          <w14:ligatures w14:val="none"/>
        </w:rPr>
        <w:t xml:space="preserve"> } utilizando mediciones.</w:t>
      </w:r>
    </w:p>
    <w:p w14:paraId="1E251E33" w14:textId="476C9164" w:rsidR="00FD6A51" w:rsidRP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b/>
          <w:bCs/>
          <w:kern w:val="0"/>
          <w:sz w:val="24"/>
          <w:szCs w:val="24"/>
          <w:bdr w:val="single" w:sz="2" w:space="0" w:color="E3E3E3" w:frame="1"/>
          <w:lang w:eastAsia="es-ES"/>
          <w14:ligatures w14:val="none"/>
        </w:rPr>
        <w:t>Optimización:</w:t>
      </w:r>
      <w:r w:rsidRPr="00FD6A51">
        <w:rPr>
          <w:rFonts w:ascii="Segoe UI" w:eastAsia="Times New Roman" w:hAnsi="Segoe UI" w:cs="Segoe UI"/>
          <w:kern w:val="0"/>
          <w:sz w:val="24"/>
          <w:szCs w:val="24"/>
          <w:lang w:eastAsia="es-ES"/>
          <w14:ligatures w14:val="none"/>
        </w:rPr>
        <w:t xml:space="preserve"> iterar </w:t>
      </w:r>
      <w:r w:rsidRPr="00FD6A51">
        <w:rPr>
          <w:rFonts w:ascii="KaTeX_Math" w:eastAsia="Times New Roman" w:hAnsi="KaTeX_Math" w:cs="Times New Roman"/>
          <w:i/>
          <w:iCs/>
          <w:kern w:val="0"/>
          <w:sz w:val="29"/>
          <w:szCs w:val="29"/>
          <w:bdr w:val="single" w:sz="2" w:space="0" w:color="E3E3E3" w:frame="1"/>
          <w:lang w:eastAsia="es-ES"/>
          <w14:ligatures w14:val="none"/>
        </w:rPr>
        <w:t>l</w:t>
      </w:r>
      <w:r w:rsidRPr="00FD6A51">
        <w:rPr>
          <w:rFonts w:ascii="Segoe UI" w:eastAsia="Times New Roman" w:hAnsi="Segoe UI" w:cs="Segoe UI"/>
          <w:kern w:val="0"/>
          <w:sz w:val="24"/>
          <w:szCs w:val="24"/>
          <w:lang w:eastAsia="es-ES"/>
          <w14:ligatures w14:val="none"/>
        </w:rPr>
        <w:t xml:space="preserve"> hasta la convergencia.</w:t>
      </w:r>
    </w:p>
    <w:p w14:paraId="11043AC9" w14:textId="77777777" w:rsidR="00FD6A51" w:rsidRP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b/>
          <w:bCs/>
          <w:kern w:val="0"/>
          <w:sz w:val="24"/>
          <w:szCs w:val="24"/>
          <w:bdr w:val="single" w:sz="2" w:space="0" w:color="E3E3E3" w:frame="1"/>
          <w:lang w:eastAsia="es-ES"/>
          <w14:ligatures w14:val="none"/>
        </w:rPr>
        <w:lastRenderedPageBreak/>
        <w:t>Ajuste de biomarcadores:</w:t>
      </w:r>
      <w:r w:rsidRPr="00FD6A51">
        <w:rPr>
          <w:rFonts w:ascii="Segoe UI" w:eastAsia="Times New Roman" w:hAnsi="Segoe UI" w:cs="Segoe UI"/>
          <w:kern w:val="0"/>
          <w:sz w:val="24"/>
          <w:szCs w:val="24"/>
          <w:lang w:eastAsia="es-ES"/>
          <w14:ligatures w14:val="none"/>
        </w:rPr>
        <w:t xml:space="preserve"> estimar los parámetros específicos del biomarcador utilizando valores de todos los sujetos y visitas.</w:t>
      </w:r>
    </w:p>
    <w:p w14:paraId="6A4FE398" w14:textId="77777777" w:rsidR="00FD6A51" w:rsidRPr="00FD6A51" w:rsidRDefault="00FD6A51" w:rsidP="00FD6A51">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b/>
          <w:bCs/>
          <w:kern w:val="0"/>
          <w:sz w:val="24"/>
          <w:szCs w:val="24"/>
          <w:bdr w:val="single" w:sz="2" w:space="0" w:color="E3E3E3" w:frame="1"/>
          <w:lang w:eastAsia="es-ES"/>
          <w14:ligatures w14:val="none"/>
        </w:rPr>
        <w:t>Mapeo de edad:</w:t>
      </w:r>
      <w:r w:rsidRPr="00FD6A51">
        <w:rPr>
          <w:rFonts w:ascii="Segoe UI" w:eastAsia="Times New Roman" w:hAnsi="Segoe UI" w:cs="Segoe UI"/>
          <w:kern w:val="0"/>
          <w:sz w:val="24"/>
          <w:szCs w:val="24"/>
          <w:lang w:eastAsia="es-ES"/>
          <w14:ligatures w14:val="none"/>
        </w:rPr>
        <w:t xml:space="preserve"> estimar los parámetros específicos del sujeto utilizando valores de todos los biomarcadores y visitas.</w:t>
      </w:r>
    </w:p>
    <w:p w14:paraId="15DB2F5D" w14:textId="77777777" w:rsidR="00FD6A51" w:rsidRPr="00FD6A51" w:rsidRDefault="00FD6A51" w:rsidP="00FD6A5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0"/>
          <w:szCs w:val="30"/>
          <w:lang w:eastAsia="es-ES"/>
          <w14:ligatures w14:val="none"/>
        </w:rPr>
      </w:pPr>
      <w:r w:rsidRPr="00FD6A51">
        <w:rPr>
          <w:rFonts w:ascii="Segoe UI" w:eastAsia="Times New Roman" w:hAnsi="Segoe UI" w:cs="Segoe UI"/>
          <w:b/>
          <w:bCs/>
          <w:kern w:val="0"/>
          <w:sz w:val="30"/>
          <w:szCs w:val="30"/>
          <w:lang w:eastAsia="es-ES"/>
          <w14:ligatures w14:val="none"/>
        </w:rPr>
        <w:t>2.3. Predicción del valor del biomarcador</w:t>
      </w:r>
    </w:p>
    <w:p w14:paraId="14B4C0E7" w14:textId="033E57C4" w:rsidR="00FD6A51" w:rsidRPr="00FD6A51" w:rsidRDefault="00FD6A51" w:rsidP="00FD6A51">
      <w:pPr>
        <w:pBdr>
          <w:top w:val="single" w:sz="2" w:space="0" w:color="E3E3E3"/>
          <w:left w:val="single" w:sz="2" w:space="0" w:color="E3E3E3"/>
          <w:bottom w:val="single" w:sz="2" w:space="0" w:color="E3E3E3"/>
          <w:right w:val="single" w:sz="2" w:space="0" w:color="E3E3E3"/>
        </w:pBdr>
        <w:spacing w:after="30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kern w:val="0"/>
          <w:sz w:val="24"/>
          <w:szCs w:val="24"/>
          <w:lang w:eastAsia="es-ES"/>
          <w14:ligatures w14:val="none"/>
        </w:rPr>
        <w:t xml:space="preserve">Los valores del biomarcador pueden predecirse utilizando los parámetros del modelo ajustado. La parte de mapeo de edad del algoritmo propuesto se aplica para estimar los parámetros específicos del sujeto utilizando la ecuación (2) basada en los valores de aquellos biomarcadores del sujeto de prueba que tienen parámetros específicos del biomarcador estimados disponibles en el modelo ajustado. Luego, los valores del biomarcador se predicen como </w:t>
      </w:r>
      <w:r w:rsidRPr="00FD6A51">
        <w:rPr>
          <w:rFonts w:ascii="KaTeX_Math" w:eastAsia="Times New Roman" w:hAnsi="KaTeX_Math" w:cs="Times New Roman"/>
          <w:i/>
          <w:iCs/>
          <w:kern w:val="0"/>
          <w:sz w:val="29"/>
          <w:szCs w:val="29"/>
          <w:bdr w:val="single" w:sz="2" w:space="0" w:color="E3E3E3" w:frame="1"/>
          <w:lang w:eastAsia="es-ES"/>
          <w14:ligatures w14:val="none"/>
        </w:rPr>
        <w:t>f</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s</w:t>
      </w:r>
      <w:r w:rsidRPr="00FD6A51">
        <w:rPr>
          <w:rFonts w:ascii="KaTeX_Math" w:eastAsia="Times New Roman" w:hAnsi="KaTeX_Math" w:cs="Times New Roman"/>
          <w:i/>
          <w:iCs/>
          <w:kern w:val="0"/>
          <w:sz w:val="20"/>
          <w:szCs w:val="20"/>
          <w:bdr w:val="single" w:sz="2" w:space="0" w:color="E3E3E3" w:frame="1"/>
          <w:lang w:eastAsia="es-ES"/>
          <w14:ligatures w14:val="none"/>
        </w:rPr>
        <w:t>i</w:t>
      </w:r>
      <w:r w:rsidRPr="00FD6A51">
        <w:rPr>
          <w:rFonts w:ascii="Times New Roman" w:eastAsia="Times New Roman" w:hAnsi="Times New Roman" w:cs="Times New Roman"/>
          <w:kern w:val="0"/>
          <w:sz w:val="20"/>
          <w:szCs w:val="20"/>
          <w:bdr w:val="single" w:sz="2" w:space="0" w:color="E3E3E3" w:frame="1"/>
          <w:lang w:eastAsia="es-ES"/>
          <w14:ligatures w14:val="none"/>
        </w:rPr>
        <w:t>,</w:t>
      </w:r>
      <w:r w:rsidRPr="00FD6A51">
        <w:rPr>
          <w:rFonts w:ascii="KaTeX_Math" w:eastAsia="Times New Roman" w:hAnsi="KaTeX_Math" w:cs="Times New Roman"/>
          <w:i/>
          <w:iCs/>
          <w:kern w:val="0"/>
          <w:sz w:val="20"/>
          <w:szCs w:val="20"/>
          <w:bdr w:val="single" w:sz="2" w:space="0" w:color="E3E3E3" w:frame="1"/>
          <w:lang w:eastAsia="es-ES"/>
          <w14:ligatures w14:val="none"/>
        </w:rPr>
        <w:t>j</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KaTeX_Math" w:eastAsia="Times New Roman" w:hAnsi="KaTeX_Math" w:cs="Times New Roman"/>
          <w:i/>
          <w:iCs/>
          <w:kern w:val="0"/>
          <w:sz w:val="29"/>
          <w:szCs w:val="29"/>
          <w:bdr w:val="single" w:sz="2" w:space="0" w:color="E3E3E3" w:frame="1"/>
          <w:lang w:eastAsia="es-ES"/>
          <w14:ligatures w14:val="none"/>
        </w:rPr>
        <w:t>θ</w:t>
      </w:r>
      <w:r w:rsidRPr="00FD6A51">
        <w:rPr>
          <w:rFonts w:ascii="KaTeX_Math" w:eastAsia="Times New Roman" w:hAnsi="KaTeX_Math" w:cs="Times New Roman"/>
          <w:i/>
          <w:iCs/>
          <w:kern w:val="0"/>
          <w:sz w:val="20"/>
          <w:szCs w:val="20"/>
          <w:bdr w:val="single" w:sz="2" w:space="0" w:color="E3E3E3" w:frame="1"/>
          <w:lang w:eastAsia="es-ES"/>
          <w14:ligatures w14:val="none"/>
        </w:rPr>
        <w:t>k</w:t>
      </w:r>
      <w:r w:rsidRPr="00FD6A51">
        <w:rPr>
          <w:rFonts w:ascii="Times New Roman" w:eastAsia="Times New Roman" w:hAnsi="Times New Roman" w:cs="Times New Roman"/>
          <w:kern w:val="0"/>
          <w:sz w:val="2"/>
          <w:szCs w:val="2"/>
          <w:bdr w:val="single" w:sz="2" w:space="0" w:color="E3E3E3" w:frame="1"/>
          <w:lang w:eastAsia="es-ES"/>
          <w14:ligatures w14:val="none"/>
        </w:rPr>
        <w:t>​</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Segoe UI" w:eastAsia="Times New Roman" w:hAnsi="Segoe UI" w:cs="Segoe UI"/>
          <w:kern w:val="0"/>
          <w:sz w:val="24"/>
          <w:szCs w:val="24"/>
          <w:lang w:eastAsia="es-ES"/>
          <w14:ligatures w14:val="none"/>
        </w:rPr>
        <w:t xml:space="preserve"> utilizando los DPS de prueba estimados donde </w:t>
      </w:r>
      <w:r w:rsidRPr="00FD6A51">
        <w:rPr>
          <w:rFonts w:ascii="KaTeX_Math" w:eastAsia="Times New Roman" w:hAnsi="KaTeX_Math" w:cs="Times New Roman"/>
          <w:i/>
          <w:iCs/>
          <w:kern w:val="0"/>
          <w:sz w:val="29"/>
          <w:szCs w:val="29"/>
          <w:bdr w:val="single" w:sz="2" w:space="0" w:color="E3E3E3" w:frame="1"/>
          <w:lang w:eastAsia="es-ES"/>
          <w14:ligatures w14:val="none"/>
        </w:rPr>
        <w:t>f</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Cambria Math" w:eastAsia="Times New Roman" w:hAnsi="Cambria Math" w:cs="Cambria Math"/>
          <w:kern w:val="0"/>
          <w:sz w:val="29"/>
          <w:szCs w:val="29"/>
          <w:bdr w:val="single" w:sz="2" w:space="0" w:color="E3E3E3" w:frame="1"/>
          <w:lang w:eastAsia="es-ES"/>
          <w14:ligatures w14:val="none"/>
        </w:rPr>
        <w:t>⋅</w:t>
      </w:r>
      <w:r w:rsidRPr="00FD6A51">
        <w:rPr>
          <w:rFonts w:ascii="Times New Roman" w:eastAsia="Times New Roman" w:hAnsi="Times New Roman" w:cs="Times New Roman"/>
          <w:kern w:val="0"/>
          <w:sz w:val="29"/>
          <w:szCs w:val="29"/>
          <w:bdr w:val="single" w:sz="2" w:space="0" w:color="E3E3E3" w:frame="1"/>
          <w:lang w:eastAsia="es-ES"/>
          <w14:ligatures w14:val="none"/>
        </w:rPr>
        <w:t>)</w:t>
      </w:r>
      <w:r w:rsidRPr="00FD6A51">
        <w:rPr>
          <w:rFonts w:ascii="Segoe UI" w:eastAsia="Times New Roman" w:hAnsi="Segoe UI" w:cs="Segoe UI"/>
          <w:kern w:val="0"/>
          <w:sz w:val="24"/>
          <w:szCs w:val="24"/>
          <w:lang w:eastAsia="es-ES"/>
          <w14:ligatures w14:val="none"/>
        </w:rPr>
        <w:t xml:space="preserve"> es la función logística aplicada al ajuste del modelo.</w:t>
      </w:r>
    </w:p>
    <w:p w14:paraId="755927A5" w14:textId="77777777" w:rsidR="00FD6A51" w:rsidRPr="00FD6A51" w:rsidRDefault="00FD6A51" w:rsidP="00FD6A5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0"/>
          <w:szCs w:val="30"/>
          <w:lang w:eastAsia="es-ES"/>
          <w14:ligatures w14:val="none"/>
        </w:rPr>
      </w:pPr>
      <w:r w:rsidRPr="00FD6A51">
        <w:rPr>
          <w:rFonts w:ascii="Segoe UI" w:eastAsia="Times New Roman" w:hAnsi="Segoe UI" w:cs="Segoe UI"/>
          <w:b/>
          <w:bCs/>
          <w:kern w:val="0"/>
          <w:sz w:val="30"/>
          <w:szCs w:val="30"/>
          <w:lang w:eastAsia="es-ES"/>
          <w14:ligatures w14:val="none"/>
        </w:rPr>
        <w:t>2.4. Clasificación del estado clínico</w:t>
      </w:r>
    </w:p>
    <w:p w14:paraId="6EDE2E1C" w14:textId="5C9BD5CA" w:rsidR="00D70CAB" w:rsidRPr="00FD6A51" w:rsidRDefault="00FD6A51" w:rsidP="00FD6A51">
      <w:pPr>
        <w:pBdr>
          <w:top w:val="single" w:sz="2" w:space="0" w:color="E3E3E3"/>
          <w:left w:val="single" w:sz="2" w:space="0" w:color="E3E3E3"/>
          <w:bottom w:val="single" w:sz="2" w:space="0" w:color="E3E3E3"/>
          <w:right w:val="single" w:sz="2" w:space="0" w:color="E3E3E3"/>
        </w:pBdr>
        <w:spacing w:after="0" w:line="240" w:lineRule="auto"/>
        <w:rPr>
          <w:rFonts w:ascii="Segoe UI" w:eastAsia="Times New Roman" w:hAnsi="Segoe UI" w:cs="Segoe UI"/>
          <w:kern w:val="0"/>
          <w:sz w:val="24"/>
          <w:szCs w:val="24"/>
          <w:lang w:eastAsia="es-ES"/>
          <w14:ligatures w14:val="none"/>
        </w:rPr>
      </w:pPr>
      <w:r w:rsidRPr="00FD6A51">
        <w:rPr>
          <w:rFonts w:ascii="Segoe UI" w:eastAsia="Times New Roman" w:hAnsi="Segoe UI" w:cs="Segoe UI"/>
          <w:kern w:val="0"/>
          <w:sz w:val="24"/>
          <w:szCs w:val="24"/>
          <w:lang w:eastAsia="es-ES"/>
          <w14:ligatures w14:val="none"/>
        </w:rPr>
        <w:t xml:space="preserve">Para </w:t>
      </w:r>
      <w:r w:rsidRPr="000E67F8">
        <w:rPr>
          <w:rFonts w:ascii="Segoe UI" w:eastAsia="Times New Roman" w:hAnsi="Segoe UI" w:cs="Segoe UI"/>
          <w:kern w:val="0"/>
          <w:sz w:val="24"/>
          <w:szCs w:val="24"/>
          <w:highlight w:val="yellow"/>
          <w:lang w:eastAsia="es-ES"/>
          <w14:ligatures w14:val="none"/>
        </w:rPr>
        <w:t>predecir el estado clínico</w:t>
      </w:r>
      <w:r w:rsidRPr="00FD6A51">
        <w:rPr>
          <w:rFonts w:ascii="Segoe UI" w:eastAsia="Times New Roman" w:hAnsi="Segoe UI" w:cs="Segoe UI"/>
          <w:kern w:val="0"/>
          <w:sz w:val="24"/>
          <w:szCs w:val="24"/>
          <w:lang w:eastAsia="es-ES"/>
          <w14:ligatures w14:val="none"/>
        </w:rPr>
        <w:t xml:space="preserve"> de los sujetos de prueba por visita, se utiliza la </w:t>
      </w:r>
      <w:r w:rsidRPr="000E67F8">
        <w:rPr>
          <w:rFonts w:ascii="Segoe UI" w:eastAsia="Times New Roman" w:hAnsi="Segoe UI" w:cs="Segoe UI"/>
          <w:kern w:val="0"/>
          <w:sz w:val="24"/>
          <w:szCs w:val="24"/>
          <w:highlight w:val="green"/>
          <w:lang w:eastAsia="es-ES"/>
          <w14:ligatures w14:val="none"/>
        </w:rPr>
        <w:t>estimación de la densidad del núcleo (KDE)</w:t>
      </w:r>
      <w:r w:rsidRPr="00FD6A51">
        <w:rPr>
          <w:rFonts w:ascii="Segoe UI" w:eastAsia="Times New Roman" w:hAnsi="Segoe UI" w:cs="Segoe UI"/>
          <w:kern w:val="0"/>
          <w:sz w:val="24"/>
          <w:szCs w:val="24"/>
          <w:lang w:eastAsia="es-ES"/>
          <w14:ligatures w14:val="none"/>
        </w:rPr>
        <w:t xml:space="preserve"> para ajustar las probabilidades de los grupos cognitivamente normales, cognitivamente afectados y de EA de manera no paramétrica. La </w:t>
      </w:r>
      <w:r w:rsidRPr="000E67F8">
        <w:rPr>
          <w:rFonts w:ascii="Segoe UI" w:eastAsia="Times New Roman" w:hAnsi="Segoe UI" w:cs="Segoe UI"/>
          <w:kern w:val="0"/>
          <w:sz w:val="24"/>
          <w:szCs w:val="24"/>
          <w:highlight w:val="yellow"/>
          <w:lang w:eastAsia="es-ES"/>
          <w14:ligatures w14:val="none"/>
        </w:rPr>
        <w:t>clasificación del estado clínico</w:t>
      </w:r>
      <w:r w:rsidRPr="00FD6A51">
        <w:rPr>
          <w:rFonts w:ascii="Segoe UI" w:eastAsia="Times New Roman" w:hAnsi="Segoe UI" w:cs="Segoe UI"/>
          <w:kern w:val="0"/>
          <w:sz w:val="24"/>
          <w:szCs w:val="24"/>
          <w:lang w:eastAsia="es-ES"/>
          <w14:ligatures w14:val="none"/>
        </w:rPr>
        <w:t xml:space="preserve"> se basa en los </w:t>
      </w:r>
      <w:r w:rsidRPr="000E67F8">
        <w:rPr>
          <w:rFonts w:ascii="Segoe UI" w:eastAsia="Times New Roman" w:hAnsi="Segoe UI" w:cs="Segoe UI"/>
          <w:kern w:val="0"/>
          <w:sz w:val="24"/>
          <w:szCs w:val="24"/>
          <w:highlight w:val="yellow"/>
          <w:lang w:eastAsia="es-ES"/>
          <w14:ligatures w14:val="none"/>
        </w:rPr>
        <w:t xml:space="preserve">DPS con un clasificador bayesiano que utiliza las probabilidades ajustadas basadas en KDE como </w:t>
      </w:r>
      <w:r w:rsidRPr="000E67F8">
        <w:rPr>
          <w:rFonts w:ascii="KaTeX_Math" w:eastAsia="Times New Roman" w:hAnsi="KaTeX_Math" w:cs="Times New Roman"/>
          <w:i/>
          <w:iCs/>
          <w:kern w:val="0"/>
          <w:sz w:val="29"/>
          <w:szCs w:val="29"/>
          <w:highlight w:val="yellow"/>
          <w:bdr w:val="single" w:sz="2" w:space="0" w:color="E3E3E3" w:frame="1"/>
          <w:lang w:eastAsia="es-ES"/>
          <w14:ligatures w14:val="none"/>
        </w:rPr>
        <w:t>p</w:t>
      </w:r>
      <w:r w:rsidRPr="000E67F8">
        <w:rPr>
          <w:rFonts w:ascii="Times New Roman" w:eastAsia="Times New Roman" w:hAnsi="Times New Roman" w:cs="Times New Roman"/>
          <w:kern w:val="0"/>
          <w:sz w:val="29"/>
          <w:szCs w:val="29"/>
          <w:highlight w:val="yellow"/>
          <w:bdr w:val="single" w:sz="2" w:space="0" w:color="E3E3E3" w:frame="1"/>
          <w:lang w:eastAsia="es-ES"/>
          <w14:ligatures w14:val="none"/>
        </w:rPr>
        <w:t>(</w:t>
      </w:r>
      <w:r w:rsidRPr="000E67F8">
        <w:rPr>
          <w:rFonts w:ascii="KaTeX_Math" w:eastAsia="Times New Roman" w:hAnsi="KaTeX_Math" w:cs="Times New Roman"/>
          <w:i/>
          <w:iCs/>
          <w:kern w:val="0"/>
          <w:sz w:val="29"/>
          <w:szCs w:val="29"/>
          <w:highlight w:val="yellow"/>
          <w:bdr w:val="single" w:sz="2" w:space="0" w:color="E3E3E3" w:frame="1"/>
          <w:lang w:eastAsia="es-ES"/>
          <w14:ligatures w14:val="none"/>
        </w:rPr>
        <w:t>ci</w:t>
      </w:r>
      <w:r w:rsidRPr="000E67F8">
        <w:rPr>
          <w:rFonts w:ascii="Cambria Math" w:eastAsia="Times New Roman" w:hAnsi="Cambria Math" w:cs="Cambria Math"/>
          <w:kern w:val="0"/>
          <w:sz w:val="29"/>
          <w:szCs w:val="29"/>
          <w:highlight w:val="yellow"/>
          <w:bdr w:val="single" w:sz="2" w:space="0" w:color="E3E3E3" w:frame="1"/>
          <w:lang w:eastAsia="es-ES"/>
          <w14:ligatures w14:val="none"/>
        </w:rPr>
        <w:t>∣</w:t>
      </w:r>
      <w:r w:rsidRPr="000E67F8">
        <w:rPr>
          <w:rFonts w:ascii="KaTeX_Math" w:eastAsia="Times New Roman" w:hAnsi="KaTeX_Math" w:cs="Times New Roman"/>
          <w:i/>
          <w:iCs/>
          <w:kern w:val="0"/>
          <w:sz w:val="29"/>
          <w:szCs w:val="29"/>
          <w:highlight w:val="yellow"/>
          <w:bdr w:val="single" w:sz="2" w:space="0" w:color="E3E3E3" w:frame="1"/>
          <w:lang w:eastAsia="es-ES"/>
          <w14:ligatures w14:val="none"/>
        </w:rPr>
        <w:t>s</w:t>
      </w:r>
      <w:r w:rsidRPr="000E67F8">
        <w:rPr>
          <w:rFonts w:ascii="Times New Roman" w:eastAsia="Times New Roman" w:hAnsi="Times New Roman" w:cs="Times New Roman"/>
          <w:kern w:val="0"/>
          <w:sz w:val="29"/>
          <w:szCs w:val="29"/>
          <w:highlight w:val="yellow"/>
          <w:bdr w:val="single" w:sz="2" w:space="0" w:color="E3E3E3" w:frame="1"/>
          <w:lang w:eastAsia="es-ES"/>
          <w14:ligatures w14:val="none"/>
        </w:rPr>
        <w:t>)</w:t>
      </w:r>
      <w:r w:rsidRPr="000E67F8">
        <w:rPr>
          <w:rFonts w:ascii="Segoe UI" w:eastAsia="Times New Roman" w:hAnsi="Segoe UI" w:cs="Segoe UI"/>
          <w:kern w:val="0"/>
          <w:sz w:val="24"/>
          <w:szCs w:val="24"/>
          <w:highlight w:val="yellow"/>
          <w:lang w:eastAsia="es-ES"/>
          <w14:ligatures w14:val="none"/>
        </w:rPr>
        <w:t>.</w:t>
      </w:r>
    </w:p>
    <w:p w14:paraId="148993E2" w14:textId="77777777" w:rsidR="00FD6A51" w:rsidRDefault="00FD6A51" w:rsidP="00FD6A51"/>
    <w:p w14:paraId="7DE33D6D" w14:textId="77777777" w:rsidR="00D70CAB" w:rsidRDefault="00D70CAB" w:rsidP="00D70CAB">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b/>
          <w:bCs/>
          <w:kern w:val="0"/>
          <w:sz w:val="30"/>
          <w:szCs w:val="30"/>
          <w:lang w:eastAsia="es-ES"/>
          <w14:ligatures w14:val="none"/>
        </w:rPr>
      </w:pPr>
      <w:r w:rsidRPr="00D70CAB">
        <w:rPr>
          <w:rFonts w:ascii="Segoe UI" w:eastAsia="Times New Roman" w:hAnsi="Segoe UI" w:cs="Segoe UI"/>
          <w:b/>
          <w:bCs/>
          <w:kern w:val="0"/>
          <w:sz w:val="30"/>
          <w:szCs w:val="30"/>
          <w:lang w:eastAsia="es-ES"/>
          <w14:ligatures w14:val="none"/>
        </w:rPr>
        <w:t xml:space="preserve">3.1. Datos </w:t>
      </w:r>
    </w:p>
    <w:p w14:paraId="6454FDD6" w14:textId="0A085CF8" w:rsidR="00D70CAB" w:rsidRPr="00D70CAB" w:rsidRDefault="00D70CAB" w:rsidP="00D70CAB">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Segoe UI" w:eastAsia="Times New Roman" w:hAnsi="Segoe UI" w:cs="Segoe UI"/>
          <w:kern w:val="0"/>
          <w:sz w:val="24"/>
          <w:szCs w:val="24"/>
          <w:lang w:eastAsia="es-ES"/>
          <w14:ligatures w14:val="none"/>
        </w:rPr>
      </w:pPr>
      <w:r w:rsidRPr="00D70CAB">
        <w:rPr>
          <w:rFonts w:ascii="Segoe UI" w:eastAsia="Times New Roman" w:hAnsi="Segoe UI" w:cs="Segoe UI"/>
          <w:kern w:val="0"/>
          <w:sz w:val="24"/>
          <w:szCs w:val="24"/>
          <w:lang w:eastAsia="es-ES"/>
          <w14:ligatures w14:val="none"/>
        </w:rPr>
        <w:t>Los datos utilizados en este trabajo se obtienen de las bases de datos ADNI y NACC.</w:t>
      </w:r>
    </w:p>
    <w:p w14:paraId="2B9AE67E" w14:textId="77777777" w:rsidR="00D70CAB" w:rsidRPr="00D70CAB"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rPr>
        <w:t>3.1.1. ADNI El ADNI se lanzó en 2003 como una asociación público-privada, dirigida por el investigador principal Michael W. Weiner, MD. El objetivo principal del ADNI ha sido probar si la resonancia magnética (MRI), PET, otros marcadores biológicos y la evaluación clínica y neuropsicológica se pueden combinar para medir la progresión del deterioro cognitivo leve y la enfermedad de Alzheimer temprana. Se utiliza el conjunto de datos del Desafío de Predicción de la Evolución Longitudinal de la Enfermedad de Alzheimer (TADPOLE) del ADNI, que incluye las tres fases del ADNI: ADNI 1, ADNI GO y ADNI 2. Este conjunto de datos contiene mediciones de MRI cerebral, PET, LCR, pruebas cognitivas y datos demográficos y genéticos.</w:t>
      </w:r>
    </w:p>
    <w:p w14:paraId="70892AE4" w14:textId="77777777" w:rsidR="00D70CAB" w:rsidRPr="00D70CAB"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rPr>
        <w:lastRenderedPageBreak/>
        <w:t>3.1.2. NACC El NACC, establecido por el Instituto Nacional sobre el Envejecimiento de los Institutos Nacionales de Salud en 1999, ha estado desarrollando una gran base de datos de datos clínicos y neuropatológicos estandarizados para la investigación de la enfermedad de Alzheimer tanto exploratoria como explicativa. Los datos se han recopilado de diferentes centros de enfermedad de Alzheimer en todo Estados Unidos y contienen mediciones de diferentes modalidades como MRI, PET y pruebas cognitivas.</w:t>
      </w:r>
    </w:p>
    <w:p w14:paraId="3381505F" w14:textId="77777777" w:rsidR="00406138"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rPr>
        <w:t xml:space="preserve">3.1.3. Filtrado de datos </w:t>
      </w:r>
    </w:p>
    <w:p w14:paraId="593F52BB" w14:textId="75540644" w:rsidR="00D70CAB" w:rsidRPr="00D70CAB"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rPr>
        <w:t>Se rechazan las mediciones fuera de los rangos conocidos de los biomarcadores. Se eliminan los valores atípicos volumétricos de MRI observados en el conjunto de datos del ADNI. Se eliminan las visitas clínicas de seguimiento con diagnósticos clínicos revertidos por sujeto. Además, se excluyen las mediciones de MRI, PET y LCR que ya se han emparejado con las visitas clínicas con brechas de tiempo extremas.</w:t>
      </w:r>
    </w:p>
    <w:p w14:paraId="0F37FA1E" w14:textId="77777777" w:rsidR="00406138"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rPr>
        <w:t xml:space="preserve">3.1.4. Población de estudio obtenida </w:t>
      </w:r>
    </w:p>
    <w:p w14:paraId="6D55AAF8" w14:textId="02F5151F" w:rsidR="00D70CAB" w:rsidRPr="00D70CAB"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rPr>
        <w:t>Después del filtrado de los datos, se utilizan 16 biomarcadores del ADNI adquiridos de 1,518 sujetos y seis biomarcadores de NACC adquiridos de 239 sujetos. Todos los sujetos en ambos conjuntos de datos tienen al menos una prueba cognitiva.</w:t>
      </w:r>
    </w:p>
    <w:p w14:paraId="488B53B9" w14:textId="77777777" w:rsidR="00406138"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rPr>
        <w:t xml:space="preserve">3.1.5. Preprocesamiento de datos </w:t>
      </w:r>
    </w:p>
    <w:p w14:paraId="0A8CE089" w14:textId="7182F8AF" w:rsidR="00D70CAB"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rPr>
        <w:t>En el conjunto de datos del ADNI, las mediciones volumétricas se obtuvieron utilizando dos versiones diferentes del paquete de software FreeSurfer público, y en el conjunto de datos de NACC, se calcularon utilizando IDeA Lab siguiendo los protocolos del ADNI. Por lo tanto, se corrigen las mediciones de MRI para la versión de FreeSurfer, el paquete de software y, por lo tanto, para diferentes cohortes (ADNI-NACC).</w:t>
      </w:r>
    </w:p>
    <w:p w14:paraId="74B8D50B" w14:textId="48A8C813" w:rsidR="00D70CAB" w:rsidRPr="00D70CAB"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noProof/>
        </w:rPr>
        <w:drawing>
          <wp:inline distT="0" distB="0" distL="0" distR="0" wp14:anchorId="0E105B45" wp14:editId="248A1BCB">
            <wp:extent cx="2248016" cy="260363"/>
            <wp:effectExtent l="0" t="0" r="0" b="6350"/>
            <wp:docPr id="97866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6048" name=""/>
                    <pic:cNvPicPr/>
                  </pic:nvPicPr>
                  <pic:blipFill>
                    <a:blip r:embed="rId6"/>
                    <a:stretch>
                      <a:fillRect/>
                    </a:stretch>
                  </pic:blipFill>
                  <pic:spPr>
                    <a:xfrm>
                      <a:off x="0" y="0"/>
                      <a:ext cx="2248016" cy="260363"/>
                    </a:xfrm>
                    <a:prstGeom prst="rect">
                      <a:avLst/>
                    </a:prstGeom>
                  </pic:spPr>
                </pic:pic>
              </a:graphicData>
            </a:graphic>
          </wp:inline>
        </w:drawing>
      </w:r>
    </w:p>
    <w:p w14:paraId="403A4E26" w14:textId="77777777" w:rsidR="00406138"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rPr>
        <w:t xml:space="preserve">3.1.6. Particionamiento de datos y bootstrap </w:t>
      </w:r>
    </w:p>
    <w:p w14:paraId="598EA5BC" w14:textId="2417CDAE" w:rsidR="00D70CAB" w:rsidRPr="00D70CAB"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rPr>
        <w:t>Cada uno de los conjuntos de datos ADNI y NACC se divide en dos conjuntos no superpuestos para entrenamiento y prueba. Además, se utiliza el bootstrapping en los experimentos para cuantificar la estimación.</w:t>
      </w:r>
    </w:p>
    <w:p w14:paraId="2E583C27" w14:textId="77777777" w:rsidR="00D70CAB"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406138">
        <w:rPr>
          <w:rFonts w:ascii="Segoe UI" w:hAnsi="Segoe UI" w:cs="Segoe UI"/>
          <w:b/>
          <w:bCs/>
          <w:sz w:val="30"/>
          <w:szCs w:val="30"/>
          <w:highlight w:val="magenta"/>
        </w:rPr>
        <w:t>3.2. Métricas de evaluación</w:t>
      </w:r>
      <w:r w:rsidRPr="00D70CAB">
        <w:rPr>
          <w:rFonts w:ascii="Segoe UI" w:hAnsi="Segoe UI" w:cs="Segoe UI"/>
        </w:rPr>
        <w:t xml:space="preserve"> </w:t>
      </w:r>
    </w:p>
    <w:p w14:paraId="5347B319" w14:textId="77777777" w:rsidR="00406138" w:rsidRDefault="00406138" w:rsidP="00406138">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rPr>
          <w:rFonts w:ascii="Segoe UI" w:hAnsi="Segoe UI" w:cs="Segoe UI"/>
        </w:rPr>
      </w:pPr>
      <w:r w:rsidRPr="00406138">
        <w:rPr>
          <w:rFonts w:ascii="Segoe UI" w:hAnsi="Segoe UI" w:cs="Segoe UI"/>
        </w:rPr>
        <w:lastRenderedPageBreak/>
        <w:t>El criterio de información bayesiano robusto (BIC) se utiliza como criterio para la selección de modelos entre los modelos robustos (Machado, 1993). El criterio está penalizado con el número de parámetros para evitar el sobreajuste, donde se prefiere el modelo con el BIC más bajo, y se define como:</w:t>
      </w:r>
    </w:p>
    <w:p w14:paraId="686AEF3A" w14:textId="571F696D" w:rsidR="00E254FA" w:rsidRPr="00406138" w:rsidRDefault="00E254FA" w:rsidP="00406138">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rPr>
          <w:rFonts w:ascii="Segoe UI" w:hAnsi="Segoe UI" w:cs="Segoe UI"/>
        </w:rPr>
      </w:pPr>
      <w:r>
        <w:rPr>
          <w:noProof/>
        </w:rPr>
        <w:drawing>
          <wp:inline distT="0" distB="0" distL="0" distR="0" wp14:anchorId="6B1C68E4" wp14:editId="3BF0DB0E">
            <wp:extent cx="2323809" cy="409524"/>
            <wp:effectExtent l="0" t="0" r="635" b="0"/>
            <wp:docPr id="1942273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73259" name=""/>
                    <pic:cNvPicPr/>
                  </pic:nvPicPr>
                  <pic:blipFill>
                    <a:blip r:embed="rId7"/>
                    <a:stretch>
                      <a:fillRect/>
                    </a:stretch>
                  </pic:blipFill>
                  <pic:spPr>
                    <a:xfrm>
                      <a:off x="0" y="0"/>
                      <a:ext cx="2323809" cy="409524"/>
                    </a:xfrm>
                    <a:prstGeom prst="rect">
                      <a:avLst/>
                    </a:prstGeom>
                  </pic:spPr>
                </pic:pic>
              </a:graphicData>
            </a:graphic>
          </wp:inline>
        </w:drawing>
      </w:r>
    </w:p>
    <w:p w14:paraId="47312749" w14:textId="6A5146C6" w:rsidR="00406138" w:rsidRPr="00406138" w:rsidRDefault="00406138" w:rsidP="00406138">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406138">
        <w:rPr>
          <w:rFonts w:ascii="Segoe UI" w:hAnsi="Segoe UI" w:cs="Segoe UI"/>
        </w:rPr>
        <w:t xml:space="preserve">donde </w:t>
      </w:r>
      <w:proofErr w:type="gramStart"/>
      <w:r w:rsidRPr="00406138">
        <w:rPr>
          <w:rFonts w:ascii="Segoe UI" w:hAnsi="Segoe UI" w:cs="Segoe UI"/>
        </w:rPr>
        <w:t>E(</w:t>
      </w:r>
      <w:proofErr w:type="spellStart"/>
      <w:proofErr w:type="gramEnd"/>
      <w:r w:rsidRPr="00406138">
        <w:rPr>
          <w:rFonts w:ascii="Segoe UI" w:hAnsi="Segoe UI" w:cs="Segoe UI"/>
        </w:rPr>
        <w:t>Lopt</w:t>
      </w:r>
      <w:proofErr w:type="spellEnd"/>
      <w:r w:rsidRPr="00406138">
        <w:rPr>
          <w:rFonts w:ascii="Segoe UI" w:hAnsi="Segoe UI" w:cs="Segoe UI"/>
        </w:rPr>
        <w:t>, </w:t>
      </w:r>
      <w:proofErr w:type="spellStart"/>
      <w:r w:rsidRPr="00406138">
        <w:rPr>
          <w:rFonts w:ascii="Segoe UI" w:hAnsi="Segoe UI" w:cs="Segoe UI"/>
        </w:rPr>
        <w:t>train</w:t>
      </w:r>
      <w:proofErr w:type="spellEnd"/>
      <w:r w:rsidRPr="00406138">
        <w:rPr>
          <w:rFonts w:ascii="Segoe UI" w:hAnsi="Segoe UI" w:cs="Segoe UI"/>
        </w:rPr>
        <w:t xml:space="preserve">​) es la pérdida de entrenamiento en el número óptimo de iteraciones </w:t>
      </w:r>
      <w:proofErr w:type="spellStart"/>
      <w:r w:rsidRPr="00406138">
        <w:rPr>
          <w:rFonts w:ascii="Segoe UI" w:hAnsi="Segoe UI" w:cs="Segoe UI"/>
        </w:rPr>
        <w:t>Lopt</w:t>
      </w:r>
      <w:proofErr w:type="spellEnd"/>
      <w:r w:rsidRPr="00406138">
        <w:rPr>
          <w:rFonts w:ascii="Segoe UI" w:hAnsi="Segoe UI" w:cs="Segoe UI"/>
        </w:rPr>
        <w:t xml:space="preserve">​ obtenido mediante el ajuste de biomarcadores utilizando las ecuaciones (1) y (2), N es el número total de mediciones, y Q es el número total de parámetros que es igual a </w:t>
      </w:r>
      <w:r w:rsidR="00E254FA" w:rsidRPr="00E254FA">
        <w:rPr>
          <w:rFonts w:ascii="Segoe UI" w:hAnsi="Segoe UI" w:cs="Segoe UI"/>
          <w:noProof/>
        </w:rPr>
        <w:drawing>
          <wp:inline distT="0" distB="0" distL="0" distR="0" wp14:anchorId="4B1503F4" wp14:editId="0045824F">
            <wp:extent cx="831893" cy="184159"/>
            <wp:effectExtent l="0" t="0" r="6350" b="6350"/>
            <wp:docPr id="491441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41393" name=""/>
                    <pic:cNvPicPr/>
                  </pic:nvPicPr>
                  <pic:blipFill>
                    <a:blip r:embed="rId8"/>
                    <a:stretch>
                      <a:fillRect/>
                    </a:stretch>
                  </pic:blipFill>
                  <pic:spPr>
                    <a:xfrm>
                      <a:off x="0" y="0"/>
                      <a:ext cx="831893" cy="184159"/>
                    </a:xfrm>
                    <a:prstGeom prst="rect">
                      <a:avLst/>
                    </a:prstGeom>
                  </pic:spPr>
                </pic:pic>
              </a:graphicData>
            </a:graphic>
          </wp:inline>
        </w:drawing>
      </w:r>
    </w:p>
    <w:p w14:paraId="43BCEBC5" w14:textId="77777777" w:rsidR="00406138" w:rsidRDefault="00406138" w:rsidP="00406138">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406138">
        <w:rPr>
          <w:rFonts w:ascii="Segoe UI" w:hAnsi="Segoe UI" w:cs="Segoe UI"/>
        </w:rPr>
        <w:t xml:space="preserve">El error absoluto medio (MAE) se utiliza para evaluar el rendimiento del modelado como una medida menos sensible a los valores atípicos (Chai y </w:t>
      </w:r>
      <w:proofErr w:type="spellStart"/>
      <w:r w:rsidRPr="00406138">
        <w:rPr>
          <w:rFonts w:ascii="Segoe UI" w:hAnsi="Segoe UI" w:cs="Segoe UI"/>
        </w:rPr>
        <w:t>Draxler</w:t>
      </w:r>
      <w:proofErr w:type="spellEnd"/>
      <w:r w:rsidRPr="00406138">
        <w:rPr>
          <w:rFonts w:ascii="Segoe UI" w:hAnsi="Segoe UI" w:cs="Segoe UI"/>
        </w:rPr>
        <w:t>, 2014). Se calcula en función de las diferencias absolutas entre los valores reales y los valores estimados de la siguiente manera:</w:t>
      </w:r>
    </w:p>
    <w:p w14:paraId="3316FE0D" w14:textId="330A8CFC" w:rsidR="00E254FA" w:rsidRPr="00406138" w:rsidRDefault="00E254FA" w:rsidP="00406138">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Pr>
          <w:noProof/>
        </w:rPr>
        <w:drawing>
          <wp:inline distT="0" distB="0" distL="0" distR="0" wp14:anchorId="36CF70FF" wp14:editId="4F2EC220">
            <wp:extent cx="2819048" cy="552381"/>
            <wp:effectExtent l="0" t="0" r="635" b="635"/>
            <wp:docPr id="614957791" name="Imagen 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57791" name="Imagen 1" descr="Un dibujo de una persona&#10;&#10;Descripción generada automáticamente con confianza baja"/>
                    <pic:cNvPicPr/>
                  </pic:nvPicPr>
                  <pic:blipFill>
                    <a:blip r:embed="rId9"/>
                    <a:stretch>
                      <a:fillRect/>
                    </a:stretch>
                  </pic:blipFill>
                  <pic:spPr>
                    <a:xfrm>
                      <a:off x="0" y="0"/>
                      <a:ext cx="2819048" cy="552381"/>
                    </a:xfrm>
                    <a:prstGeom prst="rect">
                      <a:avLst/>
                    </a:prstGeom>
                  </pic:spPr>
                </pic:pic>
              </a:graphicData>
            </a:graphic>
          </wp:inline>
        </w:drawing>
      </w:r>
    </w:p>
    <w:p w14:paraId="407CF851" w14:textId="14E8590A" w:rsidR="00406138" w:rsidRPr="00406138" w:rsidRDefault="00406138" w:rsidP="00406138">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406138">
        <w:rPr>
          <w:rFonts w:ascii="Segoe UI" w:hAnsi="Segoe UI" w:cs="Segoe UI"/>
        </w:rPr>
        <w:t xml:space="preserve">donde </w:t>
      </w:r>
      <w:proofErr w:type="spellStart"/>
      <w:r w:rsidRPr="00406138">
        <w:rPr>
          <w:rFonts w:ascii="Segoe UI" w:hAnsi="Segoe UI" w:cs="Segoe UI"/>
        </w:rPr>
        <w:t>Nk</w:t>
      </w:r>
      <w:proofErr w:type="spellEnd"/>
      <w:r w:rsidRPr="00406138">
        <w:rPr>
          <w:rFonts w:ascii="Segoe UI" w:hAnsi="Segoe UI" w:cs="Segoe UI"/>
        </w:rPr>
        <w:t>​ es el número de mediciones entre todos los sujetos y visitas disponibles para el biomarcador k-</w:t>
      </w:r>
      <w:proofErr w:type="spellStart"/>
      <w:r w:rsidRPr="00406138">
        <w:rPr>
          <w:rFonts w:ascii="Segoe UI" w:hAnsi="Segoe UI" w:cs="Segoe UI"/>
        </w:rPr>
        <w:t>ésimo</w:t>
      </w:r>
      <w:proofErr w:type="spellEnd"/>
      <w:r w:rsidRPr="00406138">
        <w:rPr>
          <w:rFonts w:ascii="Segoe UI" w:hAnsi="Segoe UI" w:cs="Segoe UI"/>
        </w:rPr>
        <w:t xml:space="preserve">, y </w:t>
      </w:r>
      <w:proofErr w:type="spellStart"/>
      <w:proofErr w:type="gramStart"/>
      <w:r w:rsidRPr="00406138">
        <w:rPr>
          <w:rFonts w:ascii="Segoe UI" w:hAnsi="Segoe UI" w:cs="Segoe UI"/>
        </w:rPr>
        <w:t>yi,j</w:t>
      </w:r>
      <w:proofErr w:type="gramEnd"/>
      <w:r w:rsidRPr="00406138">
        <w:rPr>
          <w:rFonts w:ascii="Segoe UI" w:hAnsi="Segoe UI" w:cs="Segoe UI"/>
        </w:rPr>
        <w:t>,k</w:t>
      </w:r>
      <w:proofErr w:type="spellEnd"/>
      <w:r w:rsidRPr="00406138">
        <w:rPr>
          <w:rFonts w:ascii="Segoe UI" w:hAnsi="Segoe UI" w:cs="Segoe UI"/>
        </w:rPr>
        <w:t>​ y f(</w:t>
      </w:r>
      <w:proofErr w:type="spellStart"/>
      <w:r w:rsidRPr="00406138">
        <w:rPr>
          <w:rFonts w:ascii="Segoe UI" w:hAnsi="Segoe UI" w:cs="Segoe UI"/>
        </w:rPr>
        <w:t>si,j</w:t>
      </w:r>
      <w:proofErr w:type="spellEnd"/>
      <w:r w:rsidRPr="00406138">
        <w:rPr>
          <w:rFonts w:ascii="Segoe UI" w:hAnsi="Segoe UI" w:cs="Segoe UI"/>
        </w:rPr>
        <w:t>​;</w:t>
      </w:r>
      <w:proofErr w:type="spellStart"/>
      <w:r w:rsidRPr="00406138">
        <w:rPr>
          <w:rFonts w:ascii="Segoe UI" w:hAnsi="Segoe UI" w:cs="Segoe UI"/>
        </w:rPr>
        <w:t>θk</w:t>
      </w:r>
      <w:proofErr w:type="spellEnd"/>
      <w:r w:rsidRPr="00406138">
        <w:rPr>
          <w:rFonts w:ascii="Segoe UI" w:hAnsi="Segoe UI" w:cs="Segoe UI"/>
        </w:rPr>
        <w:t>​) son los valores reales y estimados del biomarcador k-</w:t>
      </w:r>
      <w:proofErr w:type="spellStart"/>
      <w:r w:rsidRPr="00406138">
        <w:rPr>
          <w:rFonts w:ascii="Segoe UI" w:hAnsi="Segoe UI" w:cs="Segoe UI"/>
        </w:rPr>
        <w:t>ésimo</w:t>
      </w:r>
      <w:proofErr w:type="spellEnd"/>
      <w:r w:rsidRPr="00406138">
        <w:rPr>
          <w:rFonts w:ascii="Segoe UI" w:hAnsi="Segoe UI" w:cs="Segoe UI"/>
        </w:rPr>
        <w:t xml:space="preserve"> para el sujeto i-</w:t>
      </w:r>
      <w:proofErr w:type="spellStart"/>
      <w:r w:rsidRPr="00406138">
        <w:rPr>
          <w:rFonts w:ascii="Segoe UI" w:hAnsi="Segoe UI" w:cs="Segoe UI"/>
        </w:rPr>
        <w:t>ésimo</w:t>
      </w:r>
      <w:proofErr w:type="spellEnd"/>
      <w:r w:rsidRPr="00406138">
        <w:rPr>
          <w:rFonts w:ascii="Segoe UI" w:hAnsi="Segoe UI" w:cs="Segoe UI"/>
        </w:rPr>
        <w:t xml:space="preserve"> en la visita j-</w:t>
      </w:r>
      <w:proofErr w:type="spellStart"/>
      <w:r w:rsidRPr="00406138">
        <w:rPr>
          <w:rFonts w:ascii="Segoe UI" w:hAnsi="Segoe UI" w:cs="Segoe UI"/>
        </w:rPr>
        <w:t>ésima</w:t>
      </w:r>
      <w:proofErr w:type="spellEnd"/>
      <w:r w:rsidRPr="00406138">
        <w:rPr>
          <w:rFonts w:ascii="Segoe UI" w:hAnsi="Segoe UI" w:cs="Segoe UI"/>
        </w:rPr>
        <w:t>.</w:t>
      </w:r>
    </w:p>
    <w:p w14:paraId="154F15B8" w14:textId="77777777" w:rsidR="00406138" w:rsidRPr="00406138" w:rsidRDefault="00406138" w:rsidP="00406138">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406138">
        <w:rPr>
          <w:rFonts w:ascii="Segoe UI" w:hAnsi="Segoe UI" w:cs="Segoe UI"/>
        </w:rPr>
        <w:t xml:space="preserve">Los errores absolutos de diferentes biomarcadores pueden normalizarse con la desviación estándar correspondiente de los biomarcadores y promediarse en todos los biomarcadores normalizados para obtener una única medida de rendimiento llamada MAE normalizado (NMAE). El rendimiento del modelado de dos métodos diferentes se compara estadísticamente utilizando la prueba de rango con signo de Wilcoxon emparejada y bidireccional (Wilcoxon, 1945) aplicada a los </w:t>
      </w:r>
      <w:proofErr w:type="spellStart"/>
      <w:r w:rsidRPr="00406138">
        <w:rPr>
          <w:rFonts w:ascii="Segoe UI" w:hAnsi="Segoe UI" w:cs="Segoe UI"/>
        </w:rPr>
        <w:t>NMAEs</w:t>
      </w:r>
      <w:proofErr w:type="spellEnd"/>
      <w:r w:rsidRPr="00406138">
        <w:rPr>
          <w:rFonts w:ascii="Segoe UI" w:hAnsi="Segoe UI" w:cs="Segoe UI"/>
        </w:rPr>
        <w:t xml:space="preserve"> obtenidos de diferentes </w:t>
      </w:r>
      <w:proofErr w:type="spellStart"/>
      <w:r w:rsidRPr="00406138">
        <w:rPr>
          <w:rFonts w:ascii="Segoe UI" w:hAnsi="Segoe UI" w:cs="Segoe UI"/>
        </w:rPr>
        <w:t>remuestreos</w:t>
      </w:r>
      <w:proofErr w:type="spellEnd"/>
      <w:r w:rsidRPr="00406138">
        <w:rPr>
          <w:rFonts w:ascii="Segoe UI" w:hAnsi="Segoe UI" w:cs="Segoe UI"/>
        </w:rPr>
        <w:t>.</w:t>
      </w:r>
    </w:p>
    <w:p w14:paraId="1600E29A" w14:textId="77777777" w:rsidR="00406138" w:rsidRPr="00406138" w:rsidRDefault="00406138" w:rsidP="00406138">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406138">
        <w:rPr>
          <w:rFonts w:ascii="Segoe UI" w:hAnsi="Segoe UI" w:cs="Segoe UI"/>
        </w:rPr>
        <w:t xml:space="preserve">Además, el área bajo la curva ROC (AUC) multiclase (Hand y </w:t>
      </w:r>
      <w:proofErr w:type="spellStart"/>
      <w:r w:rsidRPr="00406138">
        <w:rPr>
          <w:rFonts w:ascii="Segoe UI" w:hAnsi="Segoe UI" w:cs="Segoe UI"/>
        </w:rPr>
        <w:t>Till</w:t>
      </w:r>
      <w:proofErr w:type="spellEnd"/>
      <w:r w:rsidRPr="00406138">
        <w:rPr>
          <w:rFonts w:ascii="Segoe UI" w:hAnsi="Segoe UI" w:cs="Segoe UI"/>
        </w:rPr>
        <w:t>, 2001) se utiliza para medir el rendimiento diagnóstico en un conjunto de pruebas multiclase y se calcula utilizando las probabilidades a posteriori como:</w:t>
      </w:r>
    </w:p>
    <w:p w14:paraId="434802F4" w14:textId="77777777" w:rsidR="00E254FA" w:rsidRDefault="00E254FA" w:rsidP="00406138">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rPr>
          <w:rFonts w:ascii="Segoe UI" w:hAnsi="Segoe UI" w:cs="Segoe UI"/>
        </w:rPr>
      </w:pPr>
      <w:r>
        <w:rPr>
          <w:noProof/>
        </w:rPr>
        <w:drawing>
          <wp:inline distT="0" distB="0" distL="0" distR="0" wp14:anchorId="444C8CC2" wp14:editId="47C0C731">
            <wp:extent cx="3676190" cy="390476"/>
            <wp:effectExtent l="0" t="0" r="635" b="0"/>
            <wp:docPr id="1418978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78436" name=""/>
                    <pic:cNvPicPr/>
                  </pic:nvPicPr>
                  <pic:blipFill>
                    <a:blip r:embed="rId10"/>
                    <a:stretch>
                      <a:fillRect/>
                    </a:stretch>
                  </pic:blipFill>
                  <pic:spPr>
                    <a:xfrm>
                      <a:off x="0" y="0"/>
                      <a:ext cx="3676190" cy="390476"/>
                    </a:xfrm>
                    <a:prstGeom prst="rect">
                      <a:avLst/>
                    </a:prstGeom>
                  </pic:spPr>
                </pic:pic>
              </a:graphicData>
            </a:graphic>
          </wp:inline>
        </w:drawing>
      </w:r>
      <w:r w:rsidRPr="00406138">
        <w:rPr>
          <w:rFonts w:ascii="Segoe UI" w:hAnsi="Segoe UI" w:cs="Segoe UI"/>
        </w:rPr>
        <w:t xml:space="preserve"> </w:t>
      </w:r>
    </w:p>
    <w:p w14:paraId="542BA725" w14:textId="5E9CB8DE" w:rsidR="00406138" w:rsidRPr="00406138" w:rsidRDefault="00406138" w:rsidP="00406138">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rPr>
          <w:rFonts w:ascii="Segoe UI" w:hAnsi="Segoe UI" w:cs="Segoe UI"/>
        </w:rPr>
      </w:pPr>
      <w:r w:rsidRPr="00406138">
        <w:rPr>
          <w:rFonts w:ascii="Segoe UI" w:hAnsi="Segoe UI" w:cs="Segoe UI"/>
        </w:rPr>
        <w:t xml:space="preserve">donde </w:t>
      </w:r>
      <w:proofErr w:type="spellStart"/>
      <w:r w:rsidRPr="00406138">
        <w:rPr>
          <w:rFonts w:ascii="Segoe UI" w:hAnsi="Segoe UI" w:cs="Segoe UI"/>
        </w:rPr>
        <w:t>nc</w:t>
      </w:r>
      <w:proofErr w:type="spellEnd"/>
      <w:r w:rsidRPr="00406138">
        <w:rPr>
          <w:rFonts w:ascii="Segoe UI" w:hAnsi="Segoe UI" w:cs="Segoe UI"/>
        </w:rPr>
        <w:t xml:space="preserve"> es el número de clases distintas, ni denota el número de observaciones disponibles pertenecientes a la clase i-</w:t>
      </w:r>
      <w:proofErr w:type="spellStart"/>
      <w:r w:rsidRPr="00406138">
        <w:rPr>
          <w:rFonts w:ascii="Segoe UI" w:hAnsi="Segoe UI" w:cs="Segoe UI"/>
        </w:rPr>
        <w:t>ésima</w:t>
      </w:r>
      <w:proofErr w:type="spellEnd"/>
      <w:r w:rsidRPr="00406138">
        <w:rPr>
          <w:rFonts w:ascii="Segoe UI" w:hAnsi="Segoe UI" w:cs="Segoe UI"/>
        </w:rPr>
        <w:t xml:space="preserve">, y </w:t>
      </w:r>
      <w:proofErr w:type="spellStart"/>
      <w:r w:rsidRPr="00406138">
        <w:rPr>
          <w:rFonts w:ascii="Segoe UI" w:hAnsi="Segoe UI" w:cs="Segoe UI"/>
        </w:rPr>
        <w:t>SRi</w:t>
      </w:r>
      <w:proofErr w:type="spellEnd"/>
      <w:r w:rsidRPr="00406138">
        <w:rPr>
          <w:rFonts w:ascii="Segoe UI" w:hAnsi="Segoe UI" w:cs="Segoe UI"/>
        </w:rPr>
        <w:t>​ es la suma de los rangos de las probabilidades a posteriori p(</w:t>
      </w:r>
      <w:proofErr w:type="spellStart"/>
      <w:r w:rsidRPr="00406138">
        <w:rPr>
          <w:rFonts w:ascii="Segoe UI" w:hAnsi="Segoe UI" w:cs="Segoe UI"/>
        </w:rPr>
        <w:t>ci</w:t>
      </w:r>
      <w:proofErr w:type="spellEnd"/>
      <w:r w:rsidRPr="00406138">
        <w:rPr>
          <w:rFonts w:ascii="Segoe UI" w:hAnsi="Segoe UI" w:cs="Segoe UI"/>
        </w:rPr>
        <w:t>​</w:t>
      </w:r>
      <w:r w:rsidRPr="00406138">
        <w:rPr>
          <w:rFonts w:ascii="Cambria Math" w:hAnsi="Cambria Math" w:cs="Cambria Math"/>
        </w:rPr>
        <w:t>∣</w:t>
      </w:r>
      <w:proofErr w:type="spellStart"/>
      <w:r w:rsidRPr="00406138">
        <w:rPr>
          <w:rFonts w:ascii="Segoe UI" w:hAnsi="Segoe UI" w:cs="Segoe UI"/>
        </w:rPr>
        <w:t>si</w:t>
      </w:r>
      <w:proofErr w:type="spellEnd"/>
      <w:r w:rsidRPr="00406138">
        <w:rPr>
          <w:rFonts w:ascii="Segoe UI" w:hAnsi="Segoe UI" w:cs="Segoe UI"/>
        </w:rPr>
        <w:t xml:space="preserve">​) después de ordenar todas </w:t>
      </w:r>
      <w:r w:rsidRPr="00406138">
        <w:rPr>
          <w:rFonts w:ascii="Segoe UI" w:hAnsi="Segoe UI" w:cs="Segoe UI"/>
        </w:rPr>
        <w:lastRenderedPageBreak/>
        <w:t>las probabilidades concatenadas p(</w:t>
      </w:r>
      <w:proofErr w:type="spellStart"/>
      <w:r w:rsidRPr="00406138">
        <w:rPr>
          <w:rFonts w:ascii="Segoe UI" w:hAnsi="Segoe UI" w:cs="Segoe UI"/>
        </w:rPr>
        <w:t>ci</w:t>
      </w:r>
      <w:proofErr w:type="spellEnd"/>
      <w:r w:rsidRPr="00406138">
        <w:rPr>
          <w:rFonts w:ascii="Segoe UI" w:hAnsi="Segoe UI" w:cs="Segoe UI"/>
        </w:rPr>
        <w:t>​</w:t>
      </w:r>
      <w:r w:rsidRPr="00406138">
        <w:rPr>
          <w:rFonts w:ascii="Cambria Math" w:hAnsi="Cambria Math" w:cs="Cambria Math"/>
        </w:rPr>
        <w:t>∣</w:t>
      </w:r>
      <w:proofErr w:type="spellStart"/>
      <w:r w:rsidRPr="00406138">
        <w:rPr>
          <w:rFonts w:ascii="Segoe UI" w:hAnsi="Segoe UI" w:cs="Segoe UI"/>
        </w:rPr>
        <w:t>si</w:t>
      </w:r>
      <w:proofErr w:type="spellEnd"/>
      <w:r w:rsidRPr="00406138">
        <w:rPr>
          <w:rFonts w:ascii="Segoe UI" w:hAnsi="Segoe UI" w:cs="Segoe UI"/>
        </w:rPr>
        <w:t>​</w:t>
      </w:r>
      <w:proofErr w:type="gramStart"/>
      <w:r w:rsidRPr="00406138">
        <w:rPr>
          <w:rFonts w:ascii="Segoe UI" w:hAnsi="Segoe UI" w:cs="Segoe UI"/>
        </w:rPr>
        <w:t>),p</w:t>
      </w:r>
      <w:proofErr w:type="gramEnd"/>
      <w:r w:rsidRPr="00406138">
        <w:rPr>
          <w:rFonts w:ascii="Segoe UI" w:hAnsi="Segoe UI" w:cs="Segoe UI"/>
        </w:rPr>
        <w:t>(</w:t>
      </w:r>
      <w:proofErr w:type="spellStart"/>
      <w:r w:rsidRPr="00406138">
        <w:rPr>
          <w:rFonts w:ascii="Segoe UI" w:hAnsi="Segoe UI" w:cs="Segoe UI"/>
        </w:rPr>
        <w:t>ci</w:t>
      </w:r>
      <w:proofErr w:type="spellEnd"/>
      <w:r w:rsidRPr="00406138">
        <w:rPr>
          <w:rFonts w:ascii="Segoe UI" w:hAnsi="Segoe UI" w:cs="Segoe UI"/>
        </w:rPr>
        <w:t>​</w:t>
      </w:r>
      <w:r w:rsidRPr="00406138">
        <w:rPr>
          <w:rFonts w:ascii="Cambria Math" w:hAnsi="Cambria Math" w:cs="Cambria Math"/>
        </w:rPr>
        <w:t>∣</w:t>
      </w:r>
      <w:proofErr w:type="spellStart"/>
      <w:r w:rsidRPr="00406138">
        <w:rPr>
          <w:rFonts w:ascii="Segoe UI" w:hAnsi="Segoe UI" w:cs="Segoe UI"/>
        </w:rPr>
        <w:t>sk</w:t>
      </w:r>
      <w:proofErr w:type="spellEnd"/>
      <w:r w:rsidRPr="00406138">
        <w:rPr>
          <w:rFonts w:ascii="Segoe UI" w:hAnsi="Segoe UI" w:cs="Segoe UI"/>
        </w:rPr>
        <w:t xml:space="preserve">​)} en orden ascendente, donde </w:t>
      </w:r>
      <w:proofErr w:type="spellStart"/>
      <w:r w:rsidRPr="00406138">
        <w:rPr>
          <w:rFonts w:ascii="Segoe UI" w:hAnsi="Segoe UI" w:cs="Segoe UI"/>
        </w:rPr>
        <w:t>si</w:t>
      </w:r>
      <w:proofErr w:type="spellEnd"/>
      <w:r w:rsidRPr="00406138">
        <w:rPr>
          <w:rFonts w:ascii="Segoe UI" w:hAnsi="Segoe UI" w:cs="Segoe UI"/>
        </w:rPr>
        <w:t xml:space="preserve">​ y </w:t>
      </w:r>
      <w:proofErr w:type="spellStart"/>
      <w:r w:rsidRPr="00406138">
        <w:rPr>
          <w:rFonts w:ascii="Segoe UI" w:hAnsi="Segoe UI" w:cs="Segoe UI"/>
        </w:rPr>
        <w:t>sk</w:t>
      </w:r>
      <w:proofErr w:type="spellEnd"/>
      <w:r w:rsidRPr="00406138">
        <w:rPr>
          <w:rFonts w:ascii="Segoe UI" w:hAnsi="Segoe UI" w:cs="Segoe UI"/>
        </w:rPr>
        <w:t xml:space="preserve">​ son vectores de </w:t>
      </w:r>
      <w:proofErr w:type="spellStart"/>
      <w:r w:rsidRPr="00406138">
        <w:rPr>
          <w:rFonts w:ascii="Segoe UI" w:hAnsi="Segoe UI" w:cs="Segoe UI"/>
        </w:rPr>
        <w:t>DPSs</w:t>
      </w:r>
      <w:proofErr w:type="spellEnd"/>
      <w:r w:rsidRPr="00406138">
        <w:rPr>
          <w:rFonts w:ascii="Segoe UI" w:hAnsi="Segoe UI" w:cs="Segoe UI"/>
        </w:rPr>
        <w:t xml:space="preserve"> pertenecientes a las clases verdaderas </w:t>
      </w:r>
      <w:proofErr w:type="spellStart"/>
      <w:r w:rsidRPr="00406138">
        <w:rPr>
          <w:rFonts w:ascii="Segoe UI" w:hAnsi="Segoe UI" w:cs="Segoe UI"/>
        </w:rPr>
        <w:t>ci</w:t>
      </w:r>
      <w:proofErr w:type="spellEnd"/>
      <w:r w:rsidRPr="00406138">
        <w:rPr>
          <w:rFonts w:ascii="Segoe UI" w:hAnsi="Segoe UI" w:cs="Segoe UI"/>
        </w:rPr>
        <w:t xml:space="preserve">​ y </w:t>
      </w:r>
      <w:proofErr w:type="spellStart"/>
      <w:r w:rsidRPr="00406138">
        <w:rPr>
          <w:rFonts w:ascii="Segoe UI" w:hAnsi="Segoe UI" w:cs="Segoe UI"/>
        </w:rPr>
        <w:t>ck</w:t>
      </w:r>
      <w:proofErr w:type="spellEnd"/>
      <w:r w:rsidRPr="00406138">
        <w:rPr>
          <w:rFonts w:ascii="Segoe UI" w:hAnsi="Segoe UI" w:cs="Segoe UI"/>
        </w:rPr>
        <w:t xml:space="preserve">​, respectivamente. De manera similar, </w:t>
      </w:r>
      <w:proofErr w:type="spellStart"/>
      <w:r w:rsidRPr="00406138">
        <w:rPr>
          <w:rFonts w:ascii="Segoe UI" w:hAnsi="Segoe UI" w:cs="Segoe UI"/>
        </w:rPr>
        <w:t>SRk</w:t>
      </w:r>
      <w:proofErr w:type="spellEnd"/>
      <w:r w:rsidRPr="00406138">
        <w:rPr>
          <w:rFonts w:ascii="Segoe UI" w:hAnsi="Segoe UI" w:cs="Segoe UI"/>
        </w:rPr>
        <w:t xml:space="preserve">​ es la suma de los rangos de las probabilidades a posteriori </w:t>
      </w:r>
      <w:r w:rsidR="00E254FA">
        <w:rPr>
          <w:rFonts w:ascii="Segoe UI" w:hAnsi="Segoe UI" w:cs="Segoe UI"/>
        </w:rPr>
        <w:t>p</w:t>
      </w:r>
      <w:r w:rsidR="00E254FA" w:rsidRPr="00406138">
        <w:rPr>
          <w:rFonts w:ascii="Segoe UI" w:hAnsi="Segoe UI" w:cs="Segoe UI"/>
        </w:rPr>
        <w:t xml:space="preserve"> </w:t>
      </w:r>
      <w:r w:rsidRPr="00406138">
        <w:rPr>
          <w:rFonts w:ascii="Segoe UI" w:hAnsi="Segoe UI" w:cs="Segoe UI"/>
        </w:rPr>
        <w:t>(</w:t>
      </w:r>
      <w:proofErr w:type="spellStart"/>
      <w:r w:rsidRPr="00406138">
        <w:rPr>
          <w:rFonts w:ascii="Segoe UI" w:hAnsi="Segoe UI" w:cs="Segoe UI"/>
        </w:rPr>
        <w:t>ck</w:t>
      </w:r>
      <w:proofErr w:type="spellEnd"/>
      <w:r w:rsidRPr="00406138">
        <w:rPr>
          <w:rFonts w:ascii="Segoe UI" w:hAnsi="Segoe UI" w:cs="Segoe UI"/>
        </w:rPr>
        <w:t>​</w:t>
      </w:r>
      <w:r w:rsidRPr="00406138">
        <w:rPr>
          <w:rFonts w:ascii="Cambria Math" w:hAnsi="Cambria Math" w:cs="Cambria Math"/>
        </w:rPr>
        <w:t>∣</w:t>
      </w:r>
      <w:proofErr w:type="spellStart"/>
      <w:r w:rsidRPr="00406138">
        <w:rPr>
          <w:rFonts w:ascii="Segoe UI" w:hAnsi="Segoe UI" w:cs="Segoe UI"/>
        </w:rPr>
        <w:t>sk</w:t>
      </w:r>
      <w:proofErr w:type="spellEnd"/>
      <w:r w:rsidRPr="00406138">
        <w:rPr>
          <w:rFonts w:ascii="Segoe UI" w:hAnsi="Segoe UI" w:cs="Segoe UI"/>
        </w:rPr>
        <w:t>​) después de ordenar todas las probabilidades concatenadas p(</w:t>
      </w:r>
      <w:proofErr w:type="spellStart"/>
      <w:r w:rsidRPr="00406138">
        <w:rPr>
          <w:rFonts w:ascii="Segoe UI" w:hAnsi="Segoe UI" w:cs="Segoe UI"/>
        </w:rPr>
        <w:t>ck</w:t>
      </w:r>
      <w:proofErr w:type="spellEnd"/>
      <w:r w:rsidRPr="00406138">
        <w:rPr>
          <w:rFonts w:ascii="Segoe UI" w:hAnsi="Segoe UI" w:cs="Segoe UI"/>
        </w:rPr>
        <w:t>​</w:t>
      </w:r>
      <w:r w:rsidRPr="00406138">
        <w:rPr>
          <w:rFonts w:ascii="Cambria Math" w:hAnsi="Cambria Math" w:cs="Cambria Math"/>
        </w:rPr>
        <w:t>∣</w:t>
      </w:r>
      <w:proofErr w:type="spellStart"/>
      <w:r w:rsidRPr="00406138">
        <w:rPr>
          <w:rFonts w:ascii="Segoe UI" w:hAnsi="Segoe UI" w:cs="Segoe UI"/>
        </w:rPr>
        <w:t>sk</w:t>
      </w:r>
      <w:proofErr w:type="spellEnd"/>
      <w:r w:rsidRPr="00406138">
        <w:rPr>
          <w:rFonts w:ascii="Segoe UI" w:hAnsi="Segoe UI" w:cs="Segoe UI"/>
        </w:rPr>
        <w:t>​</w:t>
      </w:r>
      <w:proofErr w:type="gramStart"/>
      <w:r w:rsidRPr="00406138">
        <w:rPr>
          <w:rFonts w:ascii="Segoe UI" w:hAnsi="Segoe UI" w:cs="Segoe UI"/>
        </w:rPr>
        <w:t>),p</w:t>
      </w:r>
      <w:proofErr w:type="gramEnd"/>
      <w:r w:rsidRPr="00406138">
        <w:rPr>
          <w:rFonts w:ascii="Segoe UI" w:hAnsi="Segoe UI" w:cs="Segoe UI"/>
        </w:rPr>
        <w:t>(</w:t>
      </w:r>
      <w:proofErr w:type="spellStart"/>
      <w:r w:rsidRPr="00406138">
        <w:rPr>
          <w:rFonts w:ascii="Segoe UI" w:hAnsi="Segoe UI" w:cs="Segoe UI"/>
        </w:rPr>
        <w:t>ck</w:t>
      </w:r>
      <w:proofErr w:type="spellEnd"/>
      <w:r w:rsidRPr="00406138">
        <w:rPr>
          <w:rFonts w:ascii="Segoe UI" w:hAnsi="Segoe UI" w:cs="Segoe UI"/>
        </w:rPr>
        <w:t>​</w:t>
      </w:r>
      <w:r w:rsidRPr="00406138">
        <w:rPr>
          <w:rFonts w:ascii="Cambria Math" w:hAnsi="Cambria Math" w:cs="Cambria Math"/>
        </w:rPr>
        <w:t>∣</w:t>
      </w:r>
      <w:proofErr w:type="spellStart"/>
      <w:r w:rsidRPr="00406138">
        <w:rPr>
          <w:rFonts w:ascii="Segoe UI" w:hAnsi="Segoe UI" w:cs="Segoe UI"/>
        </w:rPr>
        <w:t>si</w:t>
      </w:r>
      <w:proofErr w:type="spellEnd"/>
      <w:r w:rsidRPr="00406138">
        <w:rPr>
          <w:rFonts w:ascii="Segoe UI" w:hAnsi="Segoe UI" w:cs="Segoe UI"/>
        </w:rPr>
        <w:t>​)} en orden ascendente.</w:t>
      </w:r>
    </w:p>
    <w:p w14:paraId="3C97F753" w14:textId="5801A67B" w:rsidR="00D70CAB" w:rsidRPr="00D70CAB"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p>
    <w:p w14:paraId="7AD14276" w14:textId="77777777" w:rsidR="00D70CAB"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D70CAB">
        <w:rPr>
          <w:rFonts w:ascii="Segoe UI" w:hAnsi="Segoe UI" w:cs="Segoe UI"/>
          <w:b/>
          <w:bCs/>
          <w:sz w:val="30"/>
          <w:szCs w:val="30"/>
        </w:rPr>
        <w:t>3.3. Inicialización del algoritmo y optimización</w:t>
      </w:r>
      <w:r w:rsidRPr="00D70CAB">
        <w:rPr>
          <w:rFonts w:ascii="Segoe UI" w:hAnsi="Segoe UI" w:cs="Segoe UI"/>
        </w:rPr>
        <w:t xml:space="preserve"> </w:t>
      </w:r>
    </w:p>
    <w:p w14:paraId="498B539B" w14:textId="77777777" w:rsidR="0090727E" w:rsidRDefault="0090727E" w:rsidP="00D70CAB">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rPr>
          <w:rFonts w:ascii="Segoe UI" w:hAnsi="Segoe UI" w:cs="Segoe UI"/>
          <w:b/>
          <w:bCs/>
          <w:sz w:val="30"/>
          <w:szCs w:val="30"/>
        </w:rPr>
      </w:pPr>
      <w:r w:rsidRPr="0090727E">
        <w:rPr>
          <w:rFonts w:ascii="Segoe UI" w:hAnsi="Segoe UI" w:cs="Segoe UI"/>
        </w:rPr>
        <w:t xml:space="preserve">Dado que el algoritmo de ajuste se realiza de manera iterativa utilizando un enfoque alternativo comenzando desde valores optimizados en el paso anterior, la inicialización es un paso importante para alcanzar eficientemente el óptimo. Inicialmente establecemos </w:t>
      </w:r>
      <w:proofErr w:type="gramStart"/>
      <w:r w:rsidRPr="0090727E">
        <w:rPr>
          <w:rFonts w:ascii="Segoe UI" w:hAnsi="Segoe UI" w:cs="Segoe UI"/>
        </w:rPr>
        <w:t>α(</w:t>
      </w:r>
      <w:proofErr w:type="gramEnd"/>
      <w:r w:rsidRPr="0090727E">
        <w:rPr>
          <w:rFonts w:ascii="Segoe UI" w:hAnsi="Segoe UI" w:cs="Segoe UI"/>
        </w:rPr>
        <w:t>0) y β(0) en 1 y 0, respectivamente. Además, inicializamos la pendiente de las trayectorias (λ) en -1 o 1 dependiendo de los diagnósticos. Se considera una pendiente positiva cuando el promedio de los valores del k-</w:t>
      </w:r>
      <w:proofErr w:type="spellStart"/>
      <w:r w:rsidRPr="0090727E">
        <w:rPr>
          <w:rFonts w:ascii="Segoe UI" w:hAnsi="Segoe UI" w:cs="Segoe UI"/>
        </w:rPr>
        <w:t>ésimo</w:t>
      </w:r>
      <w:proofErr w:type="spellEnd"/>
      <w:r w:rsidRPr="0090727E">
        <w:rPr>
          <w:rFonts w:ascii="Segoe UI" w:hAnsi="Segoe UI" w:cs="Segoe UI"/>
        </w:rPr>
        <w:t xml:space="preserve"> biomarcador para visitas cognitivamente normales es menor que para visitas de AD y viceversa. A continuación, los parámetros de las funciones logísticas se estiman inicialmente como </w:t>
      </w:r>
      <w:proofErr w:type="spellStart"/>
      <w:r w:rsidRPr="0090727E">
        <w:rPr>
          <w:rFonts w:ascii="Segoe UI" w:hAnsi="Segoe UI" w:cs="Segoe UI"/>
        </w:rPr>
        <w:t>γk</w:t>
      </w:r>
      <w:proofErr w:type="spellEnd"/>
      <w:r w:rsidRPr="0090727E">
        <w:rPr>
          <w:rFonts w:ascii="Segoe UI" w:hAnsi="Segoe UI" w:cs="Segoe UI"/>
        </w:rPr>
        <w:t xml:space="preserve"> = 1, </w:t>
      </w:r>
      <w:proofErr w:type="spellStart"/>
      <w:r w:rsidRPr="0090727E">
        <w:rPr>
          <w:rFonts w:ascii="Segoe UI" w:hAnsi="Segoe UI" w:cs="Segoe UI"/>
        </w:rPr>
        <w:t>ck</w:t>
      </w:r>
      <w:proofErr w:type="spellEnd"/>
      <w:r w:rsidRPr="0090727E">
        <w:rPr>
          <w:rFonts w:ascii="Segoe UI" w:hAnsi="Segoe UI" w:cs="Segoe UI"/>
        </w:rPr>
        <w:t xml:space="preserve"> = 0, y </w:t>
      </w:r>
      <w:proofErr w:type="spellStart"/>
      <w:r w:rsidRPr="0090727E">
        <w:rPr>
          <w:rFonts w:ascii="Segoe UI" w:hAnsi="Segoe UI" w:cs="Segoe UI"/>
        </w:rPr>
        <w:t>bk</w:t>
      </w:r>
      <w:proofErr w:type="spellEnd"/>
      <w:r w:rsidRPr="0090727E">
        <w:rPr>
          <w:rFonts w:ascii="Segoe UI" w:hAnsi="Segoe UI" w:cs="Segoe UI"/>
        </w:rPr>
        <w:t xml:space="preserve"> = 4λk</w:t>
      </w:r>
      <w:proofErr w:type="gramStart"/>
      <w:r w:rsidRPr="0090727E">
        <w:rPr>
          <w:rFonts w:ascii="Segoe UI" w:hAnsi="Segoe UI" w:cs="Segoe UI"/>
        </w:rPr>
        <w:t>/(</w:t>
      </w:r>
      <w:proofErr w:type="spellStart"/>
      <w:proofErr w:type="gramEnd"/>
      <w:r w:rsidRPr="0090727E">
        <w:rPr>
          <w:rFonts w:ascii="Segoe UI" w:hAnsi="Segoe UI" w:cs="Segoe UI"/>
        </w:rPr>
        <w:t>ak</w:t>
      </w:r>
      <w:proofErr w:type="spellEnd"/>
      <w:r w:rsidRPr="0090727E">
        <w:rPr>
          <w:rFonts w:ascii="Segoe UI" w:hAnsi="Segoe UI" w:cs="Segoe UI"/>
        </w:rPr>
        <w:t xml:space="preserve"> − </w:t>
      </w:r>
      <w:proofErr w:type="spellStart"/>
      <w:r w:rsidRPr="0090727E">
        <w:rPr>
          <w:rFonts w:ascii="Segoe UI" w:hAnsi="Segoe UI" w:cs="Segoe UI"/>
        </w:rPr>
        <w:t>dk</w:t>
      </w:r>
      <w:proofErr w:type="spellEnd"/>
      <w:r w:rsidRPr="0090727E">
        <w:rPr>
          <w:rFonts w:ascii="Segoe UI" w:hAnsi="Segoe UI" w:cs="Segoe UI"/>
        </w:rPr>
        <w:t xml:space="preserve">), donde </w:t>
      </w:r>
      <w:proofErr w:type="spellStart"/>
      <w:r w:rsidRPr="0090727E">
        <w:rPr>
          <w:rFonts w:ascii="Segoe UI" w:hAnsi="Segoe UI" w:cs="Segoe UI"/>
        </w:rPr>
        <w:t>dk</w:t>
      </w:r>
      <w:proofErr w:type="spellEnd"/>
      <w:r w:rsidRPr="0090727E">
        <w:rPr>
          <w:rFonts w:ascii="Segoe UI" w:hAnsi="Segoe UI" w:cs="Segoe UI"/>
        </w:rPr>
        <w:t xml:space="preserve"> y </w:t>
      </w:r>
      <w:proofErr w:type="spellStart"/>
      <w:r w:rsidRPr="0090727E">
        <w:rPr>
          <w:rFonts w:ascii="Segoe UI" w:hAnsi="Segoe UI" w:cs="Segoe UI"/>
        </w:rPr>
        <w:t>ak</w:t>
      </w:r>
      <w:proofErr w:type="spellEnd"/>
      <w:r w:rsidRPr="0090727E">
        <w:rPr>
          <w:rFonts w:ascii="Segoe UI" w:hAnsi="Segoe UI" w:cs="Segoe UI"/>
        </w:rPr>
        <w:t xml:space="preserve"> son el mínimo y el máximo de los valores del k-</w:t>
      </w:r>
      <w:proofErr w:type="spellStart"/>
      <w:r w:rsidRPr="0090727E">
        <w:rPr>
          <w:rFonts w:ascii="Segoe UI" w:hAnsi="Segoe UI" w:cs="Segoe UI"/>
        </w:rPr>
        <w:t>ésimo</w:t>
      </w:r>
      <w:proofErr w:type="spellEnd"/>
      <w:r w:rsidRPr="0090727E">
        <w:rPr>
          <w:rFonts w:ascii="Segoe UI" w:hAnsi="Segoe UI" w:cs="Segoe UI"/>
        </w:rPr>
        <w:t xml:space="preserve"> biomarcador, respectivamente, siempre que la pendiente </w:t>
      </w:r>
      <w:proofErr w:type="spellStart"/>
      <w:r w:rsidRPr="0090727E">
        <w:rPr>
          <w:rFonts w:ascii="Segoe UI" w:hAnsi="Segoe UI" w:cs="Segoe UI"/>
        </w:rPr>
        <w:t>λk</w:t>
      </w:r>
      <w:proofErr w:type="spellEnd"/>
      <w:r w:rsidRPr="0090727E">
        <w:rPr>
          <w:rFonts w:ascii="Segoe UI" w:hAnsi="Segoe UI" w:cs="Segoe UI"/>
        </w:rPr>
        <w:t xml:space="preserve"> sea positiva, y viceversa si la pendiente es negativa. Finalmente, repetimos el procedimiento alternativo utilizando las funciones logísticas y el algoritmo de región de confianza (Coleman y Li, 1996) considerando estimadores robustos durante un máximo de 30 iteraciones.</w:t>
      </w:r>
    </w:p>
    <w:p w14:paraId="28BC7E9C" w14:textId="01237D52" w:rsidR="00D70CAB" w:rsidRDefault="0090727E" w:rsidP="00D70CAB">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rPr>
          <w:rFonts w:ascii="Segoe UI" w:hAnsi="Segoe UI" w:cs="Segoe UI"/>
        </w:rPr>
      </w:pPr>
      <w:r w:rsidRPr="0090727E">
        <w:rPr>
          <w:rFonts w:ascii="Segoe UI" w:hAnsi="Segoe UI" w:cs="Segoe UI"/>
          <w:b/>
          <w:bCs/>
          <w:sz w:val="30"/>
          <w:szCs w:val="30"/>
        </w:rPr>
        <w:t xml:space="preserve"> </w:t>
      </w:r>
      <w:r w:rsidR="00D70CAB" w:rsidRPr="00D70CAB">
        <w:rPr>
          <w:rFonts w:ascii="Segoe UI" w:hAnsi="Segoe UI" w:cs="Segoe UI"/>
          <w:b/>
          <w:bCs/>
          <w:sz w:val="30"/>
          <w:szCs w:val="30"/>
        </w:rPr>
        <w:t>3.4. Criterios de detención</w:t>
      </w:r>
      <w:r w:rsidR="00D70CAB" w:rsidRPr="00D70CAB">
        <w:rPr>
          <w:rFonts w:ascii="Segoe UI" w:hAnsi="Segoe UI" w:cs="Segoe UI"/>
        </w:rPr>
        <w:t xml:space="preserve"> </w:t>
      </w:r>
    </w:p>
    <w:p w14:paraId="35E85838" w14:textId="408AD28F" w:rsidR="00D70CAB" w:rsidRPr="00D70CAB" w:rsidRDefault="00D70CAB" w:rsidP="00D70CAB">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rPr>
          <w:rFonts w:ascii="Segoe UI" w:hAnsi="Segoe UI" w:cs="Segoe UI"/>
        </w:rPr>
      </w:pPr>
      <w:r w:rsidRPr="00D70CAB">
        <w:rPr>
          <w:rFonts w:ascii="Segoe UI" w:hAnsi="Segoe UI" w:cs="Segoe UI"/>
        </w:rPr>
        <w:t>Para evitar el sobreajuste, se seleccionan los valores de parámetros óptimos de acuerdo con la pérdida de generalización óptima obtenida utilizando ciertos criterios.</w:t>
      </w:r>
    </w:p>
    <w:p w14:paraId="12392B3D" w14:textId="77777777" w:rsidR="00D70CAB" w:rsidRDefault="00D70CAB" w:rsidP="00FD6A51"/>
    <w:p w14:paraId="44BA24F2" w14:textId="0A3E77AA" w:rsidR="00FD6A51" w:rsidRDefault="00D70CAB" w:rsidP="00FD6A51">
      <w:r w:rsidRPr="00D70CAB">
        <w:rPr>
          <w:noProof/>
        </w:rPr>
        <w:drawing>
          <wp:inline distT="0" distB="0" distL="0" distR="0" wp14:anchorId="198172CD" wp14:editId="161DE53D">
            <wp:extent cx="1771741" cy="349268"/>
            <wp:effectExtent l="0" t="0" r="0" b="0"/>
            <wp:docPr id="246066210"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66210" name="Imagen 1" descr="Logotipo, nombre de la empresa&#10;&#10;Descripción generada automáticamente"/>
                    <pic:cNvPicPr/>
                  </pic:nvPicPr>
                  <pic:blipFill>
                    <a:blip r:embed="rId11"/>
                    <a:stretch>
                      <a:fillRect/>
                    </a:stretch>
                  </pic:blipFill>
                  <pic:spPr>
                    <a:xfrm>
                      <a:off x="0" y="0"/>
                      <a:ext cx="1771741" cy="349268"/>
                    </a:xfrm>
                    <a:prstGeom prst="rect">
                      <a:avLst/>
                    </a:prstGeom>
                  </pic:spPr>
                </pic:pic>
              </a:graphicData>
            </a:graphic>
          </wp:inline>
        </w:drawing>
      </w:r>
    </w:p>
    <w:p w14:paraId="5D0718F4" w14:textId="3910DF9F" w:rsidR="0090727E" w:rsidRPr="0090727E" w:rsidRDefault="0090727E" w:rsidP="0090727E">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rPr>
          <w:rFonts w:ascii="Segoe UI" w:hAnsi="Segoe UI" w:cs="Segoe UI"/>
        </w:rPr>
      </w:pPr>
      <w:r w:rsidRPr="0090727E">
        <w:rPr>
          <w:rFonts w:ascii="Segoe UI" w:hAnsi="Segoe UI" w:cs="Segoe UI"/>
        </w:rPr>
        <w:t xml:space="preserve">donde </w:t>
      </w:r>
      <w:proofErr w:type="spellStart"/>
      <w:r w:rsidRPr="0090727E">
        <w:rPr>
          <w:rFonts w:ascii="Segoe UI" w:hAnsi="Segoe UI" w:cs="Segoe UI"/>
        </w:rPr>
        <w:t>Evalid</w:t>
      </w:r>
      <w:proofErr w:type="spellEnd"/>
      <w:r w:rsidRPr="0090727E">
        <w:rPr>
          <w:rFonts w:ascii="Segoe UI" w:hAnsi="Segoe UI" w:cs="Segoe UI"/>
        </w:rPr>
        <w:t>(l)​ es la pérdida de validación en la l-</w:t>
      </w:r>
      <w:proofErr w:type="spellStart"/>
      <w:r w:rsidRPr="0090727E">
        <w:rPr>
          <w:rFonts w:ascii="Segoe UI" w:hAnsi="Segoe UI" w:cs="Segoe UI"/>
        </w:rPr>
        <w:t>ésima</w:t>
      </w:r>
      <w:proofErr w:type="spellEnd"/>
      <w:r w:rsidRPr="0090727E">
        <w:rPr>
          <w:rFonts w:ascii="Segoe UI" w:hAnsi="Segoe UI" w:cs="Segoe UI"/>
        </w:rPr>
        <w:t xml:space="preserve"> iteración obtenida a través del ajuste de biomarcadores utilizando las ecuaciones (1) y (2). El número mínimo de iteraciones,</w:t>
      </w:r>
      <w:r>
        <w:rPr>
          <w:rFonts w:ascii="Segoe UI" w:hAnsi="Segoe UI" w:cs="Segoe UI"/>
        </w:rPr>
        <w:t xml:space="preserve"> </w:t>
      </w:r>
      <w:proofErr w:type="spellStart"/>
      <w:r w:rsidRPr="0090727E">
        <w:rPr>
          <w:rFonts w:ascii="Segoe UI" w:hAnsi="Segoe UI" w:cs="Segoe UI"/>
        </w:rPr>
        <w:t>Lmin</w:t>
      </w:r>
      <w:proofErr w:type="spellEnd"/>
      <w:r w:rsidRPr="0090727E">
        <w:rPr>
          <w:rFonts w:ascii="Segoe UI" w:hAnsi="Segoe UI" w:cs="Segoe UI"/>
        </w:rPr>
        <w:t xml:space="preserve">​, se establece en 10 para permitir suficiente progreso en el entrenamiento. El número máximo de iteraciones, </w:t>
      </w:r>
      <w:proofErr w:type="spellStart"/>
      <w:r>
        <w:rPr>
          <w:rFonts w:ascii="Segoe UI" w:hAnsi="Segoe UI" w:cs="Segoe UI"/>
        </w:rPr>
        <w:t>L</w:t>
      </w:r>
      <w:r w:rsidRPr="0090727E">
        <w:rPr>
          <w:rFonts w:ascii="Segoe UI" w:hAnsi="Segoe UI" w:cs="Segoe UI"/>
        </w:rPr>
        <w:t>max</w:t>
      </w:r>
      <w:proofErr w:type="spellEnd"/>
      <w:r w:rsidRPr="0090727E">
        <w:rPr>
          <w:rFonts w:ascii="Segoe UI" w:hAnsi="Segoe UI" w:cs="Segoe UI"/>
        </w:rPr>
        <w:t xml:space="preserve">​, se establece en 50. Esto evita cálculos innecesarios ya que se observó empíricamente que </w:t>
      </w:r>
      <w:proofErr w:type="spellStart"/>
      <w:r w:rsidRPr="0090727E">
        <w:rPr>
          <w:rFonts w:ascii="Segoe UI" w:hAnsi="Segoe UI" w:cs="Segoe UI"/>
        </w:rPr>
        <w:t>Evalid</w:t>
      </w:r>
      <w:proofErr w:type="spellEnd"/>
      <w:r w:rsidRPr="0090727E">
        <w:rPr>
          <w:rFonts w:ascii="Segoe UI" w:hAnsi="Segoe UI" w:cs="Segoe UI"/>
        </w:rPr>
        <w:t>​ alcanza un mínimo dentro de este rango de iteraciones en todos los casos.</w:t>
      </w:r>
    </w:p>
    <w:p w14:paraId="02E7635C" w14:textId="77777777" w:rsidR="00FD6A51" w:rsidRDefault="00FD6A51" w:rsidP="00FD6A51"/>
    <w:p w14:paraId="2F5B374F" w14:textId="77777777" w:rsidR="00BB6E57" w:rsidRPr="00BB6E57" w:rsidRDefault="00BB6E57" w:rsidP="00BB6E57">
      <w:pPr>
        <w:pStyle w:val="NormalWeb"/>
        <w:pBdr>
          <w:top w:val="single" w:sz="2" w:space="0" w:color="E3E3E3"/>
          <w:left w:val="single" w:sz="2" w:space="14" w:color="E3E3E3"/>
          <w:bottom w:val="single" w:sz="2" w:space="0" w:color="E3E3E3"/>
          <w:right w:val="single" w:sz="2" w:space="0" w:color="E3E3E3"/>
        </w:pBdr>
        <w:spacing w:before="300" w:beforeAutospacing="0" w:after="0" w:afterAutospacing="0"/>
        <w:rPr>
          <w:rFonts w:ascii="Segoe UI" w:hAnsi="Segoe UI" w:cs="Segoe UI"/>
          <w:b/>
          <w:bCs/>
          <w:sz w:val="30"/>
          <w:szCs w:val="30"/>
        </w:rPr>
      </w:pPr>
      <w:r w:rsidRPr="00BB6E57">
        <w:rPr>
          <w:rFonts w:ascii="Segoe UI" w:hAnsi="Segoe UI" w:cs="Segoe UI"/>
          <w:b/>
          <w:bCs/>
          <w:sz w:val="30"/>
          <w:szCs w:val="30"/>
        </w:rPr>
        <w:lastRenderedPageBreak/>
        <w:t xml:space="preserve">4.Resultados y discusión </w:t>
      </w:r>
    </w:p>
    <w:p w14:paraId="27F4D289" w14:textId="77777777" w:rsidR="00BB6E57" w:rsidRPr="00BB6E57" w:rsidRDefault="00BB6E57" w:rsidP="00BB6E57">
      <w:pPr>
        <w:pStyle w:val="NormalWeb"/>
        <w:pBdr>
          <w:top w:val="single" w:sz="2" w:space="0" w:color="E3E3E3"/>
          <w:left w:val="single" w:sz="2" w:space="14" w:color="E3E3E3"/>
          <w:bottom w:val="single" w:sz="2" w:space="0" w:color="E3E3E3"/>
          <w:right w:val="single" w:sz="2" w:space="0" w:color="E3E3E3"/>
        </w:pBdr>
        <w:spacing w:before="300" w:beforeAutospacing="0" w:after="0" w:afterAutospacing="0"/>
        <w:rPr>
          <w:rFonts w:ascii="Segoe UI" w:hAnsi="Segoe UI" w:cs="Segoe UI"/>
          <w:b/>
          <w:bCs/>
          <w:sz w:val="30"/>
          <w:szCs w:val="30"/>
        </w:rPr>
      </w:pPr>
    </w:p>
    <w:p w14:paraId="2759AFE1" w14:textId="77777777" w:rsidR="00BB6E57" w:rsidRDefault="00BB6E57" w:rsidP="00BB6E57">
      <w:pPr>
        <w:pStyle w:val="NormalWeb"/>
        <w:pBdr>
          <w:top w:val="single" w:sz="2" w:space="0" w:color="E3E3E3"/>
          <w:left w:val="single" w:sz="2" w:space="14" w:color="E3E3E3"/>
          <w:bottom w:val="single" w:sz="2" w:space="0" w:color="E3E3E3"/>
          <w:right w:val="single" w:sz="2" w:space="0" w:color="E3E3E3"/>
        </w:pBdr>
        <w:spacing w:before="300" w:beforeAutospacing="0" w:after="0" w:afterAutospacing="0"/>
        <w:rPr>
          <w:rFonts w:ascii="Segoe UI" w:hAnsi="Segoe UI" w:cs="Segoe UI"/>
        </w:rPr>
      </w:pPr>
      <w:r w:rsidRPr="00BB6E57">
        <w:rPr>
          <w:rFonts w:ascii="Segoe UI" w:hAnsi="Segoe UI" w:cs="Segoe UI"/>
          <w:b/>
          <w:bCs/>
          <w:sz w:val="30"/>
          <w:szCs w:val="30"/>
        </w:rPr>
        <w:t>4.1. Modelado de biomarcadores</w:t>
      </w:r>
      <w:r w:rsidRPr="00BB6E57">
        <w:rPr>
          <w:rFonts w:ascii="Segoe UI" w:hAnsi="Segoe UI" w:cs="Segoe UI"/>
        </w:rPr>
        <w:t xml:space="preserve"> </w:t>
      </w:r>
    </w:p>
    <w:p w14:paraId="31C812F9" w14:textId="0F3CB789" w:rsidR="00BB6E57" w:rsidRPr="00BB6E57" w:rsidRDefault="00BB6E57" w:rsidP="00BB6E57">
      <w:pPr>
        <w:pStyle w:val="NormalWeb"/>
        <w:pBdr>
          <w:top w:val="single" w:sz="2" w:space="0" w:color="E3E3E3"/>
          <w:left w:val="single" w:sz="2" w:space="14" w:color="E3E3E3"/>
          <w:bottom w:val="single" w:sz="2" w:space="0" w:color="E3E3E3"/>
          <w:right w:val="single" w:sz="2" w:space="0" w:color="E3E3E3"/>
        </w:pBdr>
        <w:spacing w:before="300" w:beforeAutospacing="0" w:after="0" w:afterAutospacing="0"/>
        <w:rPr>
          <w:rFonts w:ascii="Segoe UI" w:hAnsi="Segoe UI" w:cs="Segoe UI"/>
        </w:rPr>
      </w:pPr>
      <w:r w:rsidRPr="00BB6E57">
        <w:rPr>
          <w:rFonts w:ascii="Segoe UI" w:hAnsi="Segoe UI" w:cs="Segoe UI"/>
        </w:rPr>
        <w:t>Primero, se aplica el método propuesto para modelar la dinámica de los biomarcadores del ADNI. La Tabla 5 ilustra el rendimiento del modelado (BIC) para los subconjuntos de entrenamiento del ADNI obtenidos a partir de 100 remuestreos utilizando diferentes funciones logísticas y de pérdida. La combinación de la función de Stannard modificada para el ajuste de biomarcadores y la pérdida logística logra el mejor rendimiento de modelado con tanto el BIC promedio más bajo como la desviación estándar más pequeña y un NMAE de validación de 0.985 ± 0.029. Esta configuración se utilizará en todos los experimentos restantes.</w:t>
      </w:r>
    </w:p>
    <w:p w14:paraId="638CA562" w14:textId="77777777" w:rsidR="00BB6E57" w:rsidRP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kern w:val="0"/>
          <w:sz w:val="24"/>
          <w:szCs w:val="24"/>
          <w:lang w:eastAsia="es-ES"/>
          <w14:ligatures w14:val="none"/>
        </w:rPr>
        <w:t>Para investigar aún más la estabilidad y robustez del modelo con la configuración elegida de funciones logísticas y de pérdida, visualizamos las trayectorias ajustadas para cada uno de los 100 remuestreos junto con su promedio por biomarcador en la Figura 3.</w:t>
      </w:r>
    </w:p>
    <w:p w14:paraId="72A85096" w14:textId="77777777" w:rsid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b/>
          <w:bCs/>
          <w:kern w:val="0"/>
          <w:sz w:val="30"/>
          <w:szCs w:val="30"/>
          <w:lang w:eastAsia="es-ES"/>
          <w14:ligatures w14:val="none"/>
        </w:rPr>
        <w:t>4.2. Orden temporal de biomarcadores</w:t>
      </w:r>
      <w:r w:rsidRPr="00BB6E57">
        <w:rPr>
          <w:rFonts w:ascii="Segoe UI" w:eastAsia="Times New Roman" w:hAnsi="Segoe UI" w:cs="Segoe UI"/>
          <w:kern w:val="0"/>
          <w:sz w:val="24"/>
          <w:szCs w:val="24"/>
          <w:lang w:eastAsia="es-ES"/>
          <w14:ligatures w14:val="none"/>
        </w:rPr>
        <w:t xml:space="preserve"> </w:t>
      </w:r>
    </w:p>
    <w:p w14:paraId="25B19305" w14:textId="68CBEF4D" w:rsidR="00BB6E57" w:rsidRP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kern w:val="0"/>
          <w:sz w:val="24"/>
          <w:szCs w:val="24"/>
          <w:lang w:eastAsia="es-ES"/>
          <w14:ligatures w14:val="none"/>
        </w:rPr>
        <w:t xml:space="preserve">Para indicar el momento y la dinámica de los diferentes biomarcadores en relación entre sí, la Figura 4 muestra las curvas promedio escaladas a [0, 1] utilizando los asintotas superiores e inferiores estimados por biomarcador y superpuestos en la misma figura. La distribución de los puntos de inflexión de los biomarcadores, cuantificados mediante remuestreo, se puede utilizar para ver cómo avanzan los biomarcadores en el curso del AD en relación entre sí. El punto de inflexión se considera un punto de inflexión en el que cambia la dirección de la curvatura del biomarcador. La Figura 5 muestra el orden temporal de los biomarcadores del ADNI basado en los puntos de inflexión estimados. Como se puede ver, los biomarcadores CSF y PET, así como RAVLT-IR, preceden a todos los demás biomarcadores seguidos de los biomarcadores de MRI y las pruebas cognitivas. Estos hallazgos están en línea con los resultados de Jedynak et al. (2012, 2015); Young et al. (2015); Bilgel y Jedynak (2019). Más interesantemente, RAVLT-IR comienza a ser anormal temprano en el curso de la enfermedad, lo que es consistente con varios estudios clínicos que concluyen que algunas pruebas cognitivas, incluido RAVLT, son predictores significativos que pueden predecir cambios neurodegenerativos hasta 10 años antes del diagnóstico clínico (Tierney et al., 2005; Landau et al., 2010; Zandifar et al., 2019). Sin embargo, algunos de los biomarcadores de MRI, como los ventrículos y todo el cerebro, son medidas ruidosas para modelar la progresión </w:t>
      </w:r>
      <w:r w:rsidRPr="00BB6E57">
        <w:rPr>
          <w:rFonts w:ascii="Segoe UI" w:eastAsia="Times New Roman" w:hAnsi="Segoe UI" w:cs="Segoe UI"/>
          <w:kern w:val="0"/>
          <w:sz w:val="24"/>
          <w:szCs w:val="24"/>
          <w:lang w:eastAsia="es-ES"/>
          <w14:ligatures w14:val="none"/>
        </w:rPr>
        <w:lastRenderedPageBreak/>
        <w:t>del AD en este conjunto de datos, como también se ve en la Figura 5. Es importante tener en cuenta que los puntos de inflexión se utilizan para ordenar los biomarcadores en el curso de la enfermedad. Estos puntos no miden cuándo comienzan a ser anormales los biomarcadores y, por lo tanto, no se pueden usar para la detección temprana de anormalidades.</w:t>
      </w:r>
    </w:p>
    <w:p w14:paraId="302D70BA" w14:textId="77777777" w:rsid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b/>
          <w:bCs/>
          <w:kern w:val="0"/>
          <w:sz w:val="30"/>
          <w:szCs w:val="30"/>
          <w:lang w:eastAsia="es-ES"/>
          <w14:ligatures w14:val="none"/>
        </w:rPr>
        <w:t>4.3. Distribución de DPS versus temporización de biomarcadores</w:t>
      </w:r>
      <w:r w:rsidRPr="00BB6E57">
        <w:rPr>
          <w:rFonts w:ascii="Segoe UI" w:eastAsia="Times New Roman" w:hAnsi="Segoe UI" w:cs="Segoe UI"/>
          <w:kern w:val="0"/>
          <w:sz w:val="24"/>
          <w:szCs w:val="24"/>
          <w:lang w:eastAsia="es-ES"/>
          <w14:ligatures w14:val="none"/>
        </w:rPr>
        <w:t xml:space="preserve"> </w:t>
      </w:r>
    </w:p>
    <w:p w14:paraId="2861E84E" w14:textId="3E286EBF" w:rsidR="00BB6E57" w:rsidRP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kern w:val="0"/>
          <w:sz w:val="24"/>
          <w:szCs w:val="24"/>
          <w:lang w:eastAsia="es-ES"/>
          <w14:ligatures w14:val="none"/>
        </w:rPr>
        <w:t>La Figura 6 muestra la varianza de los puntos de inflexión estimados por biomarcador junto con las verosimilitudes condicionales a clase estimadas de los DPS obtenidos a partir de 100 remuestreos. Como se puede ver, hay superposiciones moderadas entre las distribuciones de DPS de CN-MCI y MCI-AD, mientras que los grupos CN y AD se pueden discriminar fácilmente. Además, los puntos de inflexión estimados por biomarcador casi coinciden con los del modelo hipotético de Jack Jr et al. (2010) que ilustra cuándo los biomarcadores son dinámicos versus las etapas de la enfermedad. Especialmente, los puntos de inflexión de los biomarcadores de MRI (estructura cerebral) se encuentran principalmente en la etapa MCI, mientras que los de las pruebas cognitivas (memoria), excepto RAVLT-IR, se encuentran en la etapa AD.</w:t>
      </w:r>
    </w:p>
    <w:p w14:paraId="7064F939" w14:textId="77777777" w:rsid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b/>
          <w:bCs/>
          <w:kern w:val="0"/>
          <w:sz w:val="30"/>
          <w:szCs w:val="30"/>
          <w:lang w:eastAsia="es-ES"/>
          <w14:ligatures w14:val="none"/>
        </w:rPr>
      </w:pPr>
      <w:r w:rsidRPr="00BB6E57">
        <w:rPr>
          <w:rFonts w:ascii="Segoe UI" w:eastAsia="Times New Roman" w:hAnsi="Segoe UI" w:cs="Segoe UI"/>
          <w:b/>
          <w:bCs/>
          <w:kern w:val="0"/>
          <w:sz w:val="30"/>
          <w:szCs w:val="30"/>
          <w:lang w:eastAsia="es-ES"/>
          <w14:ligatures w14:val="none"/>
        </w:rPr>
        <w:t>4.4. Predicción de valores de biomarcadores</w:t>
      </w:r>
    </w:p>
    <w:p w14:paraId="4F19C8BC" w14:textId="3E26412B" w:rsidR="00BB6E57" w:rsidRP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kern w:val="0"/>
          <w:sz w:val="24"/>
          <w:szCs w:val="24"/>
          <w:lang w:eastAsia="es-ES"/>
          <w14:ligatures w14:val="none"/>
        </w:rPr>
        <w:t xml:space="preserve"> </w:t>
      </w:r>
      <w:r w:rsidR="007836C5" w:rsidRPr="007836C5">
        <w:rPr>
          <w:rFonts w:ascii="Segoe UI" w:eastAsia="Times New Roman" w:hAnsi="Segoe UI" w:cs="Segoe UI"/>
          <w:kern w:val="0"/>
          <w:sz w:val="24"/>
          <w:szCs w:val="24"/>
          <w:lang w:eastAsia="es-ES"/>
          <w14:ligatures w14:val="none"/>
        </w:rPr>
        <w:t xml:space="preserve">Los parámetros específicos del biomarcador estimados utilizando el conjunto de entrenamiento </w:t>
      </w:r>
      <w:proofErr w:type="spellStart"/>
      <w:r w:rsidR="007836C5" w:rsidRPr="007836C5">
        <w:rPr>
          <w:rFonts w:ascii="Segoe UI" w:eastAsia="Times New Roman" w:hAnsi="Segoe UI" w:cs="Segoe UI"/>
          <w:kern w:val="0"/>
          <w:sz w:val="24"/>
          <w:szCs w:val="24"/>
          <w:lang w:eastAsia="es-ES"/>
          <w14:ligatures w14:val="none"/>
        </w:rPr>
        <w:t>remuestreado</w:t>
      </w:r>
      <w:proofErr w:type="spellEnd"/>
      <w:r w:rsidR="007836C5" w:rsidRPr="007836C5">
        <w:rPr>
          <w:rFonts w:ascii="Segoe UI" w:eastAsia="Times New Roman" w:hAnsi="Segoe UI" w:cs="Segoe UI"/>
          <w:kern w:val="0"/>
          <w:sz w:val="24"/>
          <w:szCs w:val="24"/>
          <w:lang w:eastAsia="es-ES"/>
          <w14:ligatures w14:val="none"/>
        </w:rPr>
        <w:t xml:space="preserve"> se aplican para mapear las edades de los individuos de prueba a </w:t>
      </w:r>
      <w:proofErr w:type="spellStart"/>
      <w:r w:rsidR="007836C5" w:rsidRPr="007836C5">
        <w:rPr>
          <w:rFonts w:ascii="Segoe UI" w:eastAsia="Times New Roman" w:hAnsi="Segoe UI" w:cs="Segoe UI"/>
          <w:kern w:val="0"/>
          <w:sz w:val="24"/>
          <w:szCs w:val="24"/>
          <w:lang w:eastAsia="es-ES"/>
          <w14:ligatures w14:val="none"/>
        </w:rPr>
        <w:t>DPSs</w:t>
      </w:r>
      <w:proofErr w:type="spellEnd"/>
      <w:r w:rsidR="007836C5" w:rsidRPr="007836C5">
        <w:rPr>
          <w:rFonts w:ascii="Segoe UI" w:eastAsia="Times New Roman" w:hAnsi="Segoe UI" w:cs="Segoe UI"/>
          <w:kern w:val="0"/>
          <w:sz w:val="24"/>
          <w:szCs w:val="24"/>
          <w:lang w:eastAsia="es-ES"/>
          <w14:ligatures w14:val="none"/>
        </w:rPr>
        <w:t xml:space="preserve"> utilizando la Ecuación (2). Los </w:t>
      </w:r>
      <w:proofErr w:type="spellStart"/>
      <w:r w:rsidR="007836C5" w:rsidRPr="007836C5">
        <w:rPr>
          <w:rFonts w:ascii="Segoe UI" w:eastAsia="Times New Roman" w:hAnsi="Segoe UI" w:cs="Segoe UI"/>
          <w:kern w:val="0"/>
          <w:sz w:val="24"/>
          <w:szCs w:val="24"/>
          <w:lang w:eastAsia="es-ES"/>
          <w14:ligatures w14:val="none"/>
        </w:rPr>
        <w:t>DPSs</w:t>
      </w:r>
      <w:proofErr w:type="spellEnd"/>
      <w:r w:rsidR="007836C5" w:rsidRPr="007836C5">
        <w:rPr>
          <w:rFonts w:ascii="Segoe UI" w:eastAsia="Times New Roman" w:hAnsi="Segoe UI" w:cs="Segoe UI"/>
          <w:kern w:val="0"/>
          <w:sz w:val="24"/>
          <w:szCs w:val="24"/>
          <w:lang w:eastAsia="es-ES"/>
          <w14:ligatures w14:val="none"/>
        </w:rPr>
        <w:t xml:space="preserve"> obtenidos luego se alimentan a las funciones de biomarcadores estimadas en cada </w:t>
      </w:r>
      <w:proofErr w:type="spellStart"/>
      <w:r w:rsidR="007836C5" w:rsidRPr="007836C5">
        <w:rPr>
          <w:rFonts w:ascii="Segoe UI" w:eastAsia="Times New Roman" w:hAnsi="Segoe UI" w:cs="Segoe UI"/>
          <w:kern w:val="0"/>
          <w:sz w:val="24"/>
          <w:szCs w:val="24"/>
          <w:lang w:eastAsia="es-ES"/>
          <w14:ligatures w14:val="none"/>
        </w:rPr>
        <w:t>remuestreo</w:t>
      </w:r>
      <w:proofErr w:type="spellEnd"/>
      <w:r w:rsidR="007836C5" w:rsidRPr="007836C5">
        <w:rPr>
          <w:rFonts w:ascii="Segoe UI" w:eastAsia="Times New Roman" w:hAnsi="Segoe UI" w:cs="Segoe UI"/>
          <w:kern w:val="0"/>
          <w:sz w:val="24"/>
          <w:szCs w:val="24"/>
          <w:lang w:eastAsia="es-ES"/>
          <w14:ligatures w14:val="none"/>
        </w:rPr>
        <w:t xml:space="preserve">. La Tabla 6 muestra los </w:t>
      </w:r>
      <w:proofErr w:type="spellStart"/>
      <w:r w:rsidR="007836C5" w:rsidRPr="007836C5">
        <w:rPr>
          <w:rFonts w:ascii="Segoe UI" w:eastAsia="Times New Roman" w:hAnsi="Segoe UI" w:cs="Segoe UI"/>
          <w:kern w:val="0"/>
          <w:sz w:val="24"/>
          <w:szCs w:val="24"/>
          <w:lang w:eastAsia="es-ES"/>
          <w14:ligatures w14:val="none"/>
        </w:rPr>
        <w:t>NMAEs</w:t>
      </w:r>
      <w:proofErr w:type="spellEnd"/>
      <w:r w:rsidR="007836C5" w:rsidRPr="007836C5">
        <w:rPr>
          <w:rFonts w:ascii="Segoe UI" w:eastAsia="Times New Roman" w:hAnsi="Segoe UI" w:cs="Segoe UI"/>
          <w:kern w:val="0"/>
          <w:sz w:val="24"/>
          <w:szCs w:val="24"/>
          <w:lang w:eastAsia="es-ES"/>
          <w14:ligatures w14:val="none"/>
        </w:rPr>
        <w:t xml:space="preserve"> de prueba del conjunto de datos ADNI </w:t>
      </w:r>
      <w:proofErr w:type="spellStart"/>
      <w:r w:rsidR="007836C5" w:rsidRPr="007836C5">
        <w:rPr>
          <w:rFonts w:ascii="Segoe UI" w:eastAsia="Times New Roman" w:hAnsi="Segoe UI" w:cs="Segoe UI"/>
          <w:kern w:val="0"/>
          <w:sz w:val="24"/>
          <w:szCs w:val="24"/>
          <w:lang w:eastAsia="es-ES"/>
          <w14:ligatures w14:val="none"/>
        </w:rPr>
        <w:t>remuestreado</w:t>
      </w:r>
      <w:proofErr w:type="spellEnd"/>
      <w:r w:rsidR="007836C5" w:rsidRPr="007836C5">
        <w:rPr>
          <w:rFonts w:ascii="Segoe UI" w:eastAsia="Times New Roman" w:hAnsi="Segoe UI" w:cs="Segoe UI"/>
          <w:kern w:val="0"/>
          <w:sz w:val="24"/>
          <w:szCs w:val="24"/>
          <w:lang w:eastAsia="es-ES"/>
          <w14:ligatures w14:val="none"/>
        </w:rPr>
        <w:t xml:space="preserve"> 100 veces para el modelo propuesto y el modelo análogo de </w:t>
      </w:r>
      <w:proofErr w:type="spellStart"/>
      <w:r w:rsidR="007836C5" w:rsidRPr="007836C5">
        <w:rPr>
          <w:rFonts w:ascii="Segoe UI" w:eastAsia="Times New Roman" w:hAnsi="Segoe UI" w:cs="Segoe UI"/>
          <w:kern w:val="0"/>
          <w:sz w:val="24"/>
          <w:szCs w:val="24"/>
          <w:lang w:eastAsia="es-ES"/>
          <w14:ligatures w14:val="none"/>
        </w:rPr>
        <w:t>Jedynak</w:t>
      </w:r>
      <w:proofErr w:type="spellEnd"/>
      <w:r w:rsidR="007836C5" w:rsidRPr="007836C5">
        <w:rPr>
          <w:rFonts w:ascii="Segoe UI" w:eastAsia="Times New Roman" w:hAnsi="Segoe UI" w:cs="Segoe UI"/>
          <w:kern w:val="0"/>
          <w:sz w:val="24"/>
          <w:szCs w:val="24"/>
          <w:lang w:eastAsia="es-ES"/>
          <w14:ligatures w14:val="none"/>
        </w:rPr>
        <w:t xml:space="preserve"> et al. (2015) que ajusta independientemente la función sigmoide básica utilizando una función de pérdida de norma L2 no restringida. El modelo propuesto supera significativamente (p &lt; 0.001) al modelo análogo con un NMAE promedio de 0.991 frente a 1.552 y un BIC promedio de 1.828×104 frente a 3.303×104. La Tabla 7 muestra el MAE promedio de prueba por biomarcador a lo largo de 100 </w:t>
      </w:r>
      <w:proofErr w:type="spellStart"/>
      <w:r w:rsidR="007836C5" w:rsidRPr="007836C5">
        <w:rPr>
          <w:rFonts w:ascii="Segoe UI" w:eastAsia="Times New Roman" w:hAnsi="Segoe UI" w:cs="Segoe UI"/>
          <w:kern w:val="0"/>
          <w:sz w:val="24"/>
          <w:szCs w:val="24"/>
          <w:lang w:eastAsia="es-ES"/>
          <w14:ligatures w14:val="none"/>
        </w:rPr>
        <w:t>remuestreos</w:t>
      </w:r>
      <w:proofErr w:type="spellEnd"/>
      <w:r w:rsidR="007836C5" w:rsidRPr="007836C5">
        <w:rPr>
          <w:rFonts w:ascii="Segoe UI" w:eastAsia="Times New Roman" w:hAnsi="Segoe UI" w:cs="Segoe UI"/>
          <w:kern w:val="0"/>
          <w:sz w:val="24"/>
          <w:szCs w:val="24"/>
          <w:lang w:eastAsia="es-ES"/>
          <w14:ligatures w14:val="none"/>
        </w:rPr>
        <w:t>.</w:t>
      </w:r>
    </w:p>
    <w:p w14:paraId="35FD466E" w14:textId="77777777" w:rsid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b/>
          <w:bCs/>
          <w:kern w:val="0"/>
          <w:sz w:val="30"/>
          <w:szCs w:val="30"/>
          <w:lang w:eastAsia="es-ES"/>
          <w14:ligatures w14:val="none"/>
        </w:rPr>
        <w:t>4.5. Clasificación del estado clínico</w:t>
      </w:r>
      <w:r w:rsidRPr="00BB6E57">
        <w:rPr>
          <w:rFonts w:ascii="Segoe UI" w:eastAsia="Times New Roman" w:hAnsi="Segoe UI" w:cs="Segoe UI"/>
          <w:kern w:val="0"/>
          <w:sz w:val="24"/>
          <w:szCs w:val="24"/>
          <w:lang w:eastAsia="es-ES"/>
          <w14:ligatures w14:val="none"/>
        </w:rPr>
        <w:t xml:space="preserve"> </w:t>
      </w:r>
    </w:p>
    <w:p w14:paraId="2B36AA51" w14:textId="6CB9FBC9" w:rsidR="00BB6E57" w:rsidRP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kern w:val="0"/>
          <w:sz w:val="24"/>
          <w:szCs w:val="24"/>
          <w:lang w:eastAsia="es-ES"/>
          <w14:ligatures w14:val="none"/>
        </w:rPr>
        <w:t xml:space="preserve">Para evaluar el rendimiento predictivo del diagnóstico, los DPS de entrenamiento obtenidos se utilizan para estimar funciones de verosimilitud condicionales a clase por remuestreo utilizando KDE y se alimentan a un clasificador bayesiano de tres clases con probabilidades a priori proporcionales al número de observaciones de entrenamiento en cada clase. Los clasificadores, </w:t>
      </w:r>
      <w:r w:rsidRPr="00BB6E57">
        <w:rPr>
          <w:rFonts w:ascii="Segoe UI" w:eastAsia="Times New Roman" w:hAnsi="Segoe UI" w:cs="Segoe UI"/>
          <w:kern w:val="0"/>
          <w:sz w:val="24"/>
          <w:szCs w:val="24"/>
          <w:lang w:eastAsia="es-ES"/>
          <w14:ligatures w14:val="none"/>
        </w:rPr>
        <w:lastRenderedPageBreak/>
        <w:t>uno para cada remuestreo, se aplican a los DPS de prueba estimados como se describe en la Sección 4.4 para calcular las probabilidades posteriores de las etiquetas clínicas. El modelo propuesto logra un AUC de 0.931 ± 0.004 en la clasificación del estado clínico de los sujetos de prueba del ADNI por visita, lo que revela el efecto del modelado en el rendimiento de clasificación.</w:t>
      </w:r>
    </w:p>
    <w:p w14:paraId="6B30ACFB" w14:textId="77777777" w:rsidR="00BB6E57" w:rsidRP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kern w:val="0"/>
          <w:sz w:val="24"/>
          <w:szCs w:val="24"/>
          <w:lang w:eastAsia="es-ES"/>
          <w14:ligatures w14:val="none"/>
        </w:rPr>
        <w:t>Las probabilidades posteriores obtenidas de los diferentes clasificadores se pueden combinar utilizando técnicas de aprendizaje conjunto para mejorar potencialmente el rendimiento de predicción y la robustez (Kuncheva, 2014). Por ejemplo, fusionando los posteriores basados en tomar el promedio de los posteriores dentro de la clase sobre un conjunto de modelos de diferentes remuestreos (bagging), el AUC del método propuesto aumenta a 0.934.</w:t>
      </w:r>
    </w:p>
    <w:p w14:paraId="6965E7DE" w14:textId="77777777" w:rsid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b/>
          <w:bCs/>
          <w:kern w:val="0"/>
          <w:sz w:val="30"/>
          <w:szCs w:val="30"/>
          <w:lang w:eastAsia="es-ES"/>
          <w14:ligatures w14:val="none"/>
        </w:rPr>
        <w:t>4.6. Comparación con resultados de vanguardia</w:t>
      </w:r>
      <w:r w:rsidRPr="00BB6E57">
        <w:rPr>
          <w:rFonts w:ascii="Segoe UI" w:eastAsia="Times New Roman" w:hAnsi="Segoe UI" w:cs="Segoe UI"/>
          <w:kern w:val="0"/>
          <w:sz w:val="24"/>
          <w:szCs w:val="24"/>
          <w:lang w:eastAsia="es-ES"/>
          <w14:ligatures w14:val="none"/>
        </w:rPr>
        <w:t xml:space="preserve"> </w:t>
      </w:r>
    </w:p>
    <w:p w14:paraId="456904EE" w14:textId="5083BFE7" w:rsidR="00BB6E57" w:rsidRP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kern w:val="0"/>
          <w:sz w:val="24"/>
          <w:szCs w:val="24"/>
          <w:lang w:eastAsia="es-ES"/>
          <w14:ligatures w14:val="none"/>
        </w:rPr>
        <w:t>Para comparar justamente nuestros resultados con los de los métodos de vanguardia, aplicamos el método propuesto a los subconjuntos de entrenamiento y prueba de TADPOLE de D1 y D2 utilizando los mismos 16 biomarcadores del ADNI. El modelo propuesto logra un AUC promedio de 0.937, que está a la par con el mejor rendimiento de TADPOLE con un AUC promedio de 0.931 (Marinescu et al., 2020). Además, nuestro MAE promedio obtenido de 3.93 para ADAS-13 supera el mejor resultado reportado con un MAE promedio de 4.70. Sin embargo, el modelo propuesto no funciona bien en los ventrículos normalizados en comparación con el mejor resultado reportado con un MAE promedio de 0.0086 vs. 0.0041.</w:t>
      </w:r>
    </w:p>
    <w:p w14:paraId="68EF0017" w14:textId="77777777" w:rsidR="00BB6E57" w:rsidRP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kern w:val="0"/>
          <w:sz w:val="24"/>
          <w:szCs w:val="24"/>
          <w:lang w:eastAsia="es-ES"/>
          <w14:ligatures w14:val="none"/>
        </w:rPr>
        <w:t xml:space="preserve">A continuación, empleamos las mismas divisiones de datos y biomarcadores del ADNI utilizados por Bilgel y Jedynak (2019) y realizamos una comparación directa con los resultados reportados en el estudio mencionado anteriormente. Esto también permite una comparación directa con Li et al. (2019) y Lorenzi et al. (2017) basada en sus resultados reportados por Bilgel y Jedynak (2019). Para hacerlo, las trayectorias de los biomarcadores deben describirse como una función del tiempo desde la conversión a AD. Por lo tanto, inspirados en Bilgel y Jedynak (2019), seleccionamos cualquier sujeto que se convierta en AD y calculamos el tiempo desde la conversión a AD utilizando la diferencia entre la edad de visita y la edad en la que se diagnostica el primer estado de AD. Los DPS correspondientes se asignan luego a los tiempos obtenidos desde la conversión a AD de los sujetos seleccionados utilizando un modelo de regresión lineal. Estas estimaciones luego se pueden usar para calcular el tiempo desde la conversión a AD para cualquier visita de sujetos utilizando los DPS estimados. Dado que el tiempo desde la conversión a AD es una función lineal de DPS, es decir, mˆ 0 + ˆm1si,j , podemos ajustar los parámetros del biomarcador como bk = bk/mˆ1 y ck = ˆm0 + ˆm1ck para obtener trayectorias de biomarcadores </w:t>
      </w:r>
      <w:r w:rsidRPr="00BB6E57">
        <w:rPr>
          <w:rFonts w:ascii="Segoe UI" w:eastAsia="Times New Roman" w:hAnsi="Segoe UI" w:cs="Segoe UI"/>
          <w:kern w:val="0"/>
          <w:sz w:val="24"/>
          <w:szCs w:val="24"/>
          <w:lang w:eastAsia="es-ES"/>
          <w14:ligatures w14:val="none"/>
        </w:rPr>
        <w:lastRenderedPageBreak/>
        <w:t>como una función del tiempo desde la conversión a AD. Los resultados obtenidos indican que el modelo propuesto supera a Bilgel y Jedynak (2019) con un error cuadrático medio de 0.68 vs. 1.48; sin embargo, tiene un error absoluto máximo más grande (4.20 vs. 3.79).</w:t>
      </w:r>
    </w:p>
    <w:p w14:paraId="2C2EEC10" w14:textId="77777777" w:rsid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b/>
          <w:bCs/>
          <w:kern w:val="0"/>
          <w:sz w:val="30"/>
          <w:szCs w:val="30"/>
          <w:lang w:eastAsia="es-ES"/>
          <w14:ligatures w14:val="none"/>
        </w:rPr>
      </w:pPr>
      <w:r w:rsidRPr="00BB6E57">
        <w:rPr>
          <w:rFonts w:ascii="Segoe UI" w:eastAsia="Times New Roman" w:hAnsi="Segoe UI" w:cs="Segoe UI"/>
          <w:b/>
          <w:bCs/>
          <w:kern w:val="0"/>
          <w:sz w:val="30"/>
          <w:szCs w:val="30"/>
          <w:lang w:eastAsia="es-ES"/>
          <w14:ligatures w14:val="none"/>
        </w:rPr>
        <w:t>4.7. Generalizabilidad entre cohortes</w:t>
      </w:r>
    </w:p>
    <w:p w14:paraId="33E36632" w14:textId="057D1F85" w:rsidR="00BB6E57" w:rsidRPr="00BB6E57" w:rsidRDefault="00BB6E57" w:rsidP="00BB6E57">
      <w:pPr>
        <w:pBdr>
          <w:top w:val="single" w:sz="2" w:space="0" w:color="E3E3E3"/>
          <w:left w:val="single" w:sz="2" w:space="14" w:color="E3E3E3"/>
          <w:bottom w:val="single" w:sz="2" w:space="0" w:color="E3E3E3"/>
          <w:right w:val="single" w:sz="2" w:space="0" w:color="E3E3E3"/>
        </w:pBdr>
        <w:spacing w:before="300" w:after="30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kern w:val="0"/>
          <w:sz w:val="24"/>
          <w:szCs w:val="24"/>
          <w:lang w:eastAsia="es-ES"/>
          <w14:ligatures w14:val="none"/>
        </w:rPr>
        <w:t xml:space="preserve"> Como conjunto final de experimentos, se evalúa la generalizabilidad del modelo propuesto a una cohorte independiente utilizando los datos de NACC. Primero, se aplica la misma configuración de función logística y M-estimador, es decir, el Stannard modificado y la pérdida logística, para modelar la progresión de AD dentro de NACC. La Figura 7 muestra los biomarcadores de NACC modelados para 100 remuestreos. En segundo lugar, el modelo óptimo previamente entrenado en ADNI se utiliza para predecir las mediciones de prueba de NACC utilizando las estimaciones de los biomarcadores comunes de ADNI-NACC, es decir, CDR-SB, MMSE, FAQ, MOCA, hipocampo y todo el cerebro. La Tabla 6 compara el rendimiento del modelado de los modelos entrenados en ADNI y NACC aplicados al conjunto de prueba de NACC. Como se puede notar a partir de los resultados obtenidos, la configuración previamente seleccionada para entrenar los datos de ADNI también es una buena elección cuando se aplica a los datos de NACC. Además, el modelo propuesto supera significativamente (p &lt; 0.001) al modelo análogo de Jedynak et al. (2015) en todos los casos. Además, el rendimiento de modelado del método propuesto degrada menos que el del modelo análogo de Jedynak et al. (2015) al aplicar el modelo entrenado en ADNI al conjunto de prueba de NACC, lo que indica la generalizabilidad del método propuesto entre cohortes. También debe tenerse en cuenta que el subconjunto de NACC utilizado tiene menos biomarcadores y mediciones que el subconjunto de ADNI utilizado, lo que probablemente sea la razón por la cual da como resultado un error de modelado dentro del cohorte más pequeño.</w:t>
      </w:r>
    </w:p>
    <w:p w14:paraId="35D45EF6" w14:textId="77777777" w:rsidR="00BB6E57" w:rsidRPr="00BB6E57" w:rsidRDefault="00BB6E57" w:rsidP="00BB6E57">
      <w:pPr>
        <w:pBdr>
          <w:top w:val="single" w:sz="2" w:space="0" w:color="E3E3E3"/>
          <w:left w:val="single" w:sz="2" w:space="14" w:color="E3E3E3"/>
          <w:bottom w:val="single" w:sz="2" w:space="0" w:color="E3E3E3"/>
          <w:right w:val="single" w:sz="2" w:space="0" w:color="E3E3E3"/>
        </w:pBdr>
        <w:spacing w:before="300" w:after="0" w:line="240" w:lineRule="auto"/>
        <w:rPr>
          <w:rFonts w:ascii="Segoe UI" w:eastAsia="Times New Roman" w:hAnsi="Segoe UI" w:cs="Segoe UI"/>
          <w:kern w:val="0"/>
          <w:sz w:val="24"/>
          <w:szCs w:val="24"/>
          <w:lang w:eastAsia="es-ES"/>
          <w14:ligatures w14:val="none"/>
        </w:rPr>
      </w:pPr>
      <w:r w:rsidRPr="00BB6E57">
        <w:rPr>
          <w:rFonts w:ascii="Segoe UI" w:eastAsia="Times New Roman" w:hAnsi="Segoe UI" w:cs="Segoe UI"/>
          <w:kern w:val="0"/>
          <w:sz w:val="24"/>
          <w:szCs w:val="24"/>
          <w:lang w:eastAsia="es-ES"/>
          <w14:ligatures w14:val="none"/>
        </w:rPr>
        <w:t>También aplicamos los clasificadores entrenados en ADNI y NACC a los DPS de prueba estimados para clasificar el estado clínico por sujeto por visita. El método propuesto logra AUC de 0.929 ± 0.012 y 0.928 ± 0.016, respectivamente. Esto revela que el rendimiento del diagnóstico mejora cuando se aplica el modelo entrenado en ADNI al conjunto de prueba de NACC.</w:t>
      </w:r>
    </w:p>
    <w:p w14:paraId="5D4475D8" w14:textId="77777777" w:rsidR="00FD6A51" w:rsidRDefault="00FD6A51" w:rsidP="00FD6A51"/>
    <w:p w14:paraId="44D662BF" w14:textId="77777777" w:rsidR="00FD6A51" w:rsidRDefault="00FD6A51" w:rsidP="00FD6A51"/>
    <w:p w14:paraId="4013052C" w14:textId="77777777" w:rsidR="00FD6A51" w:rsidRDefault="00FD6A51" w:rsidP="00FD6A51"/>
    <w:p w14:paraId="66F33DB9" w14:textId="388AA8F0" w:rsidR="00FD6A51" w:rsidRPr="00DE523A" w:rsidRDefault="00DE523A" w:rsidP="00FD6A51">
      <w:pPr>
        <w:rPr>
          <w:sz w:val="60"/>
          <w:szCs w:val="60"/>
          <w:u w:val="single"/>
        </w:rPr>
      </w:pPr>
      <w:r w:rsidRPr="00DE523A">
        <w:rPr>
          <w:sz w:val="60"/>
          <w:szCs w:val="60"/>
          <w:u w:val="single"/>
        </w:rPr>
        <w:t>RESUMEN</w:t>
      </w:r>
    </w:p>
    <w:p w14:paraId="73303E80" w14:textId="77777777" w:rsidR="00F45CB7" w:rsidRDefault="00FD6A51" w:rsidP="00DE523A">
      <w:pPr>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lastRenderedPageBreak/>
        <w:t xml:space="preserve">El artículo proporciona una visión general del modelado de la progresión de la enfermedad de Alzheimer (EA), destacando la importancia del diagnóstico temprano y la necesidad de métodos precisos para identificar a las personas en riesgo. Se describen </w:t>
      </w:r>
      <w:r w:rsidRPr="00DE523A">
        <w:rPr>
          <w:rFonts w:ascii="Segoe UI" w:eastAsia="Times New Roman" w:hAnsi="Segoe UI" w:cs="Segoe UI"/>
          <w:kern w:val="0"/>
          <w:sz w:val="24"/>
          <w:szCs w:val="24"/>
          <w:highlight w:val="yellow"/>
          <w:lang w:eastAsia="es-ES"/>
          <w14:ligatures w14:val="none"/>
        </w:rPr>
        <w:t>métodos paramétricos y no paramétricos</w:t>
      </w:r>
      <w:r w:rsidRPr="00DE523A">
        <w:rPr>
          <w:rFonts w:ascii="Segoe UI" w:eastAsia="Times New Roman" w:hAnsi="Segoe UI" w:cs="Segoe UI"/>
          <w:kern w:val="0"/>
          <w:sz w:val="24"/>
          <w:szCs w:val="24"/>
          <w:lang w:eastAsia="es-ES"/>
          <w14:ligatures w14:val="none"/>
        </w:rPr>
        <w:t xml:space="preserve"> para modelar la progresión de la enfermedad, centrándose en el </w:t>
      </w:r>
      <w:r w:rsidRPr="00F45CB7">
        <w:rPr>
          <w:rFonts w:ascii="Segoe UI" w:eastAsia="Times New Roman" w:hAnsi="Segoe UI" w:cs="Segoe UI"/>
          <w:kern w:val="0"/>
          <w:sz w:val="24"/>
          <w:szCs w:val="24"/>
          <w:u w:val="single"/>
          <w:lang w:eastAsia="es-ES"/>
          <w14:ligatures w14:val="none"/>
        </w:rPr>
        <w:t>ajuste continuo de las dinámicas de los biomarcadores</w:t>
      </w:r>
      <w:r w:rsidRPr="00DE523A">
        <w:rPr>
          <w:rFonts w:ascii="Segoe UI" w:eastAsia="Times New Roman" w:hAnsi="Segoe UI" w:cs="Segoe UI"/>
          <w:kern w:val="0"/>
          <w:sz w:val="24"/>
          <w:szCs w:val="24"/>
          <w:lang w:eastAsia="es-ES"/>
          <w14:ligatures w14:val="none"/>
        </w:rPr>
        <w:t xml:space="preserve">. </w:t>
      </w:r>
    </w:p>
    <w:p w14:paraId="08FC3B7E" w14:textId="296718D4" w:rsidR="00BB6E57" w:rsidRPr="00DE523A" w:rsidRDefault="00FD6A51" w:rsidP="00DE523A">
      <w:pPr>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t xml:space="preserve">Se propone un </w:t>
      </w:r>
      <w:r w:rsidRPr="00F45CB7">
        <w:rPr>
          <w:rFonts w:ascii="Segoe UI" w:eastAsia="Times New Roman" w:hAnsi="Segoe UI" w:cs="Segoe UI"/>
          <w:kern w:val="0"/>
          <w:sz w:val="24"/>
          <w:szCs w:val="24"/>
          <w:highlight w:val="yellow"/>
          <w:lang w:eastAsia="es-ES"/>
          <w14:ligatures w14:val="none"/>
        </w:rPr>
        <w:t>algoritmo paramétrico</w:t>
      </w:r>
      <w:r w:rsidRPr="00DE523A">
        <w:rPr>
          <w:rFonts w:ascii="Segoe UI" w:eastAsia="Times New Roman" w:hAnsi="Segoe UI" w:cs="Segoe UI"/>
          <w:kern w:val="0"/>
          <w:sz w:val="24"/>
          <w:szCs w:val="24"/>
          <w:lang w:eastAsia="es-ES"/>
          <w14:ligatures w14:val="none"/>
        </w:rPr>
        <w:t xml:space="preserve"> que utiliza la </w:t>
      </w:r>
      <w:r w:rsidRPr="00F45CB7">
        <w:rPr>
          <w:rFonts w:ascii="Segoe UI" w:eastAsia="Times New Roman" w:hAnsi="Segoe UI" w:cs="Segoe UI"/>
          <w:kern w:val="0"/>
          <w:sz w:val="24"/>
          <w:szCs w:val="24"/>
          <w:u w:val="single"/>
          <w:lang w:eastAsia="es-ES"/>
          <w14:ligatures w14:val="none"/>
        </w:rPr>
        <w:t>edad del individuo para alinear las mediciones de los biomarcadores en una escala de progresión de la enfermedad común.</w:t>
      </w:r>
      <w:r w:rsidRPr="00DE523A">
        <w:rPr>
          <w:rFonts w:ascii="Segoe UI" w:eastAsia="Times New Roman" w:hAnsi="Segoe UI" w:cs="Segoe UI"/>
          <w:kern w:val="0"/>
          <w:sz w:val="24"/>
          <w:szCs w:val="24"/>
          <w:lang w:eastAsia="es-ES"/>
          <w14:ligatures w14:val="none"/>
        </w:rPr>
        <w:t xml:space="preserve"> Además, se presenta una extensión robusta de este algoritmo que utiliza M-estimación para abordar problemas de ajuste, como valores atípicos, y se evalúa su rendimiento utilizando datos de la Iniciativa de Neuroimagen de la Enfermedad de Alzheimer (ADNI) y el Centro Nacional de Coordinación del Alzheimer (NACC). La función modificada propuesta, llamada </w:t>
      </w:r>
      <w:proofErr w:type="spellStart"/>
      <w:r w:rsidRPr="00323138">
        <w:rPr>
          <w:rFonts w:ascii="Segoe UI" w:eastAsia="Times New Roman" w:hAnsi="Segoe UI" w:cs="Segoe UI"/>
          <w:kern w:val="0"/>
          <w:sz w:val="24"/>
          <w:szCs w:val="24"/>
          <w:u w:val="single"/>
          <w:lang w:eastAsia="es-ES"/>
          <w14:ligatures w14:val="none"/>
        </w:rPr>
        <w:t>Stannard</w:t>
      </w:r>
      <w:proofErr w:type="spellEnd"/>
      <w:r w:rsidRPr="00323138">
        <w:rPr>
          <w:rFonts w:ascii="Segoe UI" w:eastAsia="Times New Roman" w:hAnsi="Segoe UI" w:cs="Segoe UI"/>
          <w:kern w:val="0"/>
          <w:sz w:val="24"/>
          <w:szCs w:val="24"/>
          <w:u w:val="single"/>
          <w:lang w:eastAsia="es-ES"/>
          <w14:ligatures w14:val="none"/>
        </w:rPr>
        <w:t xml:space="preserve"> modificada</w:t>
      </w:r>
      <w:r w:rsidRPr="00DE523A">
        <w:rPr>
          <w:rFonts w:ascii="Segoe UI" w:eastAsia="Times New Roman" w:hAnsi="Segoe UI" w:cs="Segoe UI"/>
          <w:kern w:val="0"/>
          <w:sz w:val="24"/>
          <w:szCs w:val="24"/>
          <w:lang w:eastAsia="es-ES"/>
          <w14:ligatures w14:val="none"/>
        </w:rPr>
        <w:t>, muestra un mejor rendimiento en comparación con otros enfoques y se destaca por su capacidad de generalización a través de cohortes y su aplicación holística en la investigación y aplicaciones clínicas.</w:t>
      </w:r>
    </w:p>
    <w:p w14:paraId="6F1BEA5F" w14:textId="77777777" w:rsidR="00BB6E57" w:rsidRPr="00DE523A" w:rsidRDefault="00BB6E57" w:rsidP="00DE523A">
      <w:pPr>
        <w:jc w:val="both"/>
        <w:rPr>
          <w:rFonts w:ascii="Segoe UI" w:hAnsi="Segoe UI" w:cs="Segoe UI"/>
          <w:shd w:val="clear" w:color="auto" w:fill="212121"/>
        </w:rPr>
      </w:pPr>
    </w:p>
    <w:p w14:paraId="03D1EB23" w14:textId="77777777" w:rsidR="00D70CAB" w:rsidRPr="00DE523A" w:rsidRDefault="00D70CAB" w:rsidP="00DE523A">
      <w:pPr>
        <w:pBdr>
          <w:top w:val="single" w:sz="2" w:space="0" w:color="E3E3E3"/>
          <w:left w:val="single" w:sz="2" w:space="0" w:color="E3E3E3"/>
          <w:bottom w:val="single" w:sz="2" w:space="0" w:color="E3E3E3"/>
          <w:right w:val="single" w:sz="2" w:space="0" w:color="E3E3E3"/>
        </w:pBdr>
        <w:spacing w:after="30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t xml:space="preserve">El artículo presenta un </w:t>
      </w:r>
      <w:r w:rsidRPr="00323138">
        <w:rPr>
          <w:rFonts w:ascii="Segoe UI" w:eastAsia="Times New Roman" w:hAnsi="Segoe UI" w:cs="Segoe UI"/>
          <w:kern w:val="0"/>
          <w:sz w:val="24"/>
          <w:szCs w:val="24"/>
          <w:highlight w:val="yellow"/>
          <w:lang w:eastAsia="es-ES"/>
          <w14:ligatures w14:val="none"/>
        </w:rPr>
        <w:t>método para modelar la progresión de la enfermedad de Alzheime</w:t>
      </w:r>
      <w:r w:rsidRPr="00DE523A">
        <w:rPr>
          <w:rFonts w:ascii="Segoe UI" w:eastAsia="Times New Roman" w:hAnsi="Segoe UI" w:cs="Segoe UI"/>
          <w:kern w:val="0"/>
          <w:sz w:val="24"/>
          <w:szCs w:val="24"/>
          <w:lang w:eastAsia="es-ES"/>
          <w14:ligatures w14:val="none"/>
        </w:rPr>
        <w:t xml:space="preserve">r (EA) utilizando datos longitudinales de biomarcadores, con el objetivo de </w:t>
      </w:r>
      <w:r w:rsidRPr="00323138">
        <w:rPr>
          <w:rFonts w:ascii="Segoe UI" w:eastAsia="Times New Roman" w:hAnsi="Segoe UI" w:cs="Segoe UI"/>
          <w:kern w:val="0"/>
          <w:sz w:val="24"/>
          <w:szCs w:val="24"/>
          <w:u w:val="single"/>
          <w:lang w:eastAsia="es-ES"/>
          <w14:ligatures w14:val="none"/>
        </w:rPr>
        <w:t>minimizar errores</w:t>
      </w:r>
      <w:r w:rsidRPr="00DE523A">
        <w:rPr>
          <w:rFonts w:ascii="Segoe UI" w:eastAsia="Times New Roman" w:hAnsi="Segoe UI" w:cs="Segoe UI"/>
          <w:kern w:val="0"/>
          <w:sz w:val="24"/>
          <w:szCs w:val="24"/>
          <w:lang w:eastAsia="es-ES"/>
          <w14:ligatures w14:val="none"/>
        </w:rPr>
        <w:t xml:space="preserve"> y hacer que las </w:t>
      </w:r>
      <w:r w:rsidRPr="00323138">
        <w:rPr>
          <w:rFonts w:ascii="Segoe UI" w:eastAsia="Times New Roman" w:hAnsi="Segoe UI" w:cs="Segoe UI"/>
          <w:kern w:val="0"/>
          <w:sz w:val="24"/>
          <w:szCs w:val="24"/>
          <w:u w:val="single"/>
          <w:lang w:eastAsia="es-ES"/>
          <w14:ligatures w14:val="none"/>
        </w:rPr>
        <w:t>estimaciones sean estables</w:t>
      </w:r>
      <w:r w:rsidRPr="00DE523A">
        <w:rPr>
          <w:rFonts w:ascii="Segoe UI" w:eastAsia="Times New Roman" w:hAnsi="Segoe UI" w:cs="Segoe UI"/>
          <w:kern w:val="0"/>
          <w:sz w:val="24"/>
          <w:szCs w:val="24"/>
          <w:lang w:eastAsia="es-ES"/>
          <w14:ligatures w14:val="none"/>
        </w:rPr>
        <w:t xml:space="preserve"> y robustas ante valores atípicos.</w:t>
      </w:r>
    </w:p>
    <w:p w14:paraId="2736631A" w14:textId="77777777" w:rsidR="00D70CAB" w:rsidRPr="00DE523A" w:rsidRDefault="00D70CAB" w:rsidP="00DE523A">
      <w:pPr>
        <w:pBdr>
          <w:top w:val="single" w:sz="2" w:space="0" w:color="E3E3E3"/>
          <w:left w:val="single" w:sz="2" w:space="0" w:color="E3E3E3"/>
          <w:bottom w:val="single" w:sz="2" w:space="0" w:color="E3E3E3"/>
          <w:right w:val="single" w:sz="2" w:space="0" w:color="E3E3E3"/>
        </w:pBdr>
        <w:spacing w:before="300" w:after="30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b/>
          <w:bCs/>
          <w:kern w:val="0"/>
          <w:sz w:val="24"/>
          <w:szCs w:val="24"/>
          <w:bdr w:val="single" w:sz="2" w:space="0" w:color="E3E3E3" w:frame="1"/>
          <w:lang w:eastAsia="es-ES"/>
          <w14:ligatures w14:val="none"/>
        </w:rPr>
        <w:t>Componentes principales del método:</w:t>
      </w:r>
    </w:p>
    <w:p w14:paraId="6C849790" w14:textId="5A23DCED" w:rsidR="00D70CAB" w:rsidRPr="00DE523A" w:rsidRDefault="00D70CAB" w:rsidP="00DE523A">
      <w:pPr>
        <w:numPr>
          <w:ilvl w:val="0"/>
          <w:numId w:val="1"/>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b/>
          <w:bCs/>
          <w:kern w:val="0"/>
          <w:sz w:val="24"/>
          <w:szCs w:val="24"/>
          <w:bdr w:val="single" w:sz="2" w:space="0" w:color="E3E3E3" w:frame="1"/>
          <w:lang w:eastAsia="es-ES"/>
          <w14:ligatures w14:val="none"/>
        </w:rPr>
        <w:t>Modelado de la dinámica de los biomarcadores:</w:t>
      </w:r>
      <w:r w:rsidR="00323138">
        <w:rPr>
          <w:rFonts w:ascii="Segoe UI" w:eastAsia="Times New Roman" w:hAnsi="Segoe UI" w:cs="Segoe UI"/>
          <w:b/>
          <w:bCs/>
          <w:kern w:val="0"/>
          <w:sz w:val="24"/>
          <w:szCs w:val="24"/>
          <w:bdr w:val="single" w:sz="2" w:space="0" w:color="E3E3E3" w:frame="1"/>
          <w:lang w:eastAsia="es-ES"/>
          <w14:ligatures w14:val="none"/>
        </w:rPr>
        <w:t xml:space="preserve">  FIT</w:t>
      </w:r>
    </w:p>
    <w:p w14:paraId="35B75537" w14:textId="77777777" w:rsidR="00D70CAB" w:rsidRPr="00323138" w:rsidRDefault="00D70CAB" w:rsidP="00DE523A">
      <w:pPr>
        <w:numPr>
          <w:ilvl w:val="1"/>
          <w:numId w:val="1"/>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u w:val="single"/>
          <w:lang w:eastAsia="es-ES"/>
          <w14:ligatures w14:val="none"/>
        </w:rPr>
      </w:pPr>
      <w:r w:rsidRPr="00323138">
        <w:rPr>
          <w:rFonts w:ascii="Segoe UI" w:eastAsia="Times New Roman" w:hAnsi="Segoe UI" w:cs="Segoe UI"/>
          <w:kern w:val="0"/>
          <w:sz w:val="24"/>
          <w:szCs w:val="24"/>
          <w:u w:val="single"/>
          <w:lang w:eastAsia="es-ES"/>
          <w14:ligatures w14:val="none"/>
        </w:rPr>
        <w:t>Estimación</w:t>
      </w:r>
      <w:r w:rsidRPr="00DE523A">
        <w:rPr>
          <w:rFonts w:ascii="Segoe UI" w:eastAsia="Times New Roman" w:hAnsi="Segoe UI" w:cs="Segoe UI"/>
          <w:kern w:val="0"/>
          <w:sz w:val="24"/>
          <w:szCs w:val="24"/>
          <w:lang w:eastAsia="es-ES"/>
          <w14:ligatures w14:val="none"/>
        </w:rPr>
        <w:t xml:space="preserve"> de </w:t>
      </w:r>
      <w:r w:rsidRPr="00323138">
        <w:rPr>
          <w:rFonts w:ascii="Segoe UI" w:eastAsia="Times New Roman" w:hAnsi="Segoe UI" w:cs="Segoe UI"/>
          <w:kern w:val="0"/>
          <w:sz w:val="24"/>
          <w:szCs w:val="24"/>
          <w:u w:val="single"/>
          <w:lang w:eastAsia="es-ES"/>
          <w14:ligatures w14:val="none"/>
        </w:rPr>
        <w:t>parámetros específicos de biomarcadores</w:t>
      </w:r>
      <w:r w:rsidRPr="00DE523A">
        <w:rPr>
          <w:rFonts w:ascii="Segoe UI" w:eastAsia="Times New Roman" w:hAnsi="Segoe UI" w:cs="Segoe UI"/>
          <w:kern w:val="0"/>
          <w:sz w:val="24"/>
          <w:szCs w:val="24"/>
          <w:lang w:eastAsia="es-ES"/>
          <w14:ligatures w14:val="none"/>
        </w:rPr>
        <w:t xml:space="preserve"> observados y </w:t>
      </w:r>
      <w:r w:rsidRPr="00323138">
        <w:rPr>
          <w:rFonts w:ascii="Segoe UI" w:eastAsia="Times New Roman" w:hAnsi="Segoe UI" w:cs="Segoe UI"/>
          <w:kern w:val="0"/>
          <w:sz w:val="24"/>
          <w:szCs w:val="24"/>
          <w:u w:val="single"/>
          <w:lang w:eastAsia="es-ES"/>
          <w14:ligatures w14:val="none"/>
        </w:rPr>
        <w:t>parámetros ocultos</w:t>
      </w:r>
      <w:r w:rsidRPr="00DE523A">
        <w:rPr>
          <w:rFonts w:ascii="Segoe UI" w:eastAsia="Times New Roman" w:hAnsi="Segoe UI" w:cs="Segoe UI"/>
          <w:kern w:val="0"/>
          <w:sz w:val="24"/>
          <w:szCs w:val="24"/>
          <w:lang w:eastAsia="es-ES"/>
          <w14:ligatures w14:val="none"/>
        </w:rPr>
        <w:t xml:space="preserve"> relacionados con el </w:t>
      </w:r>
      <w:r w:rsidRPr="00323138">
        <w:rPr>
          <w:rFonts w:ascii="Segoe UI" w:eastAsia="Times New Roman" w:hAnsi="Segoe UI" w:cs="Segoe UI"/>
          <w:kern w:val="0"/>
          <w:sz w:val="24"/>
          <w:szCs w:val="24"/>
          <w:u w:val="single"/>
          <w:lang w:eastAsia="es-ES"/>
          <w14:ligatures w14:val="none"/>
        </w:rPr>
        <w:t>progreso de la enfermedad y la edad.</w:t>
      </w:r>
    </w:p>
    <w:p w14:paraId="554CFA04" w14:textId="77777777" w:rsidR="00D70CAB" w:rsidRPr="00DE523A" w:rsidRDefault="00D70CAB" w:rsidP="00DE523A">
      <w:pPr>
        <w:numPr>
          <w:ilvl w:val="1"/>
          <w:numId w:val="1"/>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t xml:space="preserve">Se ajustan varias </w:t>
      </w:r>
      <w:r w:rsidRPr="00323138">
        <w:rPr>
          <w:rFonts w:ascii="Segoe UI" w:eastAsia="Times New Roman" w:hAnsi="Segoe UI" w:cs="Segoe UI"/>
          <w:kern w:val="0"/>
          <w:sz w:val="24"/>
          <w:szCs w:val="24"/>
          <w:u w:val="single"/>
          <w:lang w:eastAsia="es-ES"/>
          <w14:ligatures w14:val="none"/>
        </w:rPr>
        <w:t>funciones logísticas</w:t>
      </w:r>
      <w:r w:rsidRPr="00DE523A">
        <w:rPr>
          <w:rFonts w:ascii="Segoe UI" w:eastAsia="Times New Roman" w:hAnsi="Segoe UI" w:cs="Segoe UI"/>
          <w:kern w:val="0"/>
          <w:sz w:val="24"/>
          <w:szCs w:val="24"/>
          <w:lang w:eastAsia="es-ES"/>
          <w14:ligatures w14:val="none"/>
        </w:rPr>
        <w:t xml:space="preserve"> a las trayectorias longitudinales de los biomarcadores.</w:t>
      </w:r>
    </w:p>
    <w:p w14:paraId="05205FE5" w14:textId="40144403" w:rsidR="00D70CAB" w:rsidRPr="00DE523A" w:rsidRDefault="00D70CAB" w:rsidP="00DE523A">
      <w:pPr>
        <w:numPr>
          <w:ilvl w:val="0"/>
          <w:numId w:val="1"/>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b/>
          <w:bCs/>
          <w:kern w:val="0"/>
          <w:sz w:val="24"/>
          <w:szCs w:val="24"/>
          <w:bdr w:val="single" w:sz="2" w:space="0" w:color="E3E3E3" w:frame="1"/>
          <w:lang w:eastAsia="es-ES"/>
          <w14:ligatures w14:val="none"/>
        </w:rPr>
        <w:t>Ajuste del modelo:</w:t>
      </w:r>
      <w:r w:rsidR="00323138">
        <w:rPr>
          <w:rFonts w:ascii="Segoe UI" w:eastAsia="Times New Roman" w:hAnsi="Segoe UI" w:cs="Segoe UI"/>
          <w:b/>
          <w:bCs/>
          <w:kern w:val="0"/>
          <w:sz w:val="24"/>
          <w:szCs w:val="24"/>
          <w:bdr w:val="single" w:sz="2" w:space="0" w:color="E3E3E3" w:frame="1"/>
          <w:lang w:eastAsia="es-ES"/>
          <w14:ligatures w14:val="none"/>
        </w:rPr>
        <w:t xml:space="preserve"> PERSONALIZACION </w:t>
      </w:r>
    </w:p>
    <w:p w14:paraId="460B9202" w14:textId="77777777" w:rsidR="00D70CAB" w:rsidRPr="00DE523A" w:rsidRDefault="00D70CAB" w:rsidP="00DE523A">
      <w:pPr>
        <w:numPr>
          <w:ilvl w:val="1"/>
          <w:numId w:val="1"/>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t>Se utiliza un enfoque alternativo para ajustar el modelo de manera eficiente.</w:t>
      </w:r>
    </w:p>
    <w:p w14:paraId="44ED2AF2" w14:textId="77777777" w:rsidR="00D70CAB" w:rsidRPr="00DE523A" w:rsidRDefault="00D70CAB" w:rsidP="00DE523A">
      <w:pPr>
        <w:numPr>
          <w:ilvl w:val="1"/>
          <w:numId w:val="1"/>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t>Se aplican estimadores M para reducir el impacto de los valores atípicos.</w:t>
      </w:r>
    </w:p>
    <w:p w14:paraId="5995660C" w14:textId="484D20A3" w:rsidR="00D70CAB" w:rsidRPr="00DE523A" w:rsidRDefault="00D70CAB" w:rsidP="00DE523A">
      <w:pPr>
        <w:numPr>
          <w:ilvl w:val="0"/>
          <w:numId w:val="1"/>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b/>
          <w:bCs/>
          <w:kern w:val="0"/>
          <w:sz w:val="24"/>
          <w:szCs w:val="24"/>
          <w:bdr w:val="single" w:sz="2" w:space="0" w:color="E3E3E3" w:frame="1"/>
          <w:lang w:eastAsia="es-ES"/>
          <w14:ligatures w14:val="none"/>
        </w:rPr>
        <w:t>Predicción de valores de biomarcadores:</w:t>
      </w:r>
      <w:r w:rsidR="00323138">
        <w:rPr>
          <w:rFonts w:ascii="Segoe UI" w:eastAsia="Times New Roman" w:hAnsi="Segoe UI" w:cs="Segoe UI"/>
          <w:b/>
          <w:bCs/>
          <w:kern w:val="0"/>
          <w:sz w:val="24"/>
          <w:szCs w:val="24"/>
          <w:bdr w:val="single" w:sz="2" w:space="0" w:color="E3E3E3" w:frame="1"/>
          <w:lang w:eastAsia="es-ES"/>
          <w14:ligatures w14:val="none"/>
        </w:rPr>
        <w:t xml:space="preserve"> RECCONTRUCCION</w:t>
      </w:r>
    </w:p>
    <w:p w14:paraId="5378B5EC" w14:textId="77777777" w:rsidR="00D70CAB" w:rsidRPr="00DE523A" w:rsidRDefault="00D70CAB" w:rsidP="00DE523A">
      <w:pPr>
        <w:numPr>
          <w:ilvl w:val="1"/>
          <w:numId w:val="1"/>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t>Se desarrolla un método para predecir los valores de los biomarcadores utilizando los parámetros del modelo ajustado.</w:t>
      </w:r>
    </w:p>
    <w:p w14:paraId="58E7F739" w14:textId="6AC28359" w:rsidR="00D70CAB" w:rsidRPr="00DE523A" w:rsidRDefault="00D70CAB" w:rsidP="00DE523A">
      <w:pPr>
        <w:numPr>
          <w:ilvl w:val="0"/>
          <w:numId w:val="1"/>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b/>
          <w:bCs/>
          <w:kern w:val="0"/>
          <w:sz w:val="24"/>
          <w:szCs w:val="24"/>
          <w:bdr w:val="single" w:sz="2" w:space="0" w:color="E3E3E3" w:frame="1"/>
          <w:lang w:eastAsia="es-ES"/>
          <w14:ligatures w14:val="none"/>
        </w:rPr>
        <w:t>Clasificación del estado clínico</w:t>
      </w:r>
      <w:r w:rsidR="00323138">
        <w:rPr>
          <w:rFonts w:ascii="Segoe UI" w:eastAsia="Times New Roman" w:hAnsi="Segoe UI" w:cs="Segoe UI"/>
          <w:b/>
          <w:bCs/>
          <w:kern w:val="0"/>
          <w:sz w:val="24"/>
          <w:szCs w:val="24"/>
          <w:bdr w:val="single" w:sz="2" w:space="0" w:color="E3E3E3" w:frame="1"/>
          <w:lang w:eastAsia="es-ES"/>
          <w14:ligatures w14:val="none"/>
        </w:rPr>
        <w:t>: SCORES Y BAYES</w:t>
      </w:r>
    </w:p>
    <w:p w14:paraId="56043367" w14:textId="77777777" w:rsidR="00D70CAB" w:rsidRPr="00DE523A" w:rsidRDefault="00D70CAB" w:rsidP="00DE523A">
      <w:pPr>
        <w:numPr>
          <w:ilvl w:val="1"/>
          <w:numId w:val="1"/>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lastRenderedPageBreak/>
        <w:t xml:space="preserve">Se utiliza la </w:t>
      </w:r>
      <w:r w:rsidRPr="00323138">
        <w:rPr>
          <w:rFonts w:ascii="Segoe UI" w:eastAsia="Times New Roman" w:hAnsi="Segoe UI" w:cs="Segoe UI"/>
          <w:kern w:val="0"/>
          <w:sz w:val="24"/>
          <w:szCs w:val="24"/>
          <w:u w:val="single"/>
          <w:lang w:eastAsia="es-ES"/>
          <w14:ligatures w14:val="none"/>
        </w:rPr>
        <w:t>estimación de densidad de núcleo</w:t>
      </w:r>
      <w:r w:rsidRPr="00DE523A">
        <w:rPr>
          <w:rFonts w:ascii="Segoe UI" w:eastAsia="Times New Roman" w:hAnsi="Segoe UI" w:cs="Segoe UI"/>
          <w:kern w:val="0"/>
          <w:sz w:val="24"/>
          <w:szCs w:val="24"/>
          <w:lang w:eastAsia="es-ES"/>
          <w14:ligatures w14:val="none"/>
        </w:rPr>
        <w:t xml:space="preserve"> y un </w:t>
      </w:r>
      <w:r w:rsidRPr="00323138">
        <w:rPr>
          <w:rFonts w:ascii="Segoe UI" w:eastAsia="Times New Roman" w:hAnsi="Segoe UI" w:cs="Segoe UI"/>
          <w:kern w:val="0"/>
          <w:sz w:val="24"/>
          <w:szCs w:val="24"/>
          <w:highlight w:val="yellow"/>
          <w:lang w:eastAsia="es-ES"/>
          <w14:ligatures w14:val="none"/>
        </w:rPr>
        <w:t>clasificador bayesiano</w:t>
      </w:r>
      <w:r w:rsidRPr="00DE523A">
        <w:rPr>
          <w:rFonts w:ascii="Segoe UI" w:eastAsia="Times New Roman" w:hAnsi="Segoe UI" w:cs="Segoe UI"/>
          <w:kern w:val="0"/>
          <w:sz w:val="24"/>
          <w:szCs w:val="24"/>
          <w:lang w:eastAsia="es-ES"/>
          <w14:ligatures w14:val="none"/>
        </w:rPr>
        <w:t xml:space="preserve"> para clasificar el estado clínico de los pacientes basado en las estimaciones de la progresión de la enfermedad.</w:t>
      </w:r>
    </w:p>
    <w:p w14:paraId="7A34CD42" w14:textId="77777777" w:rsidR="00D70CAB" w:rsidRPr="00DE523A" w:rsidRDefault="00D70CAB" w:rsidP="00DE523A">
      <w:pPr>
        <w:pBdr>
          <w:top w:val="single" w:sz="2" w:space="0" w:color="E3E3E3"/>
          <w:left w:val="single" w:sz="2" w:space="0" w:color="E3E3E3"/>
          <w:bottom w:val="single" w:sz="2" w:space="0" w:color="E3E3E3"/>
          <w:right w:val="single" w:sz="2" w:space="0" w:color="E3E3E3"/>
        </w:pBdr>
        <w:spacing w:before="300" w:after="30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b/>
          <w:bCs/>
          <w:kern w:val="0"/>
          <w:sz w:val="24"/>
          <w:szCs w:val="24"/>
          <w:bdr w:val="single" w:sz="2" w:space="0" w:color="E3E3E3" w:frame="1"/>
          <w:lang w:eastAsia="es-ES"/>
          <w14:ligatures w14:val="none"/>
        </w:rPr>
        <w:t>Evaluación del método:</w:t>
      </w:r>
    </w:p>
    <w:p w14:paraId="56B34AD2" w14:textId="77777777" w:rsidR="00D70CAB" w:rsidRPr="00DE523A" w:rsidRDefault="00D70CAB" w:rsidP="00DE523A">
      <w:p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t>Se evalúa el método utilizando datos de la Iniciativa de Neuroimagen de la Enfermedad de Alzheimer (ADNI) y el Centro Nacional de Coordinación del Alzheimer (NACC).</w:t>
      </w:r>
    </w:p>
    <w:p w14:paraId="374A3F38" w14:textId="77777777" w:rsidR="00D70CAB" w:rsidRPr="00DE523A" w:rsidRDefault="00D70CAB" w:rsidP="00DE523A">
      <w:p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t>Se encuentra que el método propuesto supera a otros en términos de rendimiento de modelado.</w:t>
      </w:r>
    </w:p>
    <w:p w14:paraId="36681485" w14:textId="77777777" w:rsidR="00D70CAB" w:rsidRPr="00DE523A" w:rsidRDefault="00D70CAB" w:rsidP="00DE523A">
      <w:pPr>
        <w:pBdr>
          <w:top w:val="single" w:sz="2" w:space="0" w:color="E3E3E3"/>
          <w:left w:val="single" w:sz="2" w:space="0" w:color="E3E3E3"/>
          <w:bottom w:val="single" w:sz="2" w:space="0" w:color="E3E3E3"/>
          <w:right w:val="single" w:sz="2" w:space="0" w:color="E3E3E3"/>
        </w:pBdr>
        <w:spacing w:before="300" w:after="30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b/>
          <w:bCs/>
          <w:kern w:val="0"/>
          <w:sz w:val="24"/>
          <w:szCs w:val="24"/>
          <w:bdr w:val="single" w:sz="2" w:space="0" w:color="E3E3E3" w:frame="1"/>
          <w:lang w:eastAsia="es-ES"/>
          <w14:ligatures w14:val="none"/>
        </w:rPr>
        <w:t>Contribuciones del estudio:</w:t>
      </w:r>
    </w:p>
    <w:p w14:paraId="51E80F9A" w14:textId="77777777" w:rsidR="00D70CAB" w:rsidRPr="00DE523A" w:rsidRDefault="00D70CAB" w:rsidP="00DE523A">
      <w:pPr>
        <w:numPr>
          <w:ilvl w:val="0"/>
          <w:numId w:val="3"/>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t>Introducción de una función logística modificada para modelar mejor las trayectorias de los biomarcadores.</w:t>
      </w:r>
    </w:p>
    <w:p w14:paraId="4EAB6641" w14:textId="77777777" w:rsidR="00D70CAB" w:rsidRPr="00DE523A" w:rsidRDefault="00D70CAB" w:rsidP="00DE523A">
      <w:pPr>
        <w:numPr>
          <w:ilvl w:val="0"/>
          <w:numId w:val="3"/>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t>Utilización de estimadores M para reducir el impacto de los valores atípicos.</w:t>
      </w:r>
    </w:p>
    <w:p w14:paraId="207EA741" w14:textId="77777777" w:rsidR="00D70CAB" w:rsidRPr="00DE523A" w:rsidRDefault="00D70CAB" w:rsidP="00DE523A">
      <w:pPr>
        <w:numPr>
          <w:ilvl w:val="0"/>
          <w:numId w:val="3"/>
        </w:numPr>
        <w:pBdr>
          <w:top w:val="single" w:sz="2" w:space="0" w:color="E3E3E3"/>
          <w:left w:val="single" w:sz="2" w:space="5" w:color="E3E3E3"/>
          <w:bottom w:val="single" w:sz="2" w:space="0" w:color="E3E3E3"/>
          <w:right w:val="single" w:sz="2" w:space="0" w:color="E3E3E3"/>
        </w:pBdr>
        <w:spacing w:after="0" w:line="240" w:lineRule="auto"/>
        <w:jc w:val="both"/>
        <w:rPr>
          <w:rFonts w:ascii="Segoe UI" w:eastAsia="Times New Roman" w:hAnsi="Segoe UI" w:cs="Segoe UI"/>
          <w:kern w:val="0"/>
          <w:sz w:val="24"/>
          <w:szCs w:val="24"/>
          <w:lang w:eastAsia="es-ES"/>
          <w14:ligatures w14:val="none"/>
        </w:rPr>
      </w:pPr>
      <w:r w:rsidRPr="00DE523A">
        <w:rPr>
          <w:rFonts w:ascii="Segoe UI" w:eastAsia="Times New Roman" w:hAnsi="Segoe UI" w:cs="Segoe UI"/>
          <w:kern w:val="0"/>
          <w:sz w:val="24"/>
          <w:szCs w:val="24"/>
          <w:lang w:eastAsia="es-ES"/>
          <w14:ligatures w14:val="none"/>
        </w:rPr>
        <w:t>Evaluación de la generalizabilidad del modelo propuesto y su aplicación para la clasificación del estado clínico en diferentes conjuntos de datos.</w:t>
      </w:r>
    </w:p>
    <w:p w14:paraId="647C68B5" w14:textId="77777777" w:rsidR="00BB6E57" w:rsidRPr="00DE523A" w:rsidRDefault="00BB6E57" w:rsidP="00DE523A">
      <w:pPr>
        <w:pBdr>
          <w:top w:val="single" w:sz="2" w:space="0" w:color="E3E3E3"/>
          <w:left w:val="single" w:sz="2" w:space="5" w:color="E3E3E3"/>
          <w:bottom w:val="single" w:sz="2" w:space="0" w:color="E3E3E3"/>
          <w:right w:val="single" w:sz="2" w:space="0" w:color="E3E3E3"/>
        </w:pBdr>
        <w:spacing w:after="0" w:line="240" w:lineRule="auto"/>
        <w:ind w:left="720"/>
        <w:jc w:val="both"/>
        <w:rPr>
          <w:rFonts w:ascii="Segoe UI" w:eastAsia="Times New Roman" w:hAnsi="Segoe UI" w:cs="Segoe UI"/>
          <w:kern w:val="0"/>
          <w:sz w:val="24"/>
          <w:szCs w:val="24"/>
          <w:lang w:eastAsia="es-ES"/>
          <w14:ligatures w14:val="none"/>
        </w:rPr>
      </w:pPr>
    </w:p>
    <w:p w14:paraId="60546549" w14:textId="77777777" w:rsidR="00BB6E57" w:rsidRPr="00DE523A" w:rsidRDefault="00BB6E57" w:rsidP="00DE523A">
      <w:pPr>
        <w:jc w:val="both"/>
        <w:rPr>
          <w:rFonts w:ascii="Segoe UI" w:eastAsia="Times New Roman" w:hAnsi="Segoe UI" w:cs="Segoe UI"/>
          <w:kern w:val="0"/>
          <w:sz w:val="24"/>
          <w:szCs w:val="24"/>
          <w:lang w:eastAsia="es-ES"/>
          <w14:ligatures w14:val="none"/>
        </w:rPr>
      </w:pPr>
    </w:p>
    <w:p w14:paraId="239BB87F" w14:textId="402CF46F" w:rsidR="00BB6E57" w:rsidRPr="00DE523A" w:rsidRDefault="00BB6E57" w:rsidP="002C6A99">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jc w:val="both"/>
        <w:rPr>
          <w:rFonts w:ascii="Segoe UI" w:hAnsi="Segoe UI" w:cs="Segoe UI"/>
        </w:rPr>
      </w:pPr>
      <w:r w:rsidRPr="00DE523A">
        <w:rPr>
          <w:rStyle w:val="Textoennegrita"/>
          <w:rFonts w:ascii="Segoe UI" w:hAnsi="Segoe UI" w:cs="Segoe UI"/>
          <w:bdr w:val="single" w:sz="2" w:space="0" w:color="E3E3E3" w:frame="1"/>
        </w:rPr>
        <w:t>Métodos</w:t>
      </w:r>
      <w:r w:rsidRPr="00DE523A">
        <w:rPr>
          <w:rFonts w:ascii="Segoe UI" w:hAnsi="Segoe UI" w:cs="Segoe UI"/>
        </w:rPr>
        <w:t xml:space="preserve"> En este apartado se describe la metodología utilizada en el estudio. Se inicia con una descripción del conjunto de datos utilizado, que incluye información sobre los biomarcadores y las mediciones cognitivas recopiladas del Estudio de Neuroimagen de la Enfermedad de Alzheimer (ADNI) y el Consorcio Nacional de Investigación del Alzheimer (NACC). Luego, se detallan los métodos de modelado de biomarcadores, incluyendo el uso de funciones logísticas y de pérdida, así como el proceso de remuestreo utilizado para evaluar el rendimiento del modelo. Además, se describe cómo se ordenan temporalmente los biomarcadores y cómo se comparan con modelos hipotéticos de progresión de la enfermedad. Finalmente, se detallan los métodos utilizados para la predicción de valores de biomarcadores y la clasificación del estado clínico de los sujetos.</w:t>
      </w:r>
    </w:p>
    <w:p w14:paraId="28019377" w14:textId="23B97E23" w:rsidR="00BB6E57" w:rsidRPr="00DE523A" w:rsidRDefault="00BB6E57" w:rsidP="00DE523A">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DE523A">
        <w:rPr>
          <w:rStyle w:val="Textoennegrita"/>
          <w:rFonts w:ascii="Segoe UI" w:hAnsi="Segoe UI" w:cs="Segoe UI"/>
          <w:bdr w:val="single" w:sz="2" w:space="0" w:color="E3E3E3" w:frame="1"/>
        </w:rPr>
        <w:t>Resultados y Discusión</w:t>
      </w:r>
      <w:r w:rsidRPr="00DE523A">
        <w:rPr>
          <w:rFonts w:ascii="Segoe UI" w:hAnsi="Segoe UI" w:cs="Segoe UI"/>
        </w:rPr>
        <w:t xml:space="preserve"> En este apartado se presentan y discuten los resultados obtenidos a partir de la aplicación de los métodos descritos en el apartado anterior. Se discuten los resultados del modelado de biomarcadores, incluyendo el rendimiento de diferentes funciones logísticas y de pérdida, así como la estabilidad del modelo a lo largo de múltiples remuestreos. Se proporciona un análisis del orden temporal de los biomarcadores y su relevancia para la progresión de la enfermedad de Alzheimer. Además, se discuten los resultados de la predicción de valores de biomarcadores y la clasificación del estado clínico </w:t>
      </w:r>
      <w:r w:rsidRPr="00DE523A">
        <w:rPr>
          <w:rFonts w:ascii="Segoe UI" w:hAnsi="Segoe UI" w:cs="Segoe UI"/>
        </w:rPr>
        <w:lastRenderedPageBreak/>
        <w:t>de los sujetos, incluyendo comparaciones con resultados de estudios anteriores y evaluaciones de la generalizabilidad del modelo entre cohortes.</w:t>
      </w:r>
    </w:p>
    <w:p w14:paraId="5F82FFF7" w14:textId="77777777" w:rsidR="00BB6E57" w:rsidRPr="00DE523A" w:rsidRDefault="00BB6E57" w:rsidP="00DE523A">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jc w:val="both"/>
        <w:rPr>
          <w:rFonts w:ascii="Segoe UI" w:hAnsi="Segoe UI" w:cs="Segoe UI"/>
        </w:rPr>
      </w:pPr>
      <w:r w:rsidRPr="00DE523A">
        <w:rPr>
          <w:rFonts w:ascii="Segoe UI" w:hAnsi="Segoe UI" w:cs="Segoe UI"/>
        </w:rPr>
        <w:t>En resumen, el apartado 3 describe la metodología utilizada en el estudio, mientras que el apartado 4 presenta y discute los resultados obtenidos a partir de esta metodología.</w:t>
      </w:r>
    </w:p>
    <w:p w14:paraId="49EAC36D" w14:textId="77777777" w:rsidR="00BB6E57" w:rsidRDefault="00BB6E57" w:rsidP="00DE523A">
      <w:pPr>
        <w:jc w:val="both"/>
        <w:rPr>
          <w:rFonts w:ascii="Segoe UI" w:eastAsia="Times New Roman" w:hAnsi="Segoe UI" w:cs="Segoe UI"/>
          <w:sz w:val="24"/>
          <w:szCs w:val="24"/>
          <w:lang w:eastAsia="es-ES"/>
        </w:rPr>
      </w:pPr>
    </w:p>
    <w:p w14:paraId="4811347E" w14:textId="77777777" w:rsidR="009C41DF" w:rsidRDefault="009C41DF" w:rsidP="00DE523A">
      <w:pPr>
        <w:jc w:val="both"/>
        <w:rPr>
          <w:rFonts w:ascii="Segoe UI" w:eastAsia="Times New Roman" w:hAnsi="Segoe UI" w:cs="Segoe UI"/>
          <w:sz w:val="24"/>
          <w:szCs w:val="24"/>
          <w:lang w:eastAsia="es-ES"/>
        </w:rPr>
      </w:pPr>
    </w:p>
    <w:p w14:paraId="3FC3622C" w14:textId="77777777" w:rsidR="009C41DF" w:rsidRDefault="009C41DF" w:rsidP="00DE523A">
      <w:pPr>
        <w:jc w:val="both"/>
        <w:rPr>
          <w:rFonts w:ascii="Segoe UI" w:eastAsia="Times New Roman" w:hAnsi="Segoe UI" w:cs="Segoe UI"/>
          <w:sz w:val="24"/>
          <w:szCs w:val="24"/>
          <w:lang w:eastAsia="es-ES"/>
        </w:rPr>
      </w:pPr>
    </w:p>
    <w:p w14:paraId="43D55787" w14:textId="5A0666EC" w:rsidR="009C41DF" w:rsidRDefault="009C41DF" w:rsidP="00DE523A">
      <w:pPr>
        <w:jc w:val="both"/>
        <w:rPr>
          <w:rFonts w:ascii="Segoe UI" w:eastAsia="Times New Roman" w:hAnsi="Segoe UI" w:cs="Segoe UI"/>
          <w:b/>
          <w:bCs/>
          <w:sz w:val="60"/>
          <w:szCs w:val="60"/>
          <w:lang w:eastAsia="es-ES"/>
        </w:rPr>
      </w:pPr>
      <w:r w:rsidRPr="009C41DF">
        <w:rPr>
          <w:rFonts w:ascii="Segoe UI" w:eastAsia="Times New Roman" w:hAnsi="Segoe UI" w:cs="Segoe UI"/>
          <w:b/>
          <w:bCs/>
          <w:sz w:val="60"/>
          <w:szCs w:val="60"/>
          <w:lang w:eastAsia="es-ES"/>
        </w:rPr>
        <w:t>PLATERO</w:t>
      </w:r>
    </w:p>
    <w:p w14:paraId="261A7A21" w14:textId="77777777" w:rsidR="009C41DF"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jc w:val="both"/>
        <w:rPr>
          <w:rFonts w:ascii="Segoe UI" w:hAnsi="Segoe UI" w:cs="Segoe UI"/>
          <w:b/>
          <w:bCs/>
          <w:sz w:val="32"/>
          <w:szCs w:val="32"/>
        </w:rPr>
      </w:pPr>
      <w:r w:rsidRPr="001135D7">
        <w:rPr>
          <w:rFonts w:ascii="Segoe UI" w:hAnsi="Segoe UI" w:cs="Segoe UI"/>
          <w:b/>
          <w:bCs/>
          <w:sz w:val="32"/>
          <w:szCs w:val="32"/>
        </w:rPr>
        <w:t xml:space="preserve">1 </w:t>
      </w:r>
      <w:proofErr w:type="gramStart"/>
      <w:r w:rsidRPr="001135D7">
        <w:rPr>
          <w:rFonts w:ascii="Segoe UI" w:hAnsi="Segoe UI" w:cs="Segoe UI"/>
          <w:b/>
          <w:bCs/>
          <w:sz w:val="32"/>
          <w:szCs w:val="32"/>
        </w:rPr>
        <w:t>Resumen</w:t>
      </w:r>
      <w:proofErr w:type="gramEnd"/>
      <w:r w:rsidRPr="001135D7">
        <w:rPr>
          <w:rFonts w:ascii="Segoe UI" w:hAnsi="Segoe UI" w:cs="Segoe UI"/>
          <w:b/>
          <w:bCs/>
          <w:sz w:val="32"/>
          <w:szCs w:val="32"/>
        </w:rPr>
        <w:t xml:space="preserve"> </w:t>
      </w:r>
    </w:p>
    <w:p w14:paraId="0A465F26" w14:textId="214D1B3B"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jc w:val="both"/>
        <w:rPr>
          <w:rFonts w:ascii="Segoe UI" w:hAnsi="Segoe UI" w:cs="Segoe UI"/>
        </w:rPr>
      </w:pPr>
      <w:r w:rsidRPr="009C41DF">
        <w:rPr>
          <w:rFonts w:ascii="Segoe UI" w:hAnsi="Segoe UI" w:cs="Segoe UI"/>
        </w:rPr>
        <w:t xml:space="preserve">Los Modelos de Progresión de la Enfermedad (DPM por sus siglas en inglés) están entrenados para la determinación de los síntomas clínicos de la Enfermedad de Alzheimer (AD) mediante la selección de medidas neuropsicológicas. Esta información, junto con los biomarcadores </w:t>
      </w:r>
      <w:proofErr w:type="spellStart"/>
      <w:r w:rsidRPr="009C41DF">
        <w:rPr>
          <w:rFonts w:ascii="Segoe UI" w:hAnsi="Segoe UI" w:cs="Segoe UI"/>
        </w:rPr>
        <w:t>core</w:t>
      </w:r>
      <w:proofErr w:type="spellEnd"/>
      <w:r w:rsidRPr="009C41DF">
        <w:rPr>
          <w:rFonts w:ascii="Segoe UI" w:hAnsi="Segoe UI" w:cs="Segoe UI"/>
        </w:rPr>
        <w:t xml:space="preserve"> 1 y 2, fortalecerá el diagnóstico de la AD. Los DPM podrían servir para: a) Validar modelos teóricos, b) Análisis de factores de riesgo, c) Diagnóstico y pronóstico de los pacientes y d) Analizar cómo captura un marcador la progresión de la enfermedad.</w:t>
      </w:r>
    </w:p>
    <w:p w14:paraId="48BCEBBA" w14:textId="77777777"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Este trabajo estudia el modelado robusto de la progresión de la enfermedad de Alzheimer utilizando métodos paramétricos.</w:t>
      </w:r>
    </w:p>
    <w:p w14:paraId="110306CE" w14:textId="77777777" w:rsidR="009C41DF"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b/>
          <w:bCs/>
          <w:sz w:val="32"/>
          <w:szCs w:val="32"/>
        </w:rPr>
      </w:pPr>
      <w:r w:rsidRPr="001135D7">
        <w:rPr>
          <w:rFonts w:ascii="Segoe UI" w:hAnsi="Segoe UI" w:cs="Segoe UI"/>
          <w:b/>
          <w:bCs/>
          <w:sz w:val="32"/>
          <w:szCs w:val="32"/>
        </w:rPr>
        <w:t xml:space="preserve">2 </w:t>
      </w:r>
      <w:proofErr w:type="gramStart"/>
      <w:r w:rsidRPr="001135D7">
        <w:rPr>
          <w:rFonts w:ascii="Segoe UI" w:hAnsi="Segoe UI" w:cs="Segoe UI"/>
          <w:b/>
          <w:bCs/>
          <w:sz w:val="32"/>
          <w:szCs w:val="32"/>
        </w:rPr>
        <w:t>Introducción</w:t>
      </w:r>
      <w:proofErr w:type="gramEnd"/>
      <w:r w:rsidRPr="001135D7">
        <w:rPr>
          <w:rFonts w:ascii="Segoe UI" w:hAnsi="Segoe UI" w:cs="Segoe UI"/>
          <w:b/>
          <w:bCs/>
          <w:sz w:val="32"/>
          <w:szCs w:val="32"/>
        </w:rPr>
        <w:t xml:space="preserve"> </w:t>
      </w:r>
    </w:p>
    <w:p w14:paraId="12AC1DE2" w14:textId="60CC19B4"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La enfermedad de Alzheimer (AD) es el trastorno neurodegenerativo más común en individuos mayores. Las evaluaciones neuropsicológicas se emplean para evaluar su impacto en la cognición y el comportamiento. La AD exhibe una progresión no lineal que abarca décadas, lo que supone un desafío para los clínicos en la predicción de su curso. El modelado de la progresión de la enfermedad (DPM por sus siglas en inglés) utiliza estudios longitudinales para desarrollar modelos cuantitativos basados en datos que describen la evolución de la enfermedad con el tiempo. Los DPM aplicados a la AD fueron inspirados por modelos teóricos que proponen la evolución de biomarcadores a lo largo de las diferentes etapas de la AD.</w:t>
      </w:r>
    </w:p>
    <w:p w14:paraId="70031C5F" w14:textId="77777777"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lastRenderedPageBreak/>
        <w:t xml:space="preserve">Uno de los objetivos es validar estos modelos a través de estudios longitudinales de pacientes tanto en las fases preclínicas como en las </w:t>
      </w:r>
      <w:proofErr w:type="spellStart"/>
      <w:r w:rsidRPr="009C41DF">
        <w:rPr>
          <w:rFonts w:ascii="Segoe UI" w:hAnsi="Segoe UI" w:cs="Segoe UI"/>
        </w:rPr>
        <w:t>prodromales</w:t>
      </w:r>
      <w:proofErr w:type="spellEnd"/>
      <w:r w:rsidRPr="009C41DF">
        <w:rPr>
          <w:rFonts w:ascii="Segoe UI" w:hAnsi="Segoe UI" w:cs="Segoe UI"/>
        </w:rPr>
        <w:t>.</w:t>
      </w:r>
    </w:p>
    <w:p w14:paraId="42646E55" w14:textId="77777777"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Además, los DPM también se aplican en la automatización del diagnóstico, lo que permite estimar el tiempo restante para que un paciente alcance un evento clínico específico. Por ejemplo, en la fase preclínica, es relevante calcular el tiempo estimado restante para que un individuo con un estado cognitivo normal inicie el declive cognitivo. Por lo tanto, es crucial desarrollar DPM robustos para una comprensión más completa de la enfermedad, lo que conduce a una mejora significativa en el diagnóstico y monitoreo de los pacientes.</w:t>
      </w:r>
    </w:p>
    <w:p w14:paraId="21E99C9B" w14:textId="77777777"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 xml:space="preserve">La construcción de los DPM se enfrenta al doble problema de que no todas las mediciones de los marcadores están disponibles en cada visita (es decir, manejo de valores faltantes) y que los intervalos de tiempo entre las visitas de los pacientes tienden a ser irregulares. Se han empleado varios enfoques en la construcción de DPM, que van desde modelos paramétricos, que asumen que las trayectorias temporales de los marcadores están modeladas por funciones </w:t>
      </w:r>
      <w:proofErr w:type="spellStart"/>
      <w:r w:rsidRPr="009C41DF">
        <w:rPr>
          <w:rFonts w:ascii="Segoe UI" w:hAnsi="Segoe UI" w:cs="Segoe UI"/>
        </w:rPr>
        <w:t>cuasi-sigmoideas</w:t>
      </w:r>
      <w:proofErr w:type="spellEnd"/>
      <w:r w:rsidRPr="009C41DF">
        <w:rPr>
          <w:rFonts w:ascii="Segoe UI" w:hAnsi="Segoe UI" w:cs="Segoe UI"/>
        </w:rPr>
        <w:t>, hasta marcos basados en aprendizaje profundo. Los primeros son más simples y requieren menos datos para la construcción de DPM en comparación con los últimos. Sin embargo, los modelos no paramétricos no hacen suposiciones sobre el tipo de función para las trayectorias, aunque interpretar sus resultados es más desafiante y entrenarlos con datos temporales dispersos e irregulares es difícil.</w:t>
      </w:r>
    </w:p>
    <w:p w14:paraId="1A29A51A" w14:textId="77777777"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Dependiendo de los marcadores utilizados para entrenar un DPM, la historia natural propuesta por dicho enfoque podría variar. Se sugiere elegir un conjunto de características que permita que el DPM construido se asemeje estrechamente a la evolución real de la enfermedad. Para este fin, se considerarán diversas medidas relacionadas con el diagnóstico y pronóstico de los pacientes. Se seleccionará la colección más adecuada de medidas de los pacientes a lo largo del tiempo, asegurando que el DPM entrenado con estos marcadores proporcione la estimación más precisa de la progresión de la enfermedad.</w:t>
      </w:r>
    </w:p>
    <w:p w14:paraId="4AAF922A" w14:textId="77777777"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 xml:space="preserve">Aquí utilizamos conjuntos de datos longitudinales de pacientes que fueron diagnosticados con la enfermedad de Alzheimer en algún momento del estudio para reconstruir la historia natural de la enfermedad. Construimos un Mapa del Curso de la AD que muestra la reducción en el consumo de glucosa en las regiones cerebrales, el adelgazamiento de la corteza cerebral, la deformación del hipocampo debido a la atrofia y el inicio progresivo del déficit cognitivo desde la fase preclínica hasta la clínica de la enfermedad... Este análisis estadístico tiene como objetivo resaltar cómo los factores genéticos, biológicos </w:t>
      </w:r>
      <w:r w:rsidRPr="009C41DF">
        <w:rPr>
          <w:rFonts w:ascii="Segoe UI" w:hAnsi="Segoe UI" w:cs="Segoe UI"/>
        </w:rPr>
        <w:lastRenderedPageBreak/>
        <w:t>o ambientales cambian los perfiles de progresión de la enfermedad. Una vez que se construye el mapa, ubicamos a los nuevos individuos en el mapa y luego observamos cómo cambiarán los datos en los próximos años.</w:t>
      </w:r>
    </w:p>
    <w:p w14:paraId="0AF8A3D5" w14:textId="77777777" w:rsidR="00F714C6"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b/>
          <w:bCs/>
          <w:sz w:val="32"/>
          <w:szCs w:val="32"/>
        </w:rPr>
      </w:pPr>
      <w:r w:rsidRPr="001135D7">
        <w:rPr>
          <w:rFonts w:ascii="Segoe UI" w:hAnsi="Segoe UI" w:cs="Segoe UI"/>
          <w:b/>
          <w:bCs/>
          <w:sz w:val="32"/>
          <w:szCs w:val="32"/>
        </w:rPr>
        <w:t xml:space="preserve">3 </w:t>
      </w:r>
      <w:proofErr w:type="gramStart"/>
      <w:r w:rsidRPr="001135D7">
        <w:rPr>
          <w:rFonts w:ascii="Segoe UI" w:hAnsi="Segoe UI" w:cs="Segoe UI"/>
          <w:b/>
          <w:bCs/>
          <w:sz w:val="32"/>
          <w:szCs w:val="32"/>
        </w:rPr>
        <w:t>Métodos</w:t>
      </w:r>
      <w:proofErr w:type="gramEnd"/>
      <w:r w:rsidRPr="001135D7">
        <w:rPr>
          <w:rFonts w:ascii="Segoe UI" w:hAnsi="Segoe UI" w:cs="Segoe UI"/>
          <w:b/>
          <w:bCs/>
          <w:sz w:val="32"/>
          <w:szCs w:val="32"/>
        </w:rPr>
        <w:t xml:space="preserve"> </w:t>
      </w:r>
    </w:p>
    <w:p w14:paraId="62AE3804" w14:textId="77777777" w:rsidR="00F714C6"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b/>
          <w:bCs/>
        </w:rPr>
      </w:pPr>
      <w:r w:rsidRPr="001135D7">
        <w:rPr>
          <w:rFonts w:ascii="Segoe UI" w:hAnsi="Segoe UI" w:cs="Segoe UI"/>
          <w:b/>
          <w:bCs/>
        </w:rPr>
        <w:t xml:space="preserve">3.1 DPM Paramétrico </w:t>
      </w:r>
    </w:p>
    <w:p w14:paraId="4C87262E" w14:textId="723C634A"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Denotamos la medición del biomarcador k para el individuo i en el tiempo j como</w:t>
      </w:r>
      <w:r w:rsidR="00F714C6">
        <w:rPr>
          <w:rFonts w:ascii="Segoe UI" w:hAnsi="Segoe UI" w:cs="Segoe UI"/>
        </w:rPr>
        <w:t xml:space="preserve"> </w:t>
      </w:r>
      <w:proofErr w:type="spellStart"/>
      <w:r w:rsidRPr="009C41DF">
        <w:rPr>
          <w:rStyle w:val="mord"/>
          <w:rFonts w:ascii="KaTeX_Math" w:hAnsi="KaTeX_Math"/>
          <w:i/>
          <w:iCs/>
          <w:sz w:val="29"/>
          <w:szCs w:val="29"/>
          <w:bdr w:val="single" w:sz="2" w:space="0" w:color="E3E3E3" w:frame="1"/>
        </w:rPr>
        <w:t>y</w:t>
      </w:r>
      <w:r w:rsidRPr="009C41DF">
        <w:rPr>
          <w:rStyle w:val="mord"/>
          <w:rFonts w:ascii="KaTeX_Math" w:hAnsi="KaTeX_Math"/>
          <w:i/>
          <w:iCs/>
          <w:sz w:val="20"/>
          <w:szCs w:val="20"/>
          <w:bdr w:val="single" w:sz="2" w:space="0" w:color="E3E3E3" w:frame="1"/>
        </w:rPr>
        <w:t>ijk</w:t>
      </w:r>
      <w:proofErr w:type="spellEnd"/>
      <w:r w:rsidRPr="009C41DF">
        <w:rPr>
          <w:rStyle w:val="vlist-s"/>
          <w:sz w:val="2"/>
          <w:szCs w:val="2"/>
          <w:bdr w:val="single" w:sz="2" w:space="0" w:color="E3E3E3" w:frame="1"/>
        </w:rPr>
        <w:t>​</w:t>
      </w:r>
      <w:r w:rsidRPr="009C41DF">
        <w:rPr>
          <w:rFonts w:ascii="Segoe UI" w:hAnsi="Segoe UI" w:cs="Segoe UI"/>
        </w:rPr>
        <w:t xml:space="preserve">, donde </w:t>
      </w:r>
      <w:r w:rsidRPr="009C41DF">
        <w:rPr>
          <w:rStyle w:val="mord"/>
          <w:rFonts w:ascii="KaTeX_Math" w:hAnsi="KaTeX_Math"/>
          <w:i/>
          <w:iCs/>
          <w:sz w:val="29"/>
          <w:szCs w:val="29"/>
          <w:bdr w:val="single" w:sz="2" w:space="0" w:color="E3E3E3" w:frame="1"/>
        </w:rPr>
        <w:t>i</w:t>
      </w:r>
      <w:r w:rsidRPr="009C41DF">
        <w:rPr>
          <w:rStyle w:val="mrel"/>
          <w:sz w:val="29"/>
          <w:szCs w:val="29"/>
          <w:bdr w:val="single" w:sz="2" w:space="0" w:color="E3E3E3" w:frame="1"/>
        </w:rPr>
        <w:t>=</w:t>
      </w:r>
      <w:proofErr w:type="gramStart"/>
      <w:r w:rsidRPr="009C41DF">
        <w:rPr>
          <w:rStyle w:val="mord"/>
          <w:sz w:val="29"/>
          <w:szCs w:val="29"/>
          <w:bdr w:val="single" w:sz="2" w:space="0" w:color="E3E3E3" w:frame="1"/>
        </w:rPr>
        <w:t>1</w:t>
      </w:r>
      <w:r w:rsidRPr="009C41DF">
        <w:rPr>
          <w:rStyle w:val="mpunct"/>
          <w:sz w:val="29"/>
          <w:szCs w:val="29"/>
          <w:bdr w:val="single" w:sz="2" w:space="0" w:color="E3E3E3" w:frame="1"/>
        </w:rPr>
        <w:t>,</w:t>
      </w:r>
      <w:r w:rsidRPr="009C41DF">
        <w:rPr>
          <w:rStyle w:val="mord"/>
          <w:sz w:val="29"/>
          <w:szCs w:val="29"/>
          <w:bdr w:val="single" w:sz="2" w:space="0" w:color="E3E3E3" w:frame="1"/>
        </w:rPr>
        <w:t>...</w:t>
      </w:r>
      <w:proofErr w:type="gramEnd"/>
      <w:r w:rsidRPr="009C41DF">
        <w:rPr>
          <w:rStyle w:val="mpunct"/>
          <w:sz w:val="29"/>
          <w:szCs w:val="29"/>
          <w:bdr w:val="single" w:sz="2" w:space="0" w:color="E3E3E3" w:frame="1"/>
        </w:rPr>
        <w:t>,</w:t>
      </w:r>
      <w:r w:rsidRPr="009C41DF">
        <w:rPr>
          <w:rStyle w:val="mord"/>
          <w:rFonts w:ascii="KaTeX_Math" w:hAnsi="KaTeX_Math"/>
          <w:i/>
          <w:iCs/>
          <w:sz w:val="29"/>
          <w:szCs w:val="29"/>
          <w:bdr w:val="single" w:sz="2" w:space="0" w:color="E3E3E3" w:frame="1"/>
        </w:rPr>
        <w:t>n</w:t>
      </w:r>
      <w:r w:rsidRPr="009C41DF">
        <w:rPr>
          <w:rFonts w:ascii="Segoe UI" w:hAnsi="Segoe UI" w:cs="Segoe UI"/>
        </w:rPr>
        <w:t xml:space="preserve">, </w:t>
      </w:r>
      <w:r w:rsidRPr="009C41DF">
        <w:rPr>
          <w:rStyle w:val="mord"/>
          <w:rFonts w:ascii="KaTeX_Math" w:hAnsi="KaTeX_Math"/>
          <w:i/>
          <w:iCs/>
          <w:sz w:val="29"/>
          <w:szCs w:val="29"/>
          <w:bdr w:val="single" w:sz="2" w:space="0" w:color="E3E3E3" w:frame="1"/>
        </w:rPr>
        <w:t>k</w:t>
      </w:r>
      <w:r w:rsidRPr="009C41DF">
        <w:rPr>
          <w:rStyle w:val="mrel"/>
          <w:sz w:val="29"/>
          <w:szCs w:val="29"/>
          <w:bdr w:val="single" w:sz="2" w:space="0" w:color="E3E3E3" w:frame="1"/>
        </w:rPr>
        <w:t>=</w:t>
      </w:r>
      <w:r w:rsidRPr="009C41DF">
        <w:rPr>
          <w:rStyle w:val="mord"/>
          <w:sz w:val="29"/>
          <w:szCs w:val="29"/>
          <w:bdr w:val="single" w:sz="2" w:space="0" w:color="E3E3E3" w:frame="1"/>
        </w:rPr>
        <w:t>1</w:t>
      </w:r>
      <w:r w:rsidRPr="009C41DF">
        <w:rPr>
          <w:rStyle w:val="mpunct"/>
          <w:sz w:val="29"/>
          <w:szCs w:val="29"/>
          <w:bdr w:val="single" w:sz="2" w:space="0" w:color="E3E3E3" w:frame="1"/>
        </w:rPr>
        <w:t>,</w:t>
      </w:r>
      <w:r w:rsidRPr="009C41DF">
        <w:rPr>
          <w:rStyle w:val="mord"/>
          <w:sz w:val="29"/>
          <w:szCs w:val="29"/>
          <w:bdr w:val="single" w:sz="2" w:space="0" w:color="E3E3E3" w:frame="1"/>
        </w:rPr>
        <w:t>...</w:t>
      </w:r>
      <w:r w:rsidRPr="009C41DF">
        <w:rPr>
          <w:rStyle w:val="mpunct"/>
          <w:sz w:val="29"/>
          <w:szCs w:val="29"/>
          <w:bdr w:val="single" w:sz="2" w:space="0" w:color="E3E3E3" w:frame="1"/>
        </w:rPr>
        <w:t>,</w:t>
      </w:r>
      <w:r w:rsidRPr="009C41DF">
        <w:rPr>
          <w:rStyle w:val="mord"/>
          <w:rFonts w:ascii="KaTeX_Math" w:hAnsi="KaTeX_Math"/>
          <w:i/>
          <w:iCs/>
          <w:sz w:val="29"/>
          <w:szCs w:val="29"/>
          <w:bdr w:val="single" w:sz="2" w:space="0" w:color="E3E3E3" w:frame="1"/>
        </w:rPr>
        <w:t>p</w:t>
      </w:r>
      <w:r w:rsidRPr="009C41DF">
        <w:rPr>
          <w:rFonts w:ascii="Segoe UI" w:hAnsi="Segoe UI" w:cs="Segoe UI"/>
        </w:rPr>
        <w:t xml:space="preserve"> y </w:t>
      </w:r>
      <w:r w:rsidRPr="009C41DF">
        <w:rPr>
          <w:rStyle w:val="mord"/>
          <w:rFonts w:ascii="KaTeX_Math" w:hAnsi="KaTeX_Math"/>
          <w:i/>
          <w:iCs/>
          <w:sz w:val="29"/>
          <w:szCs w:val="29"/>
          <w:bdr w:val="single" w:sz="2" w:space="0" w:color="E3E3E3" w:frame="1"/>
        </w:rPr>
        <w:t>j</w:t>
      </w:r>
      <w:r w:rsidRPr="009C41DF">
        <w:rPr>
          <w:rStyle w:val="mrel"/>
          <w:sz w:val="29"/>
          <w:szCs w:val="29"/>
          <w:bdr w:val="single" w:sz="2" w:space="0" w:color="E3E3E3" w:frame="1"/>
        </w:rPr>
        <w:t>=</w:t>
      </w:r>
      <w:r w:rsidRPr="009C41DF">
        <w:rPr>
          <w:rStyle w:val="mord"/>
          <w:sz w:val="29"/>
          <w:szCs w:val="29"/>
          <w:bdr w:val="single" w:sz="2" w:space="0" w:color="E3E3E3" w:frame="1"/>
        </w:rPr>
        <w:t>1</w:t>
      </w:r>
      <w:r w:rsidRPr="009C41DF">
        <w:rPr>
          <w:rStyle w:val="mpunct"/>
          <w:sz w:val="29"/>
          <w:szCs w:val="29"/>
          <w:bdr w:val="single" w:sz="2" w:space="0" w:color="E3E3E3" w:frame="1"/>
        </w:rPr>
        <w:t>,</w:t>
      </w:r>
      <w:r w:rsidRPr="009C41DF">
        <w:rPr>
          <w:rStyle w:val="mord"/>
          <w:sz w:val="29"/>
          <w:szCs w:val="29"/>
          <w:bdr w:val="single" w:sz="2" w:space="0" w:color="E3E3E3" w:frame="1"/>
        </w:rPr>
        <w:t>...</w:t>
      </w:r>
      <w:r w:rsidRPr="009C41DF">
        <w:rPr>
          <w:rStyle w:val="mpunct"/>
          <w:sz w:val="29"/>
          <w:szCs w:val="29"/>
          <w:bdr w:val="single" w:sz="2" w:space="0" w:color="E3E3E3" w:frame="1"/>
        </w:rPr>
        <w:t>,</w:t>
      </w:r>
      <w:proofErr w:type="spellStart"/>
      <w:r w:rsidRPr="009C41DF">
        <w:rPr>
          <w:rStyle w:val="mord"/>
          <w:rFonts w:ascii="KaTeX_Math" w:hAnsi="KaTeX_Math"/>
          <w:i/>
          <w:iCs/>
          <w:sz w:val="29"/>
          <w:szCs w:val="29"/>
          <w:bdr w:val="single" w:sz="2" w:space="0" w:color="E3E3E3" w:frame="1"/>
        </w:rPr>
        <w:t>q</w:t>
      </w:r>
      <w:r w:rsidRPr="009C41DF">
        <w:rPr>
          <w:rStyle w:val="mord"/>
          <w:rFonts w:ascii="KaTeX_Math" w:hAnsi="KaTeX_Math"/>
          <w:i/>
          <w:iCs/>
          <w:sz w:val="20"/>
          <w:szCs w:val="20"/>
          <w:bdr w:val="single" w:sz="2" w:space="0" w:color="E3E3E3" w:frame="1"/>
        </w:rPr>
        <w:t>ik</w:t>
      </w:r>
      <w:proofErr w:type="spellEnd"/>
      <w:r w:rsidRPr="009C41DF">
        <w:rPr>
          <w:rStyle w:val="vlist-s"/>
          <w:sz w:val="2"/>
          <w:szCs w:val="2"/>
          <w:bdr w:val="single" w:sz="2" w:space="0" w:color="E3E3E3" w:frame="1"/>
        </w:rPr>
        <w:t>​</w:t>
      </w:r>
      <w:r w:rsidRPr="009C41DF">
        <w:rPr>
          <w:rFonts w:ascii="Segoe UI" w:hAnsi="Segoe UI" w:cs="Segoe UI"/>
        </w:rPr>
        <w:t xml:space="preserve">. El modelo puede escribirse como: </w:t>
      </w:r>
      <w:proofErr w:type="spellStart"/>
      <w:r w:rsidRPr="009C41DF">
        <w:rPr>
          <w:rStyle w:val="mord"/>
          <w:rFonts w:ascii="KaTeX_Math" w:hAnsi="KaTeX_Math"/>
          <w:i/>
          <w:iCs/>
          <w:sz w:val="29"/>
          <w:szCs w:val="29"/>
          <w:bdr w:val="single" w:sz="2" w:space="0" w:color="E3E3E3" w:frame="1"/>
        </w:rPr>
        <w:t>y</w:t>
      </w:r>
      <w:r w:rsidRPr="009C41DF">
        <w:rPr>
          <w:rStyle w:val="mord"/>
          <w:rFonts w:ascii="KaTeX_Math" w:hAnsi="KaTeX_Math"/>
          <w:i/>
          <w:iCs/>
          <w:sz w:val="20"/>
          <w:szCs w:val="20"/>
          <w:bdr w:val="single" w:sz="2" w:space="0" w:color="E3E3E3" w:frame="1"/>
        </w:rPr>
        <w:t>ijk</w:t>
      </w:r>
      <w:proofErr w:type="spellEnd"/>
      <w:r w:rsidRPr="009C41DF">
        <w:rPr>
          <w:rStyle w:val="vlist-s"/>
          <w:sz w:val="2"/>
          <w:szCs w:val="2"/>
          <w:bdr w:val="single" w:sz="2" w:space="0" w:color="E3E3E3" w:frame="1"/>
        </w:rPr>
        <w:t>​</w:t>
      </w:r>
      <w:r w:rsidRPr="009C41DF">
        <w:rPr>
          <w:rStyle w:val="mrel"/>
          <w:sz w:val="29"/>
          <w:szCs w:val="29"/>
          <w:bdr w:val="single" w:sz="2" w:space="0" w:color="E3E3E3" w:frame="1"/>
        </w:rPr>
        <w:t>=</w:t>
      </w:r>
      <w:r w:rsidRPr="009C41DF">
        <w:rPr>
          <w:rStyle w:val="mord"/>
          <w:rFonts w:ascii="KaTeX_Math" w:hAnsi="KaTeX_Math"/>
          <w:i/>
          <w:iCs/>
          <w:sz w:val="29"/>
          <w:szCs w:val="29"/>
          <w:bdr w:val="single" w:sz="2" w:space="0" w:color="E3E3E3" w:frame="1"/>
        </w:rPr>
        <w:t>f</w:t>
      </w:r>
      <w:r w:rsidRPr="009C41DF">
        <w:rPr>
          <w:rStyle w:val="mopen"/>
          <w:sz w:val="29"/>
          <w:szCs w:val="29"/>
          <w:bdr w:val="single" w:sz="2" w:space="0" w:color="E3E3E3" w:frame="1"/>
        </w:rPr>
        <w:t>(</w:t>
      </w:r>
      <w:proofErr w:type="gramStart"/>
      <w:r w:rsidRPr="009C41DF">
        <w:rPr>
          <w:rStyle w:val="mord"/>
          <w:rFonts w:ascii="KaTeX_Math" w:hAnsi="KaTeX_Math"/>
          <w:i/>
          <w:iCs/>
          <w:sz w:val="29"/>
          <w:szCs w:val="29"/>
          <w:bdr w:val="single" w:sz="2" w:space="0" w:color="E3E3E3" w:frame="1"/>
        </w:rPr>
        <w:t>s</w:t>
      </w:r>
      <w:r w:rsidRPr="009C41DF">
        <w:rPr>
          <w:rStyle w:val="mord"/>
          <w:rFonts w:ascii="KaTeX_Math" w:hAnsi="KaTeX_Math"/>
          <w:i/>
          <w:iCs/>
          <w:sz w:val="20"/>
          <w:szCs w:val="20"/>
          <w:bdr w:val="single" w:sz="2" w:space="0" w:color="E3E3E3" w:frame="1"/>
        </w:rPr>
        <w:t>ij</w:t>
      </w:r>
      <w:r w:rsidRPr="009C41DF">
        <w:rPr>
          <w:rStyle w:val="vlist-s"/>
          <w:sz w:val="2"/>
          <w:szCs w:val="2"/>
          <w:bdr w:val="single" w:sz="2" w:space="0" w:color="E3E3E3" w:frame="1"/>
        </w:rPr>
        <w:t>​</w:t>
      </w:r>
      <w:r w:rsidRPr="009C41DF">
        <w:rPr>
          <w:rStyle w:val="mpunct"/>
          <w:sz w:val="29"/>
          <w:szCs w:val="29"/>
          <w:bdr w:val="single" w:sz="2" w:space="0" w:color="E3E3E3" w:frame="1"/>
        </w:rPr>
        <w:t>,</w:t>
      </w:r>
      <w:proofErr w:type="spellStart"/>
      <w:r w:rsidRPr="009C41DF">
        <w:rPr>
          <w:rStyle w:val="mord"/>
          <w:sz w:val="29"/>
          <w:szCs w:val="29"/>
          <w:bdr w:val="single" w:sz="2" w:space="0" w:color="E3E3E3" w:frame="1"/>
        </w:rPr>
        <w:t>Θ</w:t>
      </w:r>
      <w:proofErr w:type="gramEnd"/>
      <w:r w:rsidRPr="009C41DF">
        <w:rPr>
          <w:rStyle w:val="mord"/>
          <w:rFonts w:ascii="KaTeX_Math" w:hAnsi="KaTeX_Math"/>
          <w:i/>
          <w:iCs/>
          <w:sz w:val="20"/>
          <w:szCs w:val="20"/>
          <w:bdr w:val="single" w:sz="2" w:space="0" w:color="E3E3E3" w:frame="1"/>
        </w:rPr>
        <w:t>k</w:t>
      </w:r>
      <w:proofErr w:type="spellEnd"/>
      <w:r w:rsidRPr="009C41DF">
        <w:rPr>
          <w:rStyle w:val="vlist-s"/>
          <w:sz w:val="2"/>
          <w:szCs w:val="2"/>
          <w:bdr w:val="single" w:sz="2" w:space="0" w:color="E3E3E3" w:frame="1"/>
        </w:rPr>
        <w:t>​</w:t>
      </w:r>
      <w:r w:rsidRPr="009C41DF">
        <w:rPr>
          <w:rStyle w:val="mclose"/>
          <w:sz w:val="29"/>
          <w:szCs w:val="29"/>
          <w:bdr w:val="single" w:sz="2" w:space="0" w:color="E3E3E3" w:frame="1"/>
        </w:rPr>
        <w:t>)</w:t>
      </w:r>
      <w:r w:rsidRPr="009C41DF">
        <w:rPr>
          <w:rStyle w:val="mbin"/>
          <w:sz w:val="29"/>
          <w:szCs w:val="29"/>
          <w:bdr w:val="single" w:sz="2" w:space="0" w:color="E3E3E3" w:frame="1"/>
        </w:rPr>
        <w:t>+</w:t>
      </w:r>
      <w:proofErr w:type="spellStart"/>
      <w:r w:rsidRPr="009C41DF">
        <w:rPr>
          <w:rStyle w:val="mord"/>
          <w:rFonts w:ascii="KaTeX_Math" w:hAnsi="KaTeX_Math"/>
          <w:i/>
          <w:iCs/>
          <w:sz w:val="29"/>
          <w:szCs w:val="29"/>
          <w:bdr w:val="single" w:sz="2" w:space="0" w:color="E3E3E3" w:frame="1"/>
        </w:rPr>
        <w:t>e</w:t>
      </w:r>
      <w:r w:rsidRPr="009C41DF">
        <w:rPr>
          <w:rStyle w:val="mord"/>
          <w:rFonts w:ascii="KaTeX_Math" w:hAnsi="KaTeX_Math"/>
          <w:i/>
          <w:iCs/>
          <w:sz w:val="20"/>
          <w:szCs w:val="20"/>
          <w:bdr w:val="single" w:sz="2" w:space="0" w:color="E3E3E3" w:frame="1"/>
        </w:rPr>
        <w:t>ijk</w:t>
      </w:r>
      <w:proofErr w:type="spellEnd"/>
      <w:r w:rsidRPr="009C41DF">
        <w:rPr>
          <w:rStyle w:val="vlist-s"/>
          <w:sz w:val="2"/>
          <w:szCs w:val="2"/>
          <w:bdr w:val="single" w:sz="2" w:space="0" w:color="E3E3E3" w:frame="1"/>
        </w:rPr>
        <w:t>​</w:t>
      </w:r>
      <w:r w:rsidRPr="009C41DF">
        <w:rPr>
          <w:rFonts w:ascii="Segoe UI" w:hAnsi="Segoe UI" w:cs="Segoe UI"/>
        </w:rPr>
        <w:t xml:space="preserve"> donde </w:t>
      </w:r>
      <w:r w:rsidRPr="009C41DF">
        <w:rPr>
          <w:rStyle w:val="mord"/>
          <w:rFonts w:ascii="KaTeX_Math" w:hAnsi="KaTeX_Math"/>
          <w:i/>
          <w:iCs/>
          <w:sz w:val="29"/>
          <w:szCs w:val="29"/>
          <w:bdr w:val="single" w:sz="2" w:space="0" w:color="E3E3E3" w:frame="1"/>
        </w:rPr>
        <w:t>f</w:t>
      </w:r>
      <w:r w:rsidRPr="009C41DF">
        <w:rPr>
          <w:rFonts w:ascii="Segoe UI" w:hAnsi="Segoe UI" w:cs="Segoe UI"/>
        </w:rPr>
        <w:t xml:space="preserve"> corresponde al modelo, </w:t>
      </w:r>
      <w:r w:rsidRPr="009C41DF">
        <w:rPr>
          <w:rStyle w:val="mord"/>
          <w:rFonts w:ascii="KaTeX_Math" w:hAnsi="KaTeX_Math"/>
          <w:i/>
          <w:iCs/>
          <w:sz w:val="29"/>
          <w:szCs w:val="29"/>
          <w:bdr w:val="single" w:sz="2" w:space="0" w:color="E3E3E3" w:frame="1"/>
        </w:rPr>
        <w:t>s</w:t>
      </w:r>
      <w:r w:rsidRPr="009C41DF">
        <w:rPr>
          <w:rStyle w:val="mord"/>
          <w:rFonts w:ascii="KaTeX_Math" w:hAnsi="KaTeX_Math"/>
          <w:i/>
          <w:iCs/>
          <w:sz w:val="20"/>
          <w:szCs w:val="20"/>
          <w:bdr w:val="single" w:sz="2" w:space="0" w:color="E3E3E3" w:frame="1"/>
        </w:rPr>
        <w:t>ij</w:t>
      </w:r>
      <w:r w:rsidRPr="009C41DF">
        <w:rPr>
          <w:rStyle w:val="vlist-s"/>
          <w:sz w:val="2"/>
          <w:szCs w:val="2"/>
          <w:bdr w:val="single" w:sz="2" w:space="0" w:color="E3E3E3" w:frame="1"/>
        </w:rPr>
        <w:t>​</w:t>
      </w:r>
      <w:r w:rsidRPr="009C41DF">
        <w:rPr>
          <w:rFonts w:ascii="Segoe UI" w:hAnsi="Segoe UI" w:cs="Segoe UI"/>
        </w:rPr>
        <w:t xml:space="preserve"> son variables latentes aleatorias asociadas al i-</w:t>
      </w:r>
      <w:proofErr w:type="spellStart"/>
      <w:r w:rsidRPr="009C41DF">
        <w:rPr>
          <w:rFonts w:ascii="Segoe UI" w:hAnsi="Segoe UI" w:cs="Segoe UI"/>
        </w:rPr>
        <w:t>ésimo</w:t>
      </w:r>
      <w:proofErr w:type="spellEnd"/>
      <w:r w:rsidRPr="009C41DF">
        <w:rPr>
          <w:rFonts w:ascii="Segoe UI" w:hAnsi="Segoe UI" w:cs="Segoe UI"/>
        </w:rPr>
        <w:t xml:space="preserve"> sujeto, </w:t>
      </w:r>
      <w:proofErr w:type="spellStart"/>
      <w:r w:rsidRPr="009C41DF">
        <w:rPr>
          <w:rStyle w:val="mord"/>
          <w:sz w:val="29"/>
          <w:szCs w:val="29"/>
          <w:bdr w:val="single" w:sz="2" w:space="0" w:color="E3E3E3" w:frame="1"/>
        </w:rPr>
        <w:t>Θ</w:t>
      </w:r>
      <w:r w:rsidRPr="009C41DF">
        <w:rPr>
          <w:rStyle w:val="mord"/>
          <w:rFonts w:ascii="KaTeX_Math" w:hAnsi="KaTeX_Math"/>
          <w:i/>
          <w:iCs/>
          <w:sz w:val="20"/>
          <w:szCs w:val="20"/>
          <w:bdr w:val="single" w:sz="2" w:space="0" w:color="E3E3E3" w:frame="1"/>
        </w:rPr>
        <w:t>k</w:t>
      </w:r>
      <w:proofErr w:type="spellEnd"/>
      <w:r w:rsidRPr="009C41DF">
        <w:rPr>
          <w:rStyle w:val="vlist-s"/>
          <w:sz w:val="2"/>
          <w:szCs w:val="2"/>
          <w:bdr w:val="single" w:sz="2" w:space="0" w:color="E3E3E3" w:frame="1"/>
        </w:rPr>
        <w:t>​</w:t>
      </w:r>
      <w:r w:rsidRPr="009C41DF">
        <w:rPr>
          <w:rFonts w:ascii="Segoe UI" w:hAnsi="Segoe UI" w:cs="Segoe UI"/>
        </w:rPr>
        <w:t xml:space="preserve"> son los parámetros del modelo, que incluyen variables de </w:t>
      </w:r>
      <w:r w:rsidRPr="009C41DF">
        <w:rPr>
          <w:rStyle w:val="mord"/>
          <w:rFonts w:ascii="KaTeX_Math" w:hAnsi="KaTeX_Math"/>
          <w:i/>
          <w:iCs/>
          <w:sz w:val="29"/>
          <w:szCs w:val="29"/>
          <w:bdr w:val="single" w:sz="2" w:space="0" w:color="E3E3E3" w:frame="1"/>
        </w:rPr>
        <w:t>f</w:t>
      </w:r>
      <w:r w:rsidRPr="009C41DF">
        <w:rPr>
          <w:rFonts w:ascii="Segoe UI" w:hAnsi="Segoe UI" w:cs="Segoe UI"/>
        </w:rPr>
        <w:t xml:space="preserve"> y </w:t>
      </w:r>
      <w:r w:rsidRPr="009C41DF">
        <w:rPr>
          <w:rStyle w:val="mord"/>
          <w:rFonts w:ascii="KaTeX_Math" w:hAnsi="KaTeX_Math"/>
          <w:i/>
          <w:iCs/>
          <w:sz w:val="29"/>
          <w:szCs w:val="29"/>
          <w:bdr w:val="single" w:sz="2" w:space="0" w:color="E3E3E3" w:frame="1"/>
        </w:rPr>
        <w:t>s</w:t>
      </w:r>
      <w:r w:rsidRPr="009C41DF">
        <w:rPr>
          <w:rStyle w:val="mord"/>
          <w:rFonts w:ascii="KaTeX_Math" w:hAnsi="KaTeX_Math"/>
          <w:i/>
          <w:iCs/>
          <w:sz w:val="20"/>
          <w:szCs w:val="20"/>
          <w:bdr w:val="single" w:sz="2" w:space="0" w:color="E3E3E3" w:frame="1"/>
        </w:rPr>
        <w:t>ij</w:t>
      </w:r>
      <w:r w:rsidRPr="009C41DF">
        <w:rPr>
          <w:rStyle w:val="vlist-s"/>
          <w:sz w:val="2"/>
          <w:szCs w:val="2"/>
          <w:bdr w:val="single" w:sz="2" w:space="0" w:color="E3E3E3" w:frame="1"/>
        </w:rPr>
        <w:t>​</w:t>
      </w:r>
      <w:r w:rsidRPr="009C41DF">
        <w:rPr>
          <w:rFonts w:ascii="Segoe UI" w:hAnsi="Segoe UI" w:cs="Segoe UI"/>
        </w:rPr>
        <w:t xml:space="preserve">, y </w:t>
      </w:r>
      <w:proofErr w:type="spellStart"/>
      <w:r w:rsidRPr="009C41DF">
        <w:rPr>
          <w:rStyle w:val="mord"/>
          <w:rFonts w:ascii="KaTeX_Math" w:hAnsi="KaTeX_Math"/>
          <w:i/>
          <w:iCs/>
          <w:sz w:val="29"/>
          <w:szCs w:val="29"/>
          <w:bdr w:val="single" w:sz="2" w:space="0" w:color="E3E3E3" w:frame="1"/>
        </w:rPr>
        <w:t>e</w:t>
      </w:r>
      <w:r w:rsidRPr="009C41DF">
        <w:rPr>
          <w:rStyle w:val="mord"/>
          <w:rFonts w:ascii="KaTeX_Math" w:hAnsi="KaTeX_Math"/>
          <w:i/>
          <w:iCs/>
          <w:sz w:val="20"/>
          <w:szCs w:val="20"/>
          <w:bdr w:val="single" w:sz="2" w:space="0" w:color="E3E3E3" w:frame="1"/>
        </w:rPr>
        <w:t>ijk</w:t>
      </w:r>
      <w:proofErr w:type="spellEnd"/>
      <w:r w:rsidRPr="009C41DF">
        <w:rPr>
          <w:rStyle w:val="vlist-s"/>
          <w:sz w:val="2"/>
          <w:szCs w:val="2"/>
          <w:bdr w:val="single" w:sz="2" w:space="0" w:color="E3E3E3" w:frame="1"/>
        </w:rPr>
        <w:t>​</w:t>
      </w:r>
      <w:r w:rsidRPr="009C41DF">
        <w:rPr>
          <w:rFonts w:ascii="Segoe UI" w:hAnsi="Segoe UI" w:cs="Segoe UI"/>
        </w:rPr>
        <w:t xml:space="preserve"> es un término de error. En general, el objetivo es identificar los parámetros que representen con mayor precisión las observaciones, como aquellos que optimizan la probabilidad [] o la optimización de la regresión no lineal robusta []. A medida que se tenga más muestras del sujeto, más particulares serán las trayectorias del paciente. Por el contrario, con pocas visitas, las trayectorias de sus marcadores tienden según el modelo de la población en general.</w:t>
      </w:r>
    </w:p>
    <w:p w14:paraId="27CFA9C8" w14:textId="77777777" w:rsidR="00F714C6"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b/>
          <w:bCs/>
        </w:rPr>
      </w:pPr>
      <w:r w:rsidRPr="001135D7">
        <w:rPr>
          <w:rFonts w:ascii="Segoe UI" w:hAnsi="Segoe UI" w:cs="Segoe UI"/>
          <w:b/>
          <w:bCs/>
        </w:rPr>
        <w:t xml:space="preserve">3.2 DPM Robusto (RPDPM) </w:t>
      </w:r>
    </w:p>
    <w:p w14:paraId="77D09324" w14:textId="55315B33"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 xml:space="preserve">La variable latente </w:t>
      </w:r>
      <w:r w:rsidRPr="009C41DF">
        <w:rPr>
          <w:rStyle w:val="mord"/>
          <w:rFonts w:ascii="KaTeX_Math" w:hAnsi="KaTeX_Math"/>
          <w:i/>
          <w:iCs/>
          <w:sz w:val="29"/>
          <w:szCs w:val="29"/>
          <w:bdr w:val="single" w:sz="2" w:space="0" w:color="E3E3E3" w:frame="1"/>
        </w:rPr>
        <w:t>s</w:t>
      </w:r>
      <w:r w:rsidRPr="009C41DF">
        <w:rPr>
          <w:rStyle w:val="mord"/>
          <w:rFonts w:ascii="KaTeX_Math" w:hAnsi="KaTeX_Math"/>
          <w:i/>
          <w:iCs/>
          <w:sz w:val="20"/>
          <w:szCs w:val="20"/>
          <w:bdr w:val="single" w:sz="2" w:space="0" w:color="E3E3E3" w:frame="1"/>
        </w:rPr>
        <w:t>ij</w:t>
      </w:r>
      <w:r w:rsidRPr="009C41DF">
        <w:rPr>
          <w:rStyle w:val="vlist-s"/>
          <w:sz w:val="2"/>
          <w:szCs w:val="2"/>
          <w:bdr w:val="single" w:sz="2" w:space="0" w:color="E3E3E3" w:frame="1"/>
        </w:rPr>
        <w:t>​</w:t>
      </w:r>
      <w:r w:rsidRPr="009C41DF">
        <w:rPr>
          <w:rFonts w:ascii="Segoe UI" w:hAnsi="Segoe UI" w:cs="Segoe UI"/>
        </w:rPr>
        <w:t xml:space="preserve"> transforma la edad del paciente </w:t>
      </w:r>
      <w:proofErr w:type="spellStart"/>
      <w:r w:rsidRPr="009C41DF">
        <w:rPr>
          <w:rStyle w:val="mord"/>
          <w:rFonts w:ascii="KaTeX_Math" w:hAnsi="KaTeX_Math"/>
          <w:i/>
          <w:iCs/>
          <w:sz w:val="29"/>
          <w:szCs w:val="29"/>
          <w:bdr w:val="single" w:sz="2" w:space="0" w:color="E3E3E3" w:frame="1"/>
        </w:rPr>
        <w:t>t</w:t>
      </w:r>
      <w:r w:rsidRPr="009C41DF">
        <w:rPr>
          <w:rStyle w:val="mord"/>
          <w:rFonts w:ascii="KaTeX_Math" w:hAnsi="KaTeX_Math"/>
          <w:i/>
          <w:iCs/>
          <w:sz w:val="20"/>
          <w:szCs w:val="20"/>
          <w:bdr w:val="single" w:sz="2" w:space="0" w:color="E3E3E3" w:frame="1"/>
        </w:rPr>
        <w:t>ij</w:t>
      </w:r>
      <w:proofErr w:type="spellEnd"/>
      <w:r w:rsidRPr="009C41DF">
        <w:rPr>
          <w:rStyle w:val="vlist-s"/>
          <w:sz w:val="2"/>
          <w:szCs w:val="2"/>
          <w:bdr w:val="single" w:sz="2" w:space="0" w:color="E3E3E3" w:frame="1"/>
        </w:rPr>
        <w:t>​</w:t>
      </w:r>
      <w:r w:rsidRPr="009C41DF">
        <w:rPr>
          <w:rFonts w:ascii="Segoe UI" w:hAnsi="Segoe UI" w:cs="Segoe UI"/>
        </w:rPr>
        <w:t xml:space="preserve"> en una escala de tiempo que define la progresión de la enfermedad, donde </w:t>
      </w:r>
      <w:r w:rsidRPr="009C41DF">
        <w:rPr>
          <w:rStyle w:val="mord"/>
          <w:rFonts w:ascii="KaTeX_Math" w:hAnsi="KaTeX_Math"/>
          <w:i/>
          <w:iCs/>
          <w:sz w:val="29"/>
          <w:szCs w:val="29"/>
          <w:bdr w:val="single" w:sz="2" w:space="0" w:color="E3E3E3" w:frame="1"/>
        </w:rPr>
        <w:t>α</w:t>
      </w:r>
      <w:r w:rsidRPr="009C41DF">
        <w:rPr>
          <w:rStyle w:val="mord"/>
          <w:rFonts w:ascii="KaTeX_Math" w:hAnsi="KaTeX_Math"/>
          <w:i/>
          <w:iCs/>
          <w:sz w:val="20"/>
          <w:szCs w:val="20"/>
          <w:bdr w:val="single" w:sz="2" w:space="0" w:color="E3E3E3" w:frame="1"/>
        </w:rPr>
        <w:t>i</w:t>
      </w:r>
      <w:r w:rsidRPr="009C41DF">
        <w:rPr>
          <w:rStyle w:val="vlist-s"/>
          <w:sz w:val="2"/>
          <w:szCs w:val="2"/>
          <w:bdr w:val="single" w:sz="2" w:space="0" w:color="E3E3E3" w:frame="1"/>
        </w:rPr>
        <w:t>​</w:t>
      </w:r>
      <w:r w:rsidRPr="009C41DF">
        <w:rPr>
          <w:rFonts w:ascii="Segoe UI" w:hAnsi="Segoe UI" w:cs="Segoe UI"/>
        </w:rPr>
        <w:t xml:space="preserve"> y </w:t>
      </w:r>
      <w:r w:rsidRPr="009C41DF">
        <w:rPr>
          <w:rStyle w:val="mord"/>
          <w:rFonts w:ascii="KaTeX_Math" w:hAnsi="KaTeX_Math"/>
          <w:i/>
          <w:iCs/>
          <w:sz w:val="29"/>
          <w:szCs w:val="29"/>
          <w:bdr w:val="single" w:sz="2" w:space="0" w:color="E3E3E3" w:frame="1"/>
        </w:rPr>
        <w:t>β</w:t>
      </w:r>
      <w:r w:rsidRPr="009C41DF">
        <w:rPr>
          <w:rStyle w:val="mord"/>
          <w:rFonts w:ascii="KaTeX_Math" w:hAnsi="KaTeX_Math"/>
          <w:i/>
          <w:iCs/>
          <w:sz w:val="20"/>
          <w:szCs w:val="20"/>
          <w:bdr w:val="single" w:sz="2" w:space="0" w:color="E3E3E3" w:frame="1"/>
        </w:rPr>
        <w:t>i</w:t>
      </w:r>
      <w:r w:rsidRPr="009C41DF">
        <w:rPr>
          <w:rStyle w:val="vlist-s"/>
          <w:sz w:val="2"/>
          <w:szCs w:val="2"/>
          <w:bdr w:val="single" w:sz="2" w:space="0" w:color="E3E3E3" w:frame="1"/>
        </w:rPr>
        <w:t>​</w:t>
      </w:r>
      <w:r w:rsidRPr="009C41DF">
        <w:rPr>
          <w:rFonts w:ascii="Segoe UI" w:hAnsi="Segoe UI" w:cs="Segoe UI"/>
        </w:rPr>
        <w:t xml:space="preserve"> representan los parámetros temporales para el i-</w:t>
      </w:r>
      <w:proofErr w:type="spellStart"/>
      <w:r w:rsidRPr="009C41DF">
        <w:rPr>
          <w:rFonts w:ascii="Segoe UI" w:hAnsi="Segoe UI" w:cs="Segoe UI"/>
        </w:rPr>
        <w:t>ésimo</w:t>
      </w:r>
      <w:proofErr w:type="spellEnd"/>
      <w:r w:rsidRPr="009C41DF">
        <w:rPr>
          <w:rFonts w:ascii="Segoe UI" w:hAnsi="Segoe UI" w:cs="Segoe UI"/>
        </w:rPr>
        <w:t xml:space="preserve"> paciente: </w:t>
      </w:r>
      <w:r w:rsidRPr="009C41DF">
        <w:rPr>
          <w:rStyle w:val="mord"/>
          <w:rFonts w:ascii="KaTeX_Math" w:hAnsi="KaTeX_Math"/>
          <w:i/>
          <w:iCs/>
          <w:sz w:val="29"/>
          <w:szCs w:val="29"/>
          <w:bdr w:val="single" w:sz="2" w:space="0" w:color="E3E3E3" w:frame="1"/>
        </w:rPr>
        <w:t>s</w:t>
      </w:r>
      <w:r w:rsidRPr="009C41DF">
        <w:rPr>
          <w:rStyle w:val="mord"/>
          <w:rFonts w:ascii="KaTeX_Math" w:hAnsi="KaTeX_Math"/>
          <w:i/>
          <w:iCs/>
          <w:sz w:val="20"/>
          <w:szCs w:val="20"/>
          <w:bdr w:val="single" w:sz="2" w:space="0" w:color="E3E3E3" w:frame="1"/>
        </w:rPr>
        <w:t>ij</w:t>
      </w:r>
      <w:r w:rsidRPr="009C41DF">
        <w:rPr>
          <w:rStyle w:val="vlist-s"/>
          <w:sz w:val="2"/>
          <w:szCs w:val="2"/>
          <w:bdr w:val="single" w:sz="2" w:space="0" w:color="E3E3E3" w:frame="1"/>
        </w:rPr>
        <w:t>​</w:t>
      </w:r>
      <w:r w:rsidRPr="009C41DF">
        <w:rPr>
          <w:rStyle w:val="mrel"/>
          <w:sz w:val="29"/>
          <w:szCs w:val="29"/>
          <w:bdr w:val="single" w:sz="2" w:space="0" w:color="E3E3E3" w:frame="1"/>
        </w:rPr>
        <w:t>=</w:t>
      </w:r>
      <w:r w:rsidRPr="009C41DF">
        <w:rPr>
          <w:rStyle w:val="mord"/>
          <w:rFonts w:ascii="KaTeX_Math" w:hAnsi="KaTeX_Math"/>
          <w:i/>
          <w:iCs/>
          <w:sz w:val="29"/>
          <w:szCs w:val="29"/>
          <w:bdr w:val="single" w:sz="2" w:space="0" w:color="E3E3E3" w:frame="1"/>
        </w:rPr>
        <w:t>α</w:t>
      </w:r>
      <w:r w:rsidRPr="009C41DF">
        <w:rPr>
          <w:rStyle w:val="mord"/>
          <w:rFonts w:ascii="KaTeX_Math" w:hAnsi="KaTeX_Math"/>
          <w:i/>
          <w:iCs/>
          <w:sz w:val="20"/>
          <w:szCs w:val="20"/>
          <w:bdr w:val="single" w:sz="2" w:space="0" w:color="E3E3E3" w:frame="1"/>
        </w:rPr>
        <w:t>i</w:t>
      </w:r>
      <w:r w:rsidRPr="009C41DF">
        <w:rPr>
          <w:rStyle w:val="vlist-s"/>
          <w:sz w:val="2"/>
          <w:szCs w:val="2"/>
          <w:bdr w:val="single" w:sz="2" w:space="0" w:color="E3E3E3" w:frame="1"/>
        </w:rPr>
        <w:t>​</w:t>
      </w:r>
      <w:r w:rsidRPr="009C41DF">
        <w:rPr>
          <w:rStyle w:val="mbin"/>
          <w:rFonts w:ascii="Cambria Math" w:hAnsi="Cambria Math" w:cs="Cambria Math"/>
          <w:sz w:val="29"/>
          <w:szCs w:val="29"/>
          <w:bdr w:val="single" w:sz="2" w:space="0" w:color="E3E3E3" w:frame="1"/>
        </w:rPr>
        <w:t>⋅</w:t>
      </w:r>
      <w:proofErr w:type="spellStart"/>
      <w:r w:rsidRPr="009C41DF">
        <w:rPr>
          <w:rStyle w:val="mord"/>
          <w:rFonts w:ascii="KaTeX_Math" w:hAnsi="KaTeX_Math"/>
          <w:i/>
          <w:iCs/>
          <w:sz w:val="29"/>
          <w:szCs w:val="29"/>
          <w:bdr w:val="single" w:sz="2" w:space="0" w:color="E3E3E3" w:frame="1"/>
        </w:rPr>
        <w:t>t</w:t>
      </w:r>
      <w:r w:rsidRPr="009C41DF">
        <w:rPr>
          <w:rStyle w:val="mord"/>
          <w:rFonts w:ascii="KaTeX_Math" w:hAnsi="KaTeX_Math"/>
          <w:i/>
          <w:iCs/>
          <w:sz w:val="20"/>
          <w:szCs w:val="20"/>
          <w:bdr w:val="single" w:sz="2" w:space="0" w:color="E3E3E3" w:frame="1"/>
        </w:rPr>
        <w:t>ij</w:t>
      </w:r>
      <w:proofErr w:type="spellEnd"/>
      <w:r w:rsidRPr="009C41DF">
        <w:rPr>
          <w:rStyle w:val="vlist-s"/>
          <w:sz w:val="2"/>
          <w:szCs w:val="2"/>
          <w:bdr w:val="single" w:sz="2" w:space="0" w:color="E3E3E3" w:frame="1"/>
        </w:rPr>
        <w:t>​</w:t>
      </w:r>
      <w:r w:rsidRPr="009C41DF">
        <w:rPr>
          <w:rStyle w:val="mbin"/>
          <w:sz w:val="29"/>
          <w:szCs w:val="29"/>
          <w:bdr w:val="single" w:sz="2" w:space="0" w:color="E3E3E3" w:frame="1"/>
        </w:rPr>
        <w:t>+</w:t>
      </w:r>
      <w:r w:rsidRPr="009C41DF">
        <w:rPr>
          <w:rStyle w:val="mord"/>
          <w:rFonts w:ascii="KaTeX_Math" w:hAnsi="KaTeX_Math"/>
          <w:i/>
          <w:iCs/>
          <w:sz w:val="29"/>
          <w:szCs w:val="29"/>
          <w:bdr w:val="single" w:sz="2" w:space="0" w:color="E3E3E3" w:frame="1"/>
        </w:rPr>
        <w:t>β</w:t>
      </w:r>
      <w:r w:rsidRPr="009C41DF">
        <w:rPr>
          <w:rStyle w:val="mord"/>
          <w:rFonts w:ascii="KaTeX_Math" w:hAnsi="KaTeX_Math"/>
          <w:i/>
          <w:iCs/>
          <w:sz w:val="20"/>
          <w:szCs w:val="20"/>
          <w:bdr w:val="single" w:sz="2" w:space="0" w:color="E3E3E3" w:frame="1"/>
        </w:rPr>
        <w:t>i</w:t>
      </w:r>
      <w:r w:rsidRPr="009C41DF">
        <w:rPr>
          <w:rStyle w:val="vlist-s"/>
          <w:sz w:val="2"/>
          <w:szCs w:val="2"/>
          <w:bdr w:val="single" w:sz="2" w:space="0" w:color="E3E3E3" w:frame="1"/>
        </w:rPr>
        <w:t>​</w:t>
      </w:r>
      <w:r w:rsidRPr="009C41DF">
        <w:rPr>
          <w:rFonts w:ascii="Segoe UI" w:hAnsi="Segoe UI" w:cs="Segoe UI"/>
        </w:rPr>
        <w:t xml:space="preserve"> El modelo geométrico para las trayectorias se define por: </w:t>
      </w:r>
      <w:r w:rsidRPr="009C41DF">
        <w:rPr>
          <w:rStyle w:val="mord"/>
          <w:rFonts w:ascii="KaTeX_Math" w:hAnsi="KaTeX_Math"/>
          <w:i/>
          <w:iCs/>
          <w:sz w:val="29"/>
          <w:szCs w:val="29"/>
          <w:bdr w:val="single" w:sz="2" w:space="0" w:color="E3E3E3" w:frame="1"/>
        </w:rPr>
        <w:t>f</w:t>
      </w:r>
      <w:r w:rsidRPr="009C41DF">
        <w:rPr>
          <w:rStyle w:val="mopen"/>
          <w:sz w:val="29"/>
          <w:szCs w:val="29"/>
          <w:bdr w:val="single" w:sz="2" w:space="0" w:color="E3E3E3" w:frame="1"/>
        </w:rPr>
        <w:t>(</w:t>
      </w:r>
      <w:proofErr w:type="spellStart"/>
      <w:proofErr w:type="gramStart"/>
      <w:r w:rsidRPr="009C41DF">
        <w:rPr>
          <w:rStyle w:val="mord"/>
          <w:rFonts w:ascii="KaTeX_Math" w:hAnsi="KaTeX_Math"/>
          <w:i/>
          <w:iCs/>
          <w:sz w:val="29"/>
          <w:szCs w:val="29"/>
          <w:bdr w:val="single" w:sz="2" w:space="0" w:color="E3E3E3" w:frame="1"/>
        </w:rPr>
        <w:t>s</w:t>
      </w:r>
      <w:r w:rsidRPr="009C41DF">
        <w:rPr>
          <w:rStyle w:val="mpunct"/>
          <w:sz w:val="29"/>
          <w:szCs w:val="29"/>
          <w:bdr w:val="single" w:sz="2" w:space="0" w:color="E3E3E3" w:frame="1"/>
        </w:rPr>
        <w:t>;</w:t>
      </w:r>
      <w:r w:rsidRPr="009C41DF">
        <w:rPr>
          <w:rStyle w:val="mord"/>
          <w:sz w:val="29"/>
          <w:szCs w:val="29"/>
          <w:bdr w:val="single" w:sz="2" w:space="0" w:color="E3E3E3" w:frame="1"/>
        </w:rPr>
        <w:t>Θ</w:t>
      </w:r>
      <w:proofErr w:type="spellEnd"/>
      <w:proofErr w:type="gramEnd"/>
      <w:r w:rsidRPr="009C41DF">
        <w:rPr>
          <w:rStyle w:val="mclose"/>
          <w:sz w:val="29"/>
          <w:szCs w:val="29"/>
          <w:bdr w:val="single" w:sz="2" w:space="0" w:color="E3E3E3" w:frame="1"/>
        </w:rPr>
        <w:t>)</w:t>
      </w:r>
      <w:r w:rsidRPr="009C41DF">
        <w:rPr>
          <w:rStyle w:val="mrel"/>
          <w:sz w:val="29"/>
          <w:szCs w:val="29"/>
          <w:bdr w:val="single" w:sz="2" w:space="0" w:color="E3E3E3" w:frame="1"/>
        </w:rPr>
        <w:t>=</w:t>
      </w:r>
      <w:r w:rsidRPr="009C41DF">
        <w:rPr>
          <w:rStyle w:val="mopen"/>
          <w:sz w:val="29"/>
          <w:szCs w:val="29"/>
          <w:bdr w:val="single" w:sz="2" w:space="0" w:color="E3E3E3" w:frame="1"/>
        </w:rPr>
        <w:t>(</w:t>
      </w:r>
      <w:r w:rsidRPr="009C41DF">
        <w:rPr>
          <w:rStyle w:val="mord"/>
          <w:rFonts w:ascii="KaTeX_Math" w:hAnsi="KaTeX_Math"/>
          <w:i/>
          <w:iCs/>
          <w:sz w:val="29"/>
          <w:szCs w:val="29"/>
          <w:bdr w:val="single" w:sz="2" w:space="0" w:color="E3E3E3" w:frame="1"/>
        </w:rPr>
        <w:t>a</w:t>
      </w:r>
      <w:r w:rsidRPr="009C41DF">
        <w:rPr>
          <w:rStyle w:val="mbin"/>
          <w:sz w:val="29"/>
          <w:szCs w:val="29"/>
          <w:bdr w:val="single" w:sz="2" w:space="0" w:color="E3E3E3" w:frame="1"/>
        </w:rPr>
        <w:t>−</w:t>
      </w:r>
      <w:r w:rsidRPr="009C41DF">
        <w:rPr>
          <w:rStyle w:val="mord"/>
          <w:rFonts w:ascii="KaTeX_Math" w:hAnsi="KaTeX_Math"/>
          <w:i/>
          <w:iCs/>
          <w:sz w:val="29"/>
          <w:szCs w:val="29"/>
          <w:bdr w:val="single" w:sz="2" w:space="0" w:color="E3E3E3" w:frame="1"/>
        </w:rPr>
        <w:t>d</w:t>
      </w:r>
      <w:r w:rsidRPr="009C41DF">
        <w:rPr>
          <w:rStyle w:val="mclose"/>
          <w:sz w:val="29"/>
          <w:szCs w:val="29"/>
          <w:bdr w:val="single" w:sz="2" w:space="0" w:color="E3E3E3" w:frame="1"/>
        </w:rPr>
        <w:t>)</w:t>
      </w:r>
      <w:r w:rsidRPr="009C41DF">
        <w:rPr>
          <w:rStyle w:val="mord"/>
          <w:rFonts w:ascii="KaTeX_Math" w:hAnsi="KaTeX_Math"/>
          <w:i/>
          <w:iCs/>
          <w:sz w:val="29"/>
          <w:szCs w:val="29"/>
          <w:bdr w:val="single" w:sz="2" w:space="0" w:color="E3E3E3" w:frame="1"/>
        </w:rPr>
        <w:t>g</w:t>
      </w:r>
      <w:r w:rsidRPr="009C41DF">
        <w:rPr>
          <w:rStyle w:val="mopen"/>
          <w:sz w:val="29"/>
          <w:szCs w:val="29"/>
          <w:bdr w:val="single" w:sz="2" w:space="0" w:color="E3E3E3" w:frame="1"/>
        </w:rPr>
        <w:t>(</w:t>
      </w:r>
      <w:proofErr w:type="spellStart"/>
      <w:r w:rsidRPr="009C41DF">
        <w:rPr>
          <w:rStyle w:val="mord"/>
          <w:rFonts w:ascii="KaTeX_Math" w:hAnsi="KaTeX_Math"/>
          <w:i/>
          <w:iCs/>
          <w:sz w:val="29"/>
          <w:szCs w:val="29"/>
          <w:bdr w:val="single" w:sz="2" w:space="0" w:color="E3E3E3" w:frame="1"/>
        </w:rPr>
        <w:t>s</w:t>
      </w:r>
      <w:r w:rsidRPr="009C41DF">
        <w:rPr>
          <w:rStyle w:val="mpunct"/>
          <w:sz w:val="29"/>
          <w:szCs w:val="29"/>
          <w:bdr w:val="single" w:sz="2" w:space="0" w:color="E3E3E3" w:frame="1"/>
        </w:rPr>
        <w:t>;</w:t>
      </w:r>
      <w:r w:rsidRPr="009C41DF">
        <w:rPr>
          <w:rStyle w:val="mord"/>
          <w:sz w:val="29"/>
          <w:szCs w:val="29"/>
          <w:bdr w:val="single" w:sz="2" w:space="0" w:color="E3E3E3" w:frame="1"/>
        </w:rPr>
        <w:t>Θ</w:t>
      </w:r>
      <w:proofErr w:type="spellEnd"/>
      <w:r w:rsidRPr="009C41DF">
        <w:rPr>
          <w:rStyle w:val="mclose"/>
          <w:sz w:val="29"/>
          <w:szCs w:val="29"/>
          <w:bdr w:val="single" w:sz="2" w:space="0" w:color="E3E3E3" w:frame="1"/>
        </w:rPr>
        <w:t>)</w:t>
      </w:r>
      <w:r w:rsidRPr="009C41DF">
        <w:rPr>
          <w:rStyle w:val="mbin"/>
          <w:sz w:val="29"/>
          <w:szCs w:val="29"/>
          <w:bdr w:val="single" w:sz="2" w:space="0" w:color="E3E3E3" w:frame="1"/>
        </w:rPr>
        <w:t>+</w:t>
      </w:r>
      <w:r w:rsidRPr="009C41DF">
        <w:rPr>
          <w:rStyle w:val="mord"/>
          <w:rFonts w:ascii="KaTeX_Math" w:hAnsi="KaTeX_Math"/>
          <w:i/>
          <w:iCs/>
          <w:sz w:val="29"/>
          <w:szCs w:val="29"/>
          <w:bdr w:val="single" w:sz="2" w:space="0" w:color="E3E3E3" w:frame="1"/>
        </w:rPr>
        <w:t>d</w:t>
      </w:r>
      <w:r w:rsidRPr="009C41DF">
        <w:rPr>
          <w:rFonts w:ascii="Segoe UI" w:hAnsi="Segoe UI" w:cs="Segoe UI"/>
        </w:rPr>
        <w:t xml:space="preserve"> donde </w:t>
      </w:r>
      <w:r w:rsidRPr="009C41DF">
        <w:rPr>
          <w:rStyle w:val="mord"/>
          <w:rFonts w:ascii="KaTeX_Math" w:hAnsi="KaTeX_Math"/>
          <w:i/>
          <w:iCs/>
          <w:sz w:val="29"/>
          <w:szCs w:val="29"/>
          <w:bdr w:val="single" w:sz="2" w:space="0" w:color="E3E3E3" w:frame="1"/>
        </w:rPr>
        <w:t>a</w:t>
      </w:r>
      <w:r w:rsidRPr="009C41DF">
        <w:rPr>
          <w:rFonts w:ascii="Segoe UI" w:hAnsi="Segoe UI" w:cs="Segoe UI"/>
        </w:rPr>
        <w:t xml:space="preserve"> y </w:t>
      </w:r>
      <w:r w:rsidRPr="009C41DF">
        <w:rPr>
          <w:rStyle w:val="mord"/>
          <w:rFonts w:ascii="KaTeX_Math" w:hAnsi="KaTeX_Math"/>
          <w:i/>
          <w:iCs/>
          <w:sz w:val="29"/>
          <w:szCs w:val="29"/>
          <w:bdr w:val="single" w:sz="2" w:space="0" w:color="E3E3E3" w:frame="1"/>
        </w:rPr>
        <w:t>d</w:t>
      </w:r>
      <w:r w:rsidRPr="009C41DF">
        <w:rPr>
          <w:rFonts w:ascii="Segoe UI" w:hAnsi="Segoe UI" w:cs="Segoe UI"/>
        </w:rPr>
        <w:t xml:space="preserve"> son parámetros de normalización para los marcadores, y </w:t>
      </w:r>
      <w:r w:rsidRPr="009C41DF">
        <w:rPr>
          <w:rStyle w:val="mord"/>
          <w:rFonts w:ascii="KaTeX_Math" w:hAnsi="KaTeX_Math"/>
          <w:i/>
          <w:iCs/>
          <w:sz w:val="29"/>
          <w:szCs w:val="29"/>
          <w:bdr w:val="single" w:sz="2" w:space="0" w:color="E3E3E3" w:frame="1"/>
        </w:rPr>
        <w:t>g</w:t>
      </w:r>
      <w:r w:rsidRPr="009C41DF">
        <w:rPr>
          <w:rStyle w:val="mopen"/>
          <w:sz w:val="29"/>
          <w:szCs w:val="29"/>
          <w:bdr w:val="single" w:sz="2" w:space="0" w:color="E3E3E3" w:frame="1"/>
        </w:rPr>
        <w:t>(</w:t>
      </w:r>
      <w:proofErr w:type="spellStart"/>
      <w:r w:rsidRPr="009C41DF">
        <w:rPr>
          <w:rStyle w:val="mord"/>
          <w:rFonts w:ascii="KaTeX_Math" w:hAnsi="KaTeX_Math"/>
          <w:i/>
          <w:iCs/>
          <w:sz w:val="29"/>
          <w:szCs w:val="29"/>
          <w:bdr w:val="single" w:sz="2" w:space="0" w:color="E3E3E3" w:frame="1"/>
        </w:rPr>
        <w:t>s</w:t>
      </w:r>
      <w:r w:rsidRPr="009C41DF">
        <w:rPr>
          <w:rStyle w:val="mpunct"/>
          <w:sz w:val="29"/>
          <w:szCs w:val="29"/>
          <w:bdr w:val="single" w:sz="2" w:space="0" w:color="E3E3E3" w:frame="1"/>
        </w:rPr>
        <w:t>;</w:t>
      </w:r>
      <w:r w:rsidRPr="009C41DF">
        <w:rPr>
          <w:rStyle w:val="mord"/>
          <w:sz w:val="29"/>
          <w:szCs w:val="29"/>
          <w:bdr w:val="single" w:sz="2" w:space="0" w:color="E3E3E3" w:frame="1"/>
        </w:rPr>
        <w:t>Θ</w:t>
      </w:r>
      <w:proofErr w:type="spellEnd"/>
      <w:r w:rsidRPr="009C41DF">
        <w:rPr>
          <w:rStyle w:val="mclose"/>
          <w:sz w:val="29"/>
          <w:szCs w:val="29"/>
          <w:bdr w:val="single" w:sz="2" w:space="0" w:color="E3E3E3" w:frame="1"/>
        </w:rPr>
        <w:t>)</w:t>
      </w:r>
      <w:r w:rsidRPr="009C41DF">
        <w:rPr>
          <w:rFonts w:ascii="Segoe UI" w:hAnsi="Segoe UI" w:cs="Segoe UI"/>
        </w:rPr>
        <w:t xml:space="preserve"> representa una función logística. Finalmente, la optimización multiobjetivo para la regresión no lineal robusta se define como: </w:t>
      </w:r>
      <w:r w:rsidRPr="009C41DF">
        <w:rPr>
          <w:rStyle w:val="mopen"/>
          <w:sz w:val="29"/>
          <w:szCs w:val="29"/>
          <w:bdr w:val="single" w:sz="2" w:space="0" w:color="E3E3E3" w:frame="1"/>
        </w:rPr>
        <w:t>(</w:t>
      </w:r>
      <w:r w:rsidRPr="009C41DF">
        <w:rPr>
          <w:rStyle w:val="mord"/>
          <w:rFonts w:ascii="KaTeX_Math" w:hAnsi="KaTeX_Math"/>
          <w:i/>
          <w:iCs/>
          <w:sz w:val="29"/>
          <w:szCs w:val="29"/>
          <w:bdr w:val="single" w:sz="2" w:space="0" w:color="E3E3E3" w:frame="1"/>
        </w:rPr>
        <w:t>α</w:t>
      </w:r>
      <w:proofErr w:type="gramStart"/>
      <w:r w:rsidRPr="009C41DF">
        <w:rPr>
          <w:rStyle w:val="mord"/>
          <w:sz w:val="29"/>
          <w:szCs w:val="29"/>
          <w:bdr w:val="single" w:sz="2" w:space="0" w:color="E3E3E3" w:frame="1"/>
        </w:rPr>
        <w:t>^</w:t>
      </w:r>
      <w:r w:rsidRPr="009C41DF">
        <w:rPr>
          <w:rStyle w:val="mpunct"/>
          <w:sz w:val="29"/>
          <w:szCs w:val="29"/>
          <w:bdr w:val="single" w:sz="2" w:space="0" w:color="E3E3E3" w:frame="1"/>
        </w:rPr>
        <w:t>,</w:t>
      </w:r>
      <w:r w:rsidRPr="009C41DF">
        <w:rPr>
          <w:rStyle w:val="mord"/>
          <w:rFonts w:ascii="KaTeX_Math" w:hAnsi="KaTeX_Math"/>
          <w:i/>
          <w:iCs/>
          <w:sz w:val="29"/>
          <w:szCs w:val="29"/>
          <w:bdr w:val="single" w:sz="2" w:space="0" w:color="E3E3E3" w:frame="1"/>
        </w:rPr>
        <w:t>β</w:t>
      </w:r>
      <w:proofErr w:type="gramEnd"/>
      <w:r w:rsidRPr="009C41DF">
        <w:rPr>
          <w:rStyle w:val="mord"/>
          <w:sz w:val="29"/>
          <w:szCs w:val="29"/>
          <w:bdr w:val="single" w:sz="2" w:space="0" w:color="E3E3E3" w:frame="1"/>
        </w:rPr>
        <w:t>^</w:t>
      </w:r>
      <w:r w:rsidRPr="009C41DF">
        <w:rPr>
          <w:rStyle w:val="vlist-s"/>
          <w:sz w:val="2"/>
          <w:szCs w:val="2"/>
          <w:bdr w:val="single" w:sz="2" w:space="0" w:color="E3E3E3" w:frame="1"/>
        </w:rPr>
        <w:t>​</w:t>
      </w:r>
      <w:r w:rsidRPr="009C41DF">
        <w:rPr>
          <w:rStyle w:val="mpunct"/>
          <w:sz w:val="29"/>
          <w:szCs w:val="29"/>
          <w:bdr w:val="single" w:sz="2" w:space="0" w:color="E3E3E3" w:frame="1"/>
        </w:rPr>
        <w:t>,</w:t>
      </w:r>
      <w:r w:rsidRPr="009C41DF">
        <w:rPr>
          <w:rStyle w:val="mord"/>
          <w:sz w:val="29"/>
          <w:szCs w:val="29"/>
          <w:bdr w:val="single" w:sz="2" w:space="0" w:color="E3E3E3" w:frame="1"/>
        </w:rPr>
        <w:t>Θ^</w:t>
      </w:r>
      <w:r w:rsidRPr="009C41DF">
        <w:rPr>
          <w:rStyle w:val="mclose"/>
          <w:sz w:val="29"/>
          <w:szCs w:val="29"/>
          <w:bdr w:val="single" w:sz="2" w:space="0" w:color="E3E3E3" w:frame="1"/>
        </w:rPr>
        <w:t>)</w:t>
      </w:r>
      <w:r w:rsidRPr="009C41DF">
        <w:rPr>
          <w:rStyle w:val="mrel"/>
          <w:sz w:val="29"/>
          <w:szCs w:val="29"/>
          <w:bdr w:val="single" w:sz="2" w:space="0" w:color="E3E3E3" w:frame="1"/>
        </w:rPr>
        <w:t>=</w:t>
      </w:r>
      <w:r w:rsidRPr="009C41DF">
        <w:rPr>
          <w:rStyle w:val="mop"/>
          <w:sz w:val="29"/>
          <w:szCs w:val="29"/>
          <w:bdr w:val="single" w:sz="2" w:space="0" w:color="E3E3E3" w:frame="1"/>
        </w:rPr>
        <w:t>min</w:t>
      </w:r>
      <w:r w:rsidRPr="009C41DF">
        <w:rPr>
          <w:rStyle w:val="mord"/>
          <w:rFonts w:ascii="KaTeX_Math" w:hAnsi="KaTeX_Math"/>
          <w:i/>
          <w:iCs/>
          <w:sz w:val="20"/>
          <w:szCs w:val="20"/>
          <w:bdr w:val="single" w:sz="2" w:space="0" w:color="E3E3E3" w:frame="1"/>
        </w:rPr>
        <w:t>α</w:t>
      </w:r>
      <w:r w:rsidRPr="009C41DF">
        <w:rPr>
          <w:rStyle w:val="mpunct"/>
          <w:sz w:val="20"/>
          <w:szCs w:val="20"/>
          <w:bdr w:val="single" w:sz="2" w:space="0" w:color="E3E3E3" w:frame="1"/>
        </w:rPr>
        <w:t>,</w:t>
      </w:r>
      <w:r w:rsidRPr="009C41DF">
        <w:rPr>
          <w:rStyle w:val="mord"/>
          <w:rFonts w:ascii="KaTeX_Math" w:hAnsi="KaTeX_Math"/>
          <w:i/>
          <w:iCs/>
          <w:sz w:val="20"/>
          <w:szCs w:val="20"/>
          <w:bdr w:val="single" w:sz="2" w:space="0" w:color="E3E3E3" w:frame="1"/>
        </w:rPr>
        <w:t>β</w:t>
      </w:r>
      <w:r w:rsidRPr="009C41DF">
        <w:rPr>
          <w:rStyle w:val="mpunct"/>
          <w:sz w:val="20"/>
          <w:szCs w:val="20"/>
          <w:bdr w:val="single" w:sz="2" w:space="0" w:color="E3E3E3" w:frame="1"/>
        </w:rPr>
        <w:t>,</w:t>
      </w:r>
      <w:r w:rsidRPr="009C41DF">
        <w:rPr>
          <w:rStyle w:val="mord"/>
          <w:sz w:val="20"/>
          <w:szCs w:val="20"/>
          <w:bdr w:val="single" w:sz="2" w:space="0" w:color="E3E3E3" w:frame="1"/>
        </w:rPr>
        <w:t>Θ</w:t>
      </w:r>
      <w:r w:rsidRPr="009C41DF">
        <w:rPr>
          <w:rStyle w:val="vlist-s"/>
          <w:sz w:val="2"/>
          <w:szCs w:val="2"/>
          <w:bdr w:val="single" w:sz="2" w:space="0" w:color="E3E3E3" w:frame="1"/>
        </w:rPr>
        <w:t>​</w:t>
      </w:r>
      <w:r w:rsidRPr="009C41DF">
        <w:rPr>
          <w:rStyle w:val="mord"/>
          <w:rFonts w:ascii="KaTeX_Math" w:hAnsi="KaTeX_Math"/>
          <w:i/>
          <w:iCs/>
          <w:sz w:val="20"/>
          <w:szCs w:val="20"/>
          <w:bdr w:val="single" w:sz="2" w:space="0" w:color="E3E3E3" w:frame="1"/>
        </w:rPr>
        <w:t>n</w:t>
      </w:r>
      <w:r w:rsidRPr="009C41DF">
        <w:rPr>
          <w:rStyle w:val="mord"/>
          <w:sz w:val="20"/>
          <w:szCs w:val="20"/>
          <w:bdr w:val="single" w:sz="2" w:space="0" w:color="E3E3E3" w:frame="1"/>
        </w:rPr>
        <w:t>1</w:t>
      </w:r>
      <w:r w:rsidRPr="009C41DF">
        <w:rPr>
          <w:rStyle w:val="vlist-s"/>
          <w:sz w:val="2"/>
          <w:szCs w:val="2"/>
          <w:bdr w:val="single" w:sz="2" w:space="0" w:color="E3E3E3" w:frame="1"/>
        </w:rPr>
        <w:t>​</w:t>
      </w:r>
      <w:r w:rsidRPr="009C41DF">
        <w:rPr>
          <w:rStyle w:val="mop"/>
          <w:rFonts w:ascii="KaTeX_Size1" w:hAnsi="KaTeX_Size1"/>
          <w:sz w:val="29"/>
          <w:szCs w:val="29"/>
          <w:bdr w:val="single" w:sz="2" w:space="0" w:color="E3E3E3" w:frame="1"/>
        </w:rPr>
        <w:t>∑</w:t>
      </w:r>
      <w:proofErr w:type="spellStart"/>
      <w:r w:rsidRPr="009C41DF">
        <w:rPr>
          <w:rStyle w:val="mord"/>
          <w:rFonts w:ascii="KaTeX_Math" w:hAnsi="KaTeX_Math"/>
          <w:i/>
          <w:iCs/>
          <w:sz w:val="20"/>
          <w:szCs w:val="20"/>
          <w:bdr w:val="single" w:sz="2" w:space="0" w:color="E3E3E3" w:frame="1"/>
        </w:rPr>
        <w:t>i</w:t>
      </w:r>
      <w:r w:rsidRPr="009C41DF">
        <w:rPr>
          <w:rStyle w:val="mpunct"/>
          <w:sz w:val="20"/>
          <w:szCs w:val="20"/>
          <w:bdr w:val="single" w:sz="2" w:space="0" w:color="E3E3E3" w:frame="1"/>
        </w:rPr>
        <w:t>,</w:t>
      </w:r>
      <w:r w:rsidRPr="009C41DF">
        <w:rPr>
          <w:rStyle w:val="mord"/>
          <w:rFonts w:ascii="KaTeX_Math" w:hAnsi="KaTeX_Math"/>
          <w:i/>
          <w:iCs/>
          <w:sz w:val="20"/>
          <w:szCs w:val="20"/>
          <w:bdr w:val="single" w:sz="2" w:space="0" w:color="E3E3E3" w:frame="1"/>
        </w:rPr>
        <w:t>j</w:t>
      </w:r>
      <w:r w:rsidRPr="009C41DF">
        <w:rPr>
          <w:rStyle w:val="mpunct"/>
          <w:sz w:val="20"/>
          <w:szCs w:val="20"/>
          <w:bdr w:val="single" w:sz="2" w:space="0" w:color="E3E3E3" w:frame="1"/>
        </w:rPr>
        <w:t>,</w:t>
      </w:r>
      <w:r w:rsidRPr="009C41DF">
        <w:rPr>
          <w:rStyle w:val="mord"/>
          <w:rFonts w:ascii="KaTeX_Math" w:hAnsi="KaTeX_Math"/>
          <w:i/>
          <w:iCs/>
          <w:sz w:val="20"/>
          <w:szCs w:val="20"/>
          <w:bdr w:val="single" w:sz="2" w:space="0" w:color="E3E3E3" w:frame="1"/>
        </w:rPr>
        <w:t>k</w:t>
      </w:r>
      <w:proofErr w:type="spellEnd"/>
      <w:r w:rsidRPr="009C41DF">
        <w:rPr>
          <w:rStyle w:val="vlist-s"/>
          <w:sz w:val="2"/>
          <w:szCs w:val="2"/>
          <w:bdr w:val="single" w:sz="2" w:space="0" w:color="E3E3E3" w:frame="1"/>
        </w:rPr>
        <w:t>​</w:t>
      </w:r>
      <w:proofErr w:type="spellStart"/>
      <w:r w:rsidRPr="009C41DF">
        <w:rPr>
          <w:rStyle w:val="mord"/>
          <w:rFonts w:ascii="KaTeX_Math" w:hAnsi="KaTeX_Math"/>
          <w:i/>
          <w:iCs/>
          <w:sz w:val="29"/>
          <w:szCs w:val="29"/>
          <w:bdr w:val="single" w:sz="2" w:space="0" w:color="E3E3E3" w:frame="1"/>
        </w:rPr>
        <w:t>ω</w:t>
      </w:r>
      <w:r w:rsidRPr="009C41DF">
        <w:rPr>
          <w:rStyle w:val="mord"/>
          <w:rFonts w:ascii="KaTeX_Math" w:hAnsi="KaTeX_Math"/>
          <w:i/>
          <w:iCs/>
          <w:sz w:val="20"/>
          <w:szCs w:val="20"/>
          <w:bdr w:val="single" w:sz="2" w:space="0" w:color="E3E3E3" w:frame="1"/>
        </w:rPr>
        <w:t>i</w:t>
      </w:r>
      <w:proofErr w:type="spellEnd"/>
      <w:r w:rsidRPr="009C41DF">
        <w:rPr>
          <w:rStyle w:val="vlist-s"/>
          <w:sz w:val="2"/>
          <w:szCs w:val="2"/>
          <w:bdr w:val="single" w:sz="2" w:space="0" w:color="E3E3E3" w:frame="1"/>
        </w:rPr>
        <w:t>​</w:t>
      </w:r>
      <w:r w:rsidRPr="009C41DF">
        <w:rPr>
          <w:rStyle w:val="mord"/>
          <w:rFonts w:ascii="KaTeX_Math" w:hAnsi="KaTeX_Math"/>
          <w:i/>
          <w:iCs/>
          <w:sz w:val="29"/>
          <w:szCs w:val="29"/>
          <w:bdr w:val="single" w:sz="2" w:space="0" w:color="E3E3E3" w:frame="1"/>
        </w:rPr>
        <w:t>ρ</w:t>
      </w:r>
      <w:r w:rsidRPr="009C41DF">
        <w:rPr>
          <w:rStyle w:val="delimsizing"/>
          <w:rFonts w:ascii="KaTeX_Size2" w:hAnsi="KaTeX_Size2"/>
          <w:sz w:val="29"/>
          <w:szCs w:val="29"/>
          <w:bdr w:val="single" w:sz="2" w:space="0" w:color="E3E3E3" w:frame="1"/>
        </w:rPr>
        <w:t>(</w:t>
      </w:r>
      <w:proofErr w:type="spellStart"/>
      <w:r w:rsidRPr="009C41DF">
        <w:rPr>
          <w:rStyle w:val="mord"/>
          <w:rFonts w:ascii="KaTeX_Math" w:hAnsi="KaTeX_Math"/>
          <w:i/>
          <w:iCs/>
          <w:sz w:val="20"/>
          <w:szCs w:val="20"/>
          <w:bdr w:val="single" w:sz="2" w:space="0" w:color="E3E3E3" w:frame="1"/>
        </w:rPr>
        <w:t>σ</w:t>
      </w:r>
      <w:r w:rsidRPr="009C41DF">
        <w:rPr>
          <w:rStyle w:val="mord"/>
          <w:rFonts w:ascii="KaTeX_Math" w:hAnsi="KaTeX_Math"/>
          <w:i/>
          <w:iCs/>
          <w:sz w:val="14"/>
          <w:szCs w:val="14"/>
          <w:bdr w:val="single" w:sz="2" w:space="0" w:color="E3E3E3" w:frame="1"/>
        </w:rPr>
        <w:t>k</w:t>
      </w:r>
      <w:proofErr w:type="spellEnd"/>
      <w:r w:rsidRPr="009C41DF">
        <w:rPr>
          <w:rStyle w:val="vlist-s"/>
          <w:sz w:val="2"/>
          <w:szCs w:val="2"/>
          <w:bdr w:val="single" w:sz="2" w:space="0" w:color="E3E3E3" w:frame="1"/>
        </w:rPr>
        <w:t>​</w:t>
      </w:r>
      <w:proofErr w:type="spellStart"/>
      <w:r w:rsidRPr="009C41DF">
        <w:rPr>
          <w:rStyle w:val="mord"/>
          <w:rFonts w:ascii="KaTeX_Math" w:hAnsi="KaTeX_Math"/>
          <w:i/>
          <w:iCs/>
          <w:sz w:val="20"/>
          <w:szCs w:val="20"/>
          <w:bdr w:val="single" w:sz="2" w:space="0" w:color="E3E3E3" w:frame="1"/>
        </w:rPr>
        <w:t>y</w:t>
      </w:r>
      <w:r w:rsidRPr="009C41DF">
        <w:rPr>
          <w:rStyle w:val="mord"/>
          <w:rFonts w:ascii="KaTeX_Math" w:hAnsi="KaTeX_Math"/>
          <w:i/>
          <w:iCs/>
          <w:sz w:val="14"/>
          <w:szCs w:val="14"/>
          <w:bdr w:val="single" w:sz="2" w:space="0" w:color="E3E3E3" w:frame="1"/>
        </w:rPr>
        <w:t>ijk</w:t>
      </w:r>
      <w:proofErr w:type="spellEnd"/>
      <w:r w:rsidRPr="009C41DF">
        <w:rPr>
          <w:rStyle w:val="vlist-s"/>
          <w:sz w:val="2"/>
          <w:szCs w:val="2"/>
          <w:bdr w:val="single" w:sz="2" w:space="0" w:color="E3E3E3" w:frame="1"/>
        </w:rPr>
        <w:t>​</w:t>
      </w:r>
      <w:r w:rsidRPr="009C41DF">
        <w:rPr>
          <w:rStyle w:val="mbin"/>
          <w:sz w:val="20"/>
          <w:szCs w:val="20"/>
          <w:bdr w:val="single" w:sz="2" w:space="0" w:color="E3E3E3" w:frame="1"/>
        </w:rPr>
        <w:t>−</w:t>
      </w:r>
      <w:r w:rsidRPr="009C41DF">
        <w:rPr>
          <w:rStyle w:val="mord"/>
          <w:rFonts w:ascii="KaTeX_Math" w:hAnsi="KaTeX_Math"/>
          <w:i/>
          <w:iCs/>
          <w:sz w:val="20"/>
          <w:szCs w:val="20"/>
          <w:bdr w:val="single" w:sz="2" w:space="0" w:color="E3E3E3" w:frame="1"/>
        </w:rPr>
        <w:t>f</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s</w:t>
      </w:r>
      <w:r w:rsidRPr="009C41DF">
        <w:rPr>
          <w:rStyle w:val="mord"/>
          <w:rFonts w:ascii="KaTeX_Math" w:hAnsi="KaTeX_Math"/>
          <w:i/>
          <w:iCs/>
          <w:sz w:val="14"/>
          <w:szCs w:val="14"/>
          <w:bdr w:val="single" w:sz="2" w:space="0" w:color="E3E3E3" w:frame="1"/>
        </w:rPr>
        <w:t>ij</w:t>
      </w:r>
      <w:r w:rsidRPr="009C41DF">
        <w:rPr>
          <w:rStyle w:val="vlist-s"/>
          <w:sz w:val="2"/>
          <w:szCs w:val="2"/>
          <w:bdr w:val="single" w:sz="2" w:space="0" w:color="E3E3E3" w:frame="1"/>
        </w:rPr>
        <w:t>​</w:t>
      </w:r>
      <w:r w:rsidRPr="009C41DF">
        <w:rPr>
          <w:rStyle w:val="mpunct"/>
          <w:sz w:val="20"/>
          <w:szCs w:val="20"/>
          <w:bdr w:val="single" w:sz="2" w:space="0" w:color="E3E3E3" w:frame="1"/>
        </w:rPr>
        <w:t>,</w:t>
      </w:r>
      <w:proofErr w:type="spellStart"/>
      <w:r w:rsidRPr="009C41DF">
        <w:rPr>
          <w:rStyle w:val="mord"/>
          <w:sz w:val="20"/>
          <w:szCs w:val="20"/>
          <w:bdr w:val="single" w:sz="2" w:space="0" w:color="E3E3E3" w:frame="1"/>
        </w:rPr>
        <w:t>Θ</w:t>
      </w:r>
      <w:r w:rsidRPr="009C41DF">
        <w:rPr>
          <w:rStyle w:val="mord"/>
          <w:rFonts w:ascii="KaTeX_Math" w:hAnsi="KaTeX_Math"/>
          <w:i/>
          <w:iCs/>
          <w:sz w:val="14"/>
          <w:szCs w:val="14"/>
          <w:bdr w:val="single" w:sz="2" w:space="0" w:color="E3E3E3" w:frame="1"/>
        </w:rPr>
        <w:t>k</w:t>
      </w:r>
      <w:proofErr w:type="spellEnd"/>
      <w:r w:rsidRPr="009C41DF">
        <w:rPr>
          <w:rStyle w:val="vlist-s"/>
          <w:sz w:val="2"/>
          <w:szCs w:val="2"/>
          <w:bdr w:val="single" w:sz="2" w:space="0" w:color="E3E3E3" w:frame="1"/>
        </w:rPr>
        <w:t>​</w:t>
      </w:r>
      <w:r w:rsidRPr="009C41DF">
        <w:rPr>
          <w:rStyle w:val="mclose"/>
          <w:sz w:val="20"/>
          <w:szCs w:val="20"/>
          <w:bdr w:val="single" w:sz="2" w:space="0" w:color="E3E3E3" w:frame="1"/>
        </w:rPr>
        <w:t>)</w:t>
      </w:r>
      <w:r w:rsidRPr="009C41DF">
        <w:rPr>
          <w:rStyle w:val="vlist-s"/>
          <w:sz w:val="2"/>
          <w:szCs w:val="2"/>
          <w:bdr w:val="single" w:sz="2" w:space="0" w:color="E3E3E3" w:frame="1"/>
        </w:rPr>
        <w:t>​</w:t>
      </w:r>
      <w:r w:rsidRPr="009C41DF">
        <w:rPr>
          <w:rStyle w:val="delimsizing"/>
          <w:rFonts w:ascii="KaTeX_Size2" w:hAnsi="KaTeX_Size2"/>
          <w:sz w:val="29"/>
          <w:szCs w:val="29"/>
          <w:bdr w:val="single" w:sz="2" w:space="0" w:color="E3E3E3" w:frame="1"/>
        </w:rPr>
        <w:t>)</w:t>
      </w:r>
      <w:r w:rsidRPr="009C41DF">
        <w:rPr>
          <w:rFonts w:ascii="Segoe UI" w:hAnsi="Segoe UI" w:cs="Segoe UI"/>
        </w:rPr>
        <w:t xml:space="preserve"> donde </w:t>
      </w:r>
      <w:r w:rsidRPr="009C41DF">
        <w:rPr>
          <w:rStyle w:val="mord"/>
          <w:rFonts w:ascii="KaTeX_Math" w:hAnsi="KaTeX_Math"/>
          <w:i/>
          <w:iCs/>
          <w:sz w:val="29"/>
          <w:szCs w:val="29"/>
          <w:bdr w:val="single" w:sz="2" w:space="0" w:color="E3E3E3" w:frame="1"/>
        </w:rPr>
        <w:t>ρ</w:t>
      </w:r>
      <w:r w:rsidRPr="009C41DF">
        <w:rPr>
          <w:rStyle w:val="mopen"/>
          <w:sz w:val="29"/>
          <w:szCs w:val="29"/>
          <w:bdr w:val="single" w:sz="2" w:space="0" w:color="E3E3E3" w:frame="1"/>
        </w:rPr>
        <w:t>(</w:t>
      </w:r>
      <w:r w:rsidRPr="009C41DF">
        <w:rPr>
          <w:rStyle w:val="mord"/>
          <w:rFonts w:ascii="Cambria Math" w:hAnsi="Cambria Math" w:cs="Cambria Math"/>
          <w:sz w:val="29"/>
          <w:szCs w:val="29"/>
          <w:bdr w:val="single" w:sz="2" w:space="0" w:color="E3E3E3" w:frame="1"/>
        </w:rPr>
        <w:t>⋅</w:t>
      </w:r>
      <w:r w:rsidRPr="009C41DF">
        <w:rPr>
          <w:rStyle w:val="mclose"/>
          <w:sz w:val="29"/>
          <w:szCs w:val="29"/>
          <w:bdr w:val="single" w:sz="2" w:space="0" w:color="E3E3E3" w:frame="1"/>
        </w:rPr>
        <w:t>)</w:t>
      </w:r>
      <w:r w:rsidRPr="009C41DF">
        <w:rPr>
          <w:rFonts w:ascii="Segoe UI" w:hAnsi="Segoe UI" w:cs="Segoe UI"/>
        </w:rPr>
        <w:t xml:space="preserve"> es una función tipo máxima verosimilitud y </w:t>
      </w:r>
      <w:proofErr w:type="spellStart"/>
      <w:r w:rsidRPr="009C41DF">
        <w:rPr>
          <w:rStyle w:val="mord"/>
          <w:rFonts w:ascii="KaTeX_Math" w:hAnsi="KaTeX_Math"/>
          <w:i/>
          <w:iCs/>
          <w:sz w:val="29"/>
          <w:szCs w:val="29"/>
          <w:bdr w:val="single" w:sz="2" w:space="0" w:color="E3E3E3" w:frame="1"/>
        </w:rPr>
        <w:t>ω</w:t>
      </w:r>
      <w:r w:rsidRPr="009C41DF">
        <w:rPr>
          <w:rStyle w:val="mord"/>
          <w:rFonts w:ascii="KaTeX_Math" w:hAnsi="KaTeX_Math"/>
          <w:i/>
          <w:iCs/>
          <w:sz w:val="20"/>
          <w:szCs w:val="20"/>
          <w:bdr w:val="single" w:sz="2" w:space="0" w:color="E3E3E3" w:frame="1"/>
        </w:rPr>
        <w:t>i</w:t>
      </w:r>
      <w:proofErr w:type="spellEnd"/>
      <w:r w:rsidRPr="009C41DF">
        <w:rPr>
          <w:rStyle w:val="vlist-s"/>
          <w:sz w:val="2"/>
          <w:szCs w:val="2"/>
          <w:bdr w:val="single" w:sz="2" w:space="0" w:color="E3E3E3" w:frame="1"/>
        </w:rPr>
        <w:t>​</w:t>
      </w:r>
      <w:r w:rsidRPr="009C41DF">
        <w:rPr>
          <w:rStyle w:val="mrel"/>
          <w:sz w:val="29"/>
          <w:szCs w:val="29"/>
          <w:bdr w:val="single" w:sz="2" w:space="0" w:color="E3E3E3" w:frame="1"/>
        </w:rPr>
        <w:t>=</w:t>
      </w:r>
      <w:r w:rsidRPr="009C41DF">
        <w:rPr>
          <w:rStyle w:val="mord"/>
          <w:rFonts w:ascii="KaTeX_Math" w:hAnsi="KaTeX_Math"/>
          <w:i/>
          <w:iCs/>
          <w:sz w:val="20"/>
          <w:szCs w:val="20"/>
          <w:bdr w:val="single" w:sz="2" w:space="0" w:color="E3E3E3" w:frame="1"/>
        </w:rPr>
        <w:t>N</w:t>
      </w:r>
      <w:r w:rsidRPr="009C41DF">
        <w:rPr>
          <w:rStyle w:val="mord"/>
          <w:rFonts w:ascii="KaTeX_Math" w:hAnsi="KaTeX_Math"/>
          <w:i/>
          <w:iCs/>
          <w:sz w:val="14"/>
          <w:szCs w:val="14"/>
          <w:bdr w:val="single" w:sz="2" w:space="0" w:color="E3E3E3" w:frame="1"/>
        </w:rPr>
        <w:t>i</w:t>
      </w:r>
      <w:r w:rsidRPr="009C41DF">
        <w:rPr>
          <w:rStyle w:val="vlist-s"/>
          <w:sz w:val="2"/>
          <w:szCs w:val="2"/>
          <w:bdr w:val="single" w:sz="2" w:space="0" w:color="E3E3E3" w:frame="1"/>
        </w:rPr>
        <w:t>​</w:t>
      </w:r>
      <w:r w:rsidRPr="009C41DF">
        <w:rPr>
          <w:rStyle w:val="mord"/>
          <w:sz w:val="20"/>
          <w:szCs w:val="20"/>
          <w:bdr w:val="single" w:sz="2" w:space="0" w:color="E3E3E3" w:frame="1"/>
        </w:rPr>
        <w:t>1</w:t>
      </w:r>
      <w:r w:rsidRPr="009C41DF">
        <w:rPr>
          <w:rStyle w:val="vlist-s"/>
          <w:sz w:val="2"/>
          <w:szCs w:val="2"/>
          <w:bdr w:val="single" w:sz="2" w:space="0" w:color="E3E3E3" w:frame="1"/>
        </w:rPr>
        <w:t>​</w:t>
      </w:r>
      <w:r w:rsidRPr="009C41DF">
        <w:rPr>
          <w:rFonts w:ascii="Segoe UI" w:hAnsi="Segoe UI" w:cs="Segoe UI"/>
        </w:rPr>
        <w:t xml:space="preserve"> es un factor de ponderación para normalizar la función objetivo con el número de puntos disponibles por sujeto </w:t>
      </w:r>
      <w:r w:rsidR="00F714C6">
        <w:rPr>
          <w:rFonts w:ascii="Segoe UI" w:hAnsi="Segoe UI" w:cs="Segoe UI"/>
        </w:rPr>
        <w:t>(</w:t>
      </w:r>
      <w:r w:rsidRPr="009C41DF">
        <w:rPr>
          <w:rStyle w:val="mord"/>
          <w:rFonts w:ascii="KaTeX_Math" w:hAnsi="KaTeX_Math"/>
          <w:i/>
          <w:iCs/>
          <w:sz w:val="29"/>
          <w:szCs w:val="29"/>
          <w:bdr w:val="single" w:sz="2" w:space="0" w:color="E3E3E3" w:frame="1"/>
        </w:rPr>
        <w:t>N</w:t>
      </w:r>
      <w:r w:rsidRPr="009C41DF">
        <w:rPr>
          <w:rStyle w:val="mord"/>
          <w:rFonts w:ascii="KaTeX_Math" w:hAnsi="KaTeX_Math"/>
          <w:i/>
          <w:iCs/>
          <w:sz w:val="20"/>
          <w:szCs w:val="20"/>
          <w:bdr w:val="single" w:sz="2" w:space="0" w:color="E3E3E3" w:frame="1"/>
        </w:rPr>
        <w:t>i</w:t>
      </w:r>
      <w:r w:rsidRPr="009C41DF">
        <w:rPr>
          <w:rStyle w:val="vlist-s"/>
          <w:sz w:val="2"/>
          <w:szCs w:val="2"/>
          <w:bdr w:val="single" w:sz="2" w:space="0" w:color="E3E3E3" w:frame="1"/>
        </w:rPr>
        <w:t>​</w:t>
      </w:r>
      <w:r w:rsidRPr="009C41DF">
        <w:rPr>
          <w:rFonts w:ascii="Segoe UI" w:hAnsi="Segoe UI" w:cs="Segoe UI"/>
        </w:rPr>
        <w:t>).</w:t>
      </w:r>
    </w:p>
    <w:p w14:paraId="3563DE7E" w14:textId="77777777" w:rsidR="00F714C6"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b/>
          <w:bCs/>
        </w:rPr>
      </w:pPr>
      <w:r w:rsidRPr="001135D7">
        <w:rPr>
          <w:rFonts w:ascii="Segoe UI" w:hAnsi="Segoe UI" w:cs="Segoe UI"/>
          <w:b/>
          <w:bCs/>
        </w:rPr>
        <w:t xml:space="preserve">3.3 </w:t>
      </w:r>
      <w:proofErr w:type="spellStart"/>
      <w:r w:rsidRPr="001135D7">
        <w:rPr>
          <w:rFonts w:ascii="Segoe UI" w:hAnsi="Segoe UI" w:cs="Segoe UI"/>
          <w:b/>
          <w:bCs/>
        </w:rPr>
        <w:t>Leaspy</w:t>
      </w:r>
      <w:proofErr w:type="spellEnd"/>
      <w:r w:rsidRPr="001135D7">
        <w:rPr>
          <w:rFonts w:ascii="Segoe UI" w:hAnsi="Segoe UI" w:cs="Segoe UI"/>
          <w:b/>
          <w:bCs/>
        </w:rPr>
        <w:t xml:space="preserve"> </w:t>
      </w:r>
    </w:p>
    <w:p w14:paraId="17A9C384" w14:textId="61848EB7"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El mapeo del curso de la enfermedad es una técnica estadística que permite la descomposición de los dos tipos de variaciones observadas en un conjunto de datos longitudinales. Se basa en principios geométricos abstractos para que no sea específico de datos particulares. Combina el concepto de cambio en el tiempo con las traducciones de curvas.</w:t>
      </w:r>
    </w:p>
    <w:p w14:paraId="66BE671B" w14:textId="77777777"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lastRenderedPageBreak/>
        <w:t xml:space="preserve">El atlas toma la forma de una serie de curvas de progresión para cada biomarcador donde el eje de tiempo representa una etapa de la enfermedad, que aquí llamamos Edad de Alzheimer (AA). Los datos del sujeto toman la forma de las mediciones de biomarcadores en varios momentos. La transformación del modelo a los datos del sujeto consiste en calcular (1) un cambio en el tiempo, que traduce el modelo a lo largo del eje de tiempo para acomodar los cambios en la edad al inicio de la enfermedad, (2) un factor de aceleración, que escala el intervalo de tiempo para acomodar las diferencias en la velocidad de progresión, y (3) espaciados entre marcadores, que traducen cada biomarcador de manera diferente para acomodar las diferencias en el tiempo y el orden entre los biomarcadores. Los dos primeros parámetros definen una función de deformación temporal que asigna la edad real del sujeto en cada visita a su AA, que es un punto en el escenario de referencia. Esta función, por lo tanto, cambia la dinámica de </w:t>
      </w:r>
      <w:proofErr w:type="gramStart"/>
      <w:r w:rsidRPr="009C41DF">
        <w:rPr>
          <w:rFonts w:ascii="Segoe UI" w:hAnsi="Segoe UI" w:cs="Segoe UI"/>
        </w:rPr>
        <w:t>progresión</w:t>
      </w:r>
      <w:proofErr w:type="gramEnd"/>
      <w:r w:rsidRPr="009C41DF">
        <w:rPr>
          <w:rFonts w:ascii="Segoe UI" w:hAnsi="Segoe UI" w:cs="Segoe UI"/>
        </w:rPr>
        <w:t xml:space="preserve"> pero no la trayectoria. A su vez, los espaciados entre marcadores desplazan la trayectoria del paciente para tener en cuenta las diferencias fenotípicas entre sujetos, como se ilustra en la Figura 1.</w:t>
      </w:r>
    </w:p>
    <w:p w14:paraId="318673F1" w14:textId="77777777"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Los cambios en el tiempo y el factor de aceleración juegan el mismo papel de ajustar las dinámicas del cambio. Mapean la edad real del sujeto en cada visita a su Edad de Alzheimer, que es un punto en el escenario de referencia. Los espaciados entre marcadores ajustan para el espaciotemporal.</w:t>
      </w:r>
    </w:p>
    <w:p w14:paraId="740D1215" w14:textId="77777777" w:rsidR="00F714C6"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b/>
          <w:bCs/>
        </w:rPr>
      </w:pPr>
      <w:r w:rsidRPr="001135D7">
        <w:rPr>
          <w:rFonts w:ascii="Segoe UI" w:hAnsi="Segoe UI" w:cs="Segoe UI"/>
          <w:b/>
          <w:bCs/>
        </w:rPr>
        <w:t>3.4 Búsqueda en Cuadrícula (</w:t>
      </w:r>
      <w:proofErr w:type="spellStart"/>
      <w:r w:rsidRPr="001135D7">
        <w:rPr>
          <w:rFonts w:ascii="Segoe UI" w:hAnsi="Segoe UI" w:cs="Segoe UI"/>
          <w:b/>
          <w:bCs/>
        </w:rPr>
        <w:t>Grid</w:t>
      </w:r>
      <w:proofErr w:type="spellEnd"/>
      <w:r w:rsidRPr="001135D7">
        <w:rPr>
          <w:rFonts w:ascii="Segoe UI" w:hAnsi="Segoe UI" w:cs="Segoe UI"/>
          <w:b/>
          <w:bCs/>
        </w:rPr>
        <w:t xml:space="preserve"> </w:t>
      </w:r>
      <w:proofErr w:type="spellStart"/>
      <w:r w:rsidRPr="001135D7">
        <w:rPr>
          <w:rFonts w:ascii="Segoe UI" w:hAnsi="Segoe UI" w:cs="Segoe UI"/>
          <w:b/>
          <w:bCs/>
        </w:rPr>
        <w:t>Search</w:t>
      </w:r>
      <w:proofErr w:type="spellEnd"/>
      <w:r w:rsidRPr="001135D7">
        <w:rPr>
          <w:rFonts w:ascii="Segoe UI" w:hAnsi="Segoe UI" w:cs="Segoe UI"/>
          <w:b/>
          <w:bCs/>
        </w:rPr>
        <w:t xml:space="preserve">) </w:t>
      </w:r>
    </w:p>
    <w:p w14:paraId="0E1AA511" w14:textId="535B63B6"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 xml:space="preserve">Dado que cada combinación de marcadores utilizados para entrenar un DPM propone una historia natural, se propone utilizar un método </w:t>
      </w:r>
      <w:proofErr w:type="spellStart"/>
      <w:r w:rsidRPr="009C41DF">
        <w:rPr>
          <w:rFonts w:ascii="Segoe UI" w:hAnsi="Segoe UI" w:cs="Segoe UI"/>
        </w:rPr>
        <w:t>GridSearchCV</w:t>
      </w:r>
      <w:proofErr w:type="spellEnd"/>
      <w:r w:rsidRPr="009C41DF">
        <w:rPr>
          <w:rFonts w:ascii="Segoe UI" w:hAnsi="Segoe UI" w:cs="Segoe UI"/>
        </w:rPr>
        <w:t xml:space="preserve"> para que las medidas utilizadas para evaluar los DPM localicen la mejor construcción del DPM.</w:t>
      </w:r>
    </w:p>
    <w:p w14:paraId="2F3B3FB7" w14:textId="77777777"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 xml:space="preserve">Aplicamos </w:t>
      </w:r>
      <w:proofErr w:type="spellStart"/>
      <w:r w:rsidRPr="009C41DF">
        <w:rPr>
          <w:rFonts w:ascii="Segoe UI" w:hAnsi="Segoe UI" w:cs="Segoe UI"/>
        </w:rPr>
        <w:t>GridSearchCV</w:t>
      </w:r>
      <w:proofErr w:type="spellEnd"/>
      <w:r w:rsidRPr="009C41DF">
        <w:rPr>
          <w:rFonts w:ascii="Segoe UI" w:hAnsi="Segoe UI" w:cs="Segoe UI"/>
        </w:rPr>
        <w:t xml:space="preserve">, que utiliza la técnica de Búsqueda en Cuadrícula para encontrar los parámetros óptimos para aumentar el rendimiento del modelo. </w:t>
      </w:r>
      <w:proofErr w:type="spellStart"/>
      <w:r w:rsidRPr="009C41DF">
        <w:rPr>
          <w:rFonts w:ascii="Segoe UI" w:hAnsi="Segoe UI" w:cs="Segoe UI"/>
        </w:rPr>
        <w:t>Grid</w:t>
      </w:r>
      <w:proofErr w:type="spellEnd"/>
      <w:r w:rsidRPr="009C41DF">
        <w:rPr>
          <w:rFonts w:ascii="Segoe UI" w:hAnsi="Segoe UI" w:cs="Segoe UI"/>
        </w:rPr>
        <w:t xml:space="preserve"> </w:t>
      </w:r>
      <w:proofErr w:type="spellStart"/>
      <w:r w:rsidRPr="009C41DF">
        <w:rPr>
          <w:rFonts w:ascii="Segoe UI" w:hAnsi="Segoe UI" w:cs="Segoe UI"/>
        </w:rPr>
        <w:t>Search</w:t>
      </w:r>
      <w:proofErr w:type="spellEnd"/>
      <w:r w:rsidRPr="009C41DF">
        <w:rPr>
          <w:rFonts w:ascii="Segoe UI" w:hAnsi="Segoe UI" w:cs="Segoe UI"/>
        </w:rPr>
        <w:t xml:space="preserve"> utiliza una combinación diferente de todos los </w:t>
      </w:r>
      <w:proofErr w:type="spellStart"/>
      <w:r w:rsidRPr="009C41DF">
        <w:rPr>
          <w:rFonts w:ascii="Segoe UI" w:hAnsi="Segoe UI" w:cs="Segoe UI"/>
        </w:rPr>
        <w:t>hiperparámetros</w:t>
      </w:r>
      <w:proofErr w:type="spellEnd"/>
      <w:r w:rsidRPr="009C41DF">
        <w:rPr>
          <w:rFonts w:ascii="Segoe UI" w:hAnsi="Segoe UI" w:cs="Segoe UI"/>
        </w:rPr>
        <w:t xml:space="preserve"> especificados y sus valores, y calcula el rendimiento para cada combinación y selecciona el mejor valor para los </w:t>
      </w:r>
      <w:proofErr w:type="spellStart"/>
      <w:r w:rsidRPr="009C41DF">
        <w:rPr>
          <w:rFonts w:ascii="Segoe UI" w:hAnsi="Segoe UI" w:cs="Segoe UI"/>
        </w:rPr>
        <w:t>hiperparámetros</w:t>
      </w:r>
      <w:proofErr w:type="spellEnd"/>
      <w:r w:rsidRPr="009C41DF">
        <w:rPr>
          <w:rFonts w:ascii="Segoe UI" w:hAnsi="Segoe UI" w:cs="Segoe UI"/>
        </w:rPr>
        <w:t xml:space="preserve">. Esto hace que el tiempo de procesamiento sea costoso y caro según el número de </w:t>
      </w:r>
      <w:proofErr w:type="spellStart"/>
      <w:r w:rsidRPr="009C41DF">
        <w:rPr>
          <w:rFonts w:ascii="Segoe UI" w:hAnsi="Segoe UI" w:cs="Segoe UI"/>
        </w:rPr>
        <w:t>hiperparámetros</w:t>
      </w:r>
      <w:proofErr w:type="spellEnd"/>
      <w:r w:rsidRPr="009C41DF">
        <w:rPr>
          <w:rFonts w:ascii="Segoe UI" w:hAnsi="Segoe UI" w:cs="Segoe UI"/>
        </w:rPr>
        <w:t xml:space="preserve"> involucrados.</w:t>
      </w:r>
    </w:p>
    <w:p w14:paraId="07F8916C" w14:textId="77777777" w:rsidR="00F714C6"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b/>
          <w:bCs/>
          <w:sz w:val="32"/>
          <w:szCs w:val="32"/>
        </w:rPr>
      </w:pPr>
      <w:r w:rsidRPr="001135D7">
        <w:rPr>
          <w:rFonts w:ascii="Segoe UI" w:hAnsi="Segoe UI" w:cs="Segoe UI"/>
          <w:b/>
          <w:bCs/>
          <w:sz w:val="32"/>
          <w:szCs w:val="32"/>
        </w:rPr>
        <w:t xml:space="preserve">4 </w:t>
      </w:r>
      <w:proofErr w:type="gramStart"/>
      <w:r w:rsidRPr="001135D7">
        <w:rPr>
          <w:rFonts w:ascii="Segoe UI" w:hAnsi="Segoe UI" w:cs="Segoe UI"/>
          <w:b/>
          <w:bCs/>
          <w:sz w:val="32"/>
          <w:szCs w:val="32"/>
        </w:rPr>
        <w:t>Rendimiento</w:t>
      </w:r>
      <w:proofErr w:type="gramEnd"/>
      <w:r w:rsidRPr="001135D7">
        <w:rPr>
          <w:rFonts w:ascii="Segoe UI" w:hAnsi="Segoe UI" w:cs="Segoe UI"/>
          <w:b/>
          <w:bCs/>
          <w:sz w:val="32"/>
          <w:szCs w:val="32"/>
        </w:rPr>
        <w:t xml:space="preserve"> de los DPM </w:t>
      </w:r>
    </w:p>
    <w:p w14:paraId="0F080E59" w14:textId="347BAF15"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 xml:space="preserve">Evaluar el rendimiento de los DPM es esencial. Esta evaluación se puede llevar a cabo mediante dos tipos de medidas: a) Medir la precisión en la estimación de las trayectorias temporales de los marcadores de los pacientes. b) Evaluar el diagnóstico de los pacientes con el tiempo, incluyendo estimaciones del tiempo </w:t>
      </w:r>
      <w:r w:rsidRPr="009C41DF">
        <w:rPr>
          <w:rFonts w:ascii="Segoe UI" w:hAnsi="Segoe UI" w:cs="Segoe UI"/>
        </w:rPr>
        <w:lastRenderedPageBreak/>
        <w:t>restante para eventos clínicos clave, como la edad en la que comienza el declive cognitivo.</w:t>
      </w:r>
    </w:p>
    <w:p w14:paraId="33D05AA0" w14:textId="77777777" w:rsidR="00F714C6"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b/>
          <w:bCs/>
        </w:rPr>
      </w:pPr>
      <w:r w:rsidRPr="001135D7">
        <w:rPr>
          <w:rFonts w:ascii="Segoe UI" w:hAnsi="Segoe UI" w:cs="Segoe UI"/>
          <w:b/>
          <w:bCs/>
        </w:rPr>
        <w:t xml:space="preserve">4.1 Evaluaciones de trayectorias estimadas </w:t>
      </w:r>
    </w:p>
    <w:p w14:paraId="431B2F05" w14:textId="23717441"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 xml:space="preserve">El Error Absoluto Medio (MAE) es una medida de rendimiento para modelos que es menos sensible a los valores atípicos (Chai y </w:t>
      </w:r>
      <w:proofErr w:type="spellStart"/>
      <w:r w:rsidRPr="009C41DF">
        <w:rPr>
          <w:rFonts w:ascii="Segoe UI" w:hAnsi="Segoe UI" w:cs="Segoe UI"/>
        </w:rPr>
        <w:t>Draxler</w:t>
      </w:r>
      <w:proofErr w:type="spellEnd"/>
      <w:r w:rsidRPr="009C41DF">
        <w:rPr>
          <w:rFonts w:ascii="Segoe UI" w:hAnsi="Segoe UI" w:cs="Segoe UI"/>
        </w:rPr>
        <w:t xml:space="preserve">, 2014), calculado en función de las diferencias absolutas entre los valores reales y estimados: </w:t>
      </w:r>
      <w:proofErr w:type="spellStart"/>
      <w:r w:rsidRPr="009C41DF">
        <w:rPr>
          <w:rStyle w:val="mord"/>
          <w:rFonts w:ascii="KaTeX_Math" w:hAnsi="KaTeX_Math"/>
          <w:i/>
          <w:iCs/>
          <w:sz w:val="29"/>
          <w:szCs w:val="29"/>
          <w:bdr w:val="single" w:sz="2" w:space="0" w:color="E3E3E3" w:frame="1"/>
        </w:rPr>
        <w:t>MAE</w:t>
      </w:r>
      <w:r w:rsidRPr="009C41DF">
        <w:rPr>
          <w:rStyle w:val="mord"/>
          <w:rFonts w:ascii="KaTeX_Math" w:hAnsi="KaTeX_Math"/>
          <w:i/>
          <w:iCs/>
          <w:sz w:val="20"/>
          <w:szCs w:val="20"/>
          <w:bdr w:val="single" w:sz="2" w:space="0" w:color="E3E3E3" w:frame="1"/>
        </w:rPr>
        <w:t>k</w:t>
      </w:r>
      <w:proofErr w:type="spellEnd"/>
      <w:r w:rsidRPr="009C41DF">
        <w:rPr>
          <w:rStyle w:val="vlist-s"/>
          <w:sz w:val="2"/>
          <w:szCs w:val="2"/>
          <w:bdr w:val="single" w:sz="2" w:space="0" w:color="E3E3E3" w:frame="1"/>
        </w:rPr>
        <w:t>​</w:t>
      </w:r>
      <w:r w:rsidRPr="009C41DF">
        <w:rPr>
          <w:rStyle w:val="mrel"/>
          <w:sz w:val="29"/>
          <w:szCs w:val="29"/>
          <w:bdr w:val="single" w:sz="2" w:space="0" w:color="E3E3E3" w:frame="1"/>
        </w:rPr>
        <w:t>=</w:t>
      </w:r>
      <w:proofErr w:type="spellStart"/>
      <w:r w:rsidRPr="009C41DF">
        <w:rPr>
          <w:rStyle w:val="mord"/>
          <w:rFonts w:ascii="KaTeX_Math" w:hAnsi="KaTeX_Math"/>
          <w:i/>
          <w:iCs/>
          <w:sz w:val="20"/>
          <w:szCs w:val="20"/>
          <w:bdr w:val="single" w:sz="2" w:space="0" w:color="E3E3E3" w:frame="1"/>
        </w:rPr>
        <w:t>N</w:t>
      </w:r>
      <w:r w:rsidRPr="009C41DF">
        <w:rPr>
          <w:rStyle w:val="mord"/>
          <w:rFonts w:ascii="KaTeX_Math" w:hAnsi="KaTeX_Math"/>
          <w:i/>
          <w:iCs/>
          <w:sz w:val="14"/>
          <w:szCs w:val="14"/>
          <w:bdr w:val="single" w:sz="2" w:space="0" w:color="E3E3E3" w:frame="1"/>
        </w:rPr>
        <w:t>k</w:t>
      </w:r>
      <w:proofErr w:type="spellEnd"/>
      <w:r w:rsidRPr="009C41DF">
        <w:rPr>
          <w:rStyle w:val="vlist-s"/>
          <w:sz w:val="2"/>
          <w:szCs w:val="2"/>
          <w:bdr w:val="single" w:sz="2" w:space="0" w:color="E3E3E3" w:frame="1"/>
        </w:rPr>
        <w:t>​</w:t>
      </w:r>
      <w:r w:rsidRPr="009C41DF">
        <w:rPr>
          <w:rStyle w:val="mord"/>
          <w:sz w:val="20"/>
          <w:szCs w:val="20"/>
          <w:bdr w:val="single" w:sz="2" w:space="0" w:color="E3E3E3" w:frame="1"/>
        </w:rPr>
        <w:t>1</w:t>
      </w:r>
      <w:r w:rsidRPr="009C41DF">
        <w:rPr>
          <w:rStyle w:val="vlist-s"/>
          <w:sz w:val="2"/>
          <w:szCs w:val="2"/>
          <w:bdr w:val="single" w:sz="2" w:space="0" w:color="E3E3E3" w:frame="1"/>
        </w:rPr>
        <w:t>​</w:t>
      </w:r>
      <w:r w:rsidRPr="009C41DF">
        <w:rPr>
          <w:rStyle w:val="mop"/>
          <w:rFonts w:ascii="KaTeX_Size1" w:hAnsi="KaTeX_Size1"/>
          <w:sz w:val="29"/>
          <w:szCs w:val="29"/>
          <w:bdr w:val="single" w:sz="2" w:space="0" w:color="E3E3E3" w:frame="1"/>
        </w:rPr>
        <w:t>∑</w:t>
      </w:r>
      <w:r w:rsidRPr="009C41DF">
        <w:rPr>
          <w:rStyle w:val="mopen"/>
          <w:rFonts w:ascii="Cambria Math" w:hAnsi="Cambria Math" w:cs="Cambria Math"/>
          <w:sz w:val="29"/>
          <w:szCs w:val="29"/>
          <w:bdr w:val="single" w:sz="2" w:space="0" w:color="E3E3E3" w:frame="1"/>
        </w:rPr>
        <w:t>∣</w:t>
      </w:r>
      <w:proofErr w:type="spellStart"/>
      <w:proofErr w:type="gramStart"/>
      <w:r w:rsidRPr="009C41DF">
        <w:rPr>
          <w:rStyle w:val="mord"/>
          <w:rFonts w:ascii="KaTeX_Math" w:hAnsi="KaTeX_Math"/>
          <w:i/>
          <w:iCs/>
          <w:sz w:val="29"/>
          <w:szCs w:val="29"/>
          <w:bdr w:val="single" w:sz="2" w:space="0" w:color="E3E3E3" w:frame="1"/>
        </w:rPr>
        <w:t>y</w:t>
      </w:r>
      <w:r w:rsidRPr="009C41DF">
        <w:rPr>
          <w:rStyle w:val="mord"/>
          <w:rFonts w:ascii="KaTeX_Math" w:hAnsi="KaTeX_Math"/>
          <w:i/>
          <w:iCs/>
          <w:sz w:val="20"/>
          <w:szCs w:val="20"/>
          <w:bdr w:val="single" w:sz="2" w:space="0" w:color="E3E3E3" w:frame="1"/>
        </w:rPr>
        <w:t>ij</w:t>
      </w:r>
      <w:r w:rsidRPr="009C41DF">
        <w:rPr>
          <w:rStyle w:val="mpunct"/>
          <w:sz w:val="20"/>
          <w:szCs w:val="20"/>
          <w:bdr w:val="single" w:sz="2" w:space="0" w:color="E3E3E3" w:frame="1"/>
        </w:rPr>
        <w:t>,</w:t>
      </w:r>
      <w:r w:rsidRPr="009C41DF">
        <w:rPr>
          <w:rStyle w:val="mord"/>
          <w:rFonts w:ascii="KaTeX_Math" w:hAnsi="KaTeX_Math"/>
          <w:i/>
          <w:iCs/>
          <w:sz w:val="20"/>
          <w:szCs w:val="20"/>
          <w:bdr w:val="single" w:sz="2" w:space="0" w:color="E3E3E3" w:frame="1"/>
        </w:rPr>
        <w:t>k</w:t>
      </w:r>
      <w:proofErr w:type="spellEnd"/>
      <w:r w:rsidRPr="009C41DF">
        <w:rPr>
          <w:rStyle w:val="vlist-s"/>
          <w:sz w:val="2"/>
          <w:szCs w:val="2"/>
          <w:bdr w:val="single" w:sz="2" w:space="0" w:color="E3E3E3" w:frame="1"/>
        </w:rPr>
        <w:t>​</w:t>
      </w:r>
      <w:proofErr w:type="gramEnd"/>
      <w:r w:rsidRPr="009C41DF">
        <w:rPr>
          <w:rStyle w:val="mbin"/>
          <w:sz w:val="29"/>
          <w:szCs w:val="29"/>
          <w:bdr w:val="single" w:sz="2" w:space="0" w:color="E3E3E3" w:frame="1"/>
        </w:rPr>
        <w:t>−</w:t>
      </w:r>
      <w:r w:rsidRPr="009C41DF">
        <w:rPr>
          <w:rStyle w:val="mord"/>
          <w:rFonts w:ascii="KaTeX_Math" w:hAnsi="KaTeX_Math"/>
          <w:i/>
          <w:iCs/>
          <w:sz w:val="29"/>
          <w:szCs w:val="29"/>
          <w:bdr w:val="single" w:sz="2" w:space="0" w:color="E3E3E3" w:frame="1"/>
        </w:rPr>
        <w:t>y</w:t>
      </w:r>
      <w:r w:rsidRPr="009C41DF">
        <w:rPr>
          <w:rStyle w:val="mord"/>
          <w:sz w:val="29"/>
          <w:szCs w:val="29"/>
          <w:bdr w:val="single" w:sz="2" w:space="0" w:color="E3E3E3" w:frame="1"/>
        </w:rPr>
        <w:t>^</w:t>
      </w:r>
      <w:r w:rsidRPr="009C41DF">
        <w:rPr>
          <w:rStyle w:val="vlist-s"/>
          <w:sz w:val="2"/>
          <w:szCs w:val="2"/>
          <w:bdr w:val="single" w:sz="2" w:space="0" w:color="E3E3E3" w:frame="1"/>
        </w:rPr>
        <w:t>​</w:t>
      </w:r>
      <w:r w:rsidRPr="009C41DF">
        <w:rPr>
          <w:rStyle w:val="mopen"/>
          <w:sz w:val="29"/>
          <w:szCs w:val="29"/>
          <w:bdr w:val="single" w:sz="2" w:space="0" w:color="E3E3E3" w:frame="1"/>
        </w:rPr>
        <w:t>(</w:t>
      </w:r>
      <w:proofErr w:type="spellStart"/>
      <w:r w:rsidRPr="009C41DF">
        <w:rPr>
          <w:rStyle w:val="mord"/>
          <w:rFonts w:ascii="KaTeX_Math" w:hAnsi="KaTeX_Math"/>
          <w:i/>
          <w:iCs/>
          <w:sz w:val="29"/>
          <w:szCs w:val="29"/>
          <w:bdr w:val="single" w:sz="2" w:space="0" w:color="E3E3E3" w:frame="1"/>
        </w:rPr>
        <w:t>i</w:t>
      </w:r>
      <w:r w:rsidRPr="009C41DF">
        <w:rPr>
          <w:rStyle w:val="mpunct"/>
          <w:sz w:val="29"/>
          <w:szCs w:val="29"/>
          <w:bdr w:val="single" w:sz="2" w:space="0" w:color="E3E3E3" w:frame="1"/>
        </w:rPr>
        <w:t>,</w:t>
      </w:r>
      <w:r w:rsidRPr="009C41DF">
        <w:rPr>
          <w:rStyle w:val="mord"/>
          <w:rFonts w:ascii="KaTeX_Math" w:hAnsi="KaTeX_Math"/>
          <w:i/>
          <w:iCs/>
          <w:sz w:val="29"/>
          <w:szCs w:val="29"/>
          <w:bdr w:val="single" w:sz="2" w:space="0" w:color="E3E3E3" w:frame="1"/>
        </w:rPr>
        <w:t>j</w:t>
      </w:r>
      <w:r w:rsidRPr="009C41DF">
        <w:rPr>
          <w:rStyle w:val="mpunct"/>
          <w:sz w:val="29"/>
          <w:szCs w:val="29"/>
          <w:bdr w:val="single" w:sz="2" w:space="0" w:color="E3E3E3" w:frame="1"/>
        </w:rPr>
        <w:t>,</w:t>
      </w:r>
      <w:r w:rsidRPr="009C41DF">
        <w:rPr>
          <w:rStyle w:val="mord"/>
          <w:rFonts w:ascii="KaTeX_Math" w:hAnsi="KaTeX_Math"/>
          <w:i/>
          <w:iCs/>
          <w:sz w:val="29"/>
          <w:szCs w:val="29"/>
          <w:bdr w:val="single" w:sz="2" w:space="0" w:color="E3E3E3" w:frame="1"/>
        </w:rPr>
        <w:t>k</w:t>
      </w:r>
      <w:proofErr w:type="spellEnd"/>
      <w:r w:rsidRPr="009C41DF">
        <w:rPr>
          <w:rStyle w:val="mclose"/>
          <w:sz w:val="29"/>
          <w:szCs w:val="29"/>
          <w:bdr w:val="single" w:sz="2" w:space="0" w:color="E3E3E3" w:frame="1"/>
        </w:rPr>
        <w:t>)</w:t>
      </w:r>
      <w:r w:rsidRPr="009C41DF">
        <w:rPr>
          <w:rStyle w:val="mclose"/>
          <w:rFonts w:ascii="Cambria Math" w:hAnsi="Cambria Math" w:cs="Cambria Math"/>
          <w:sz w:val="29"/>
          <w:szCs w:val="29"/>
          <w:bdr w:val="single" w:sz="2" w:space="0" w:color="E3E3E3" w:frame="1"/>
        </w:rPr>
        <w:t>∣</w:t>
      </w:r>
      <w:r w:rsidRPr="009C41DF">
        <w:rPr>
          <w:rFonts w:ascii="Segoe UI" w:hAnsi="Segoe UI" w:cs="Segoe UI"/>
        </w:rPr>
        <w:t xml:space="preserve"> donde </w:t>
      </w:r>
      <w:proofErr w:type="spellStart"/>
      <w:r w:rsidRPr="009C41DF">
        <w:rPr>
          <w:rStyle w:val="mord"/>
          <w:rFonts w:ascii="KaTeX_Math" w:hAnsi="KaTeX_Math"/>
          <w:i/>
          <w:iCs/>
          <w:sz w:val="29"/>
          <w:szCs w:val="29"/>
          <w:bdr w:val="single" w:sz="2" w:space="0" w:color="E3E3E3" w:frame="1"/>
        </w:rPr>
        <w:t>N</w:t>
      </w:r>
      <w:r w:rsidRPr="009C41DF">
        <w:rPr>
          <w:rStyle w:val="mord"/>
          <w:rFonts w:ascii="KaTeX_Math" w:hAnsi="KaTeX_Math"/>
          <w:i/>
          <w:iCs/>
          <w:sz w:val="20"/>
          <w:szCs w:val="20"/>
          <w:bdr w:val="single" w:sz="2" w:space="0" w:color="E3E3E3" w:frame="1"/>
        </w:rPr>
        <w:t>k</w:t>
      </w:r>
      <w:proofErr w:type="spellEnd"/>
      <w:r w:rsidRPr="009C41DF">
        <w:rPr>
          <w:rStyle w:val="vlist-s"/>
          <w:sz w:val="2"/>
          <w:szCs w:val="2"/>
          <w:bdr w:val="single" w:sz="2" w:space="0" w:color="E3E3E3" w:frame="1"/>
        </w:rPr>
        <w:t>​</w:t>
      </w:r>
      <w:r w:rsidRPr="009C41DF">
        <w:rPr>
          <w:rFonts w:ascii="Segoe UI" w:hAnsi="Segoe UI" w:cs="Segoe UI"/>
        </w:rPr>
        <w:t xml:space="preserve"> representa el número total de mediciones para el k-</w:t>
      </w:r>
      <w:proofErr w:type="spellStart"/>
      <w:r w:rsidRPr="009C41DF">
        <w:rPr>
          <w:rFonts w:ascii="Segoe UI" w:hAnsi="Segoe UI" w:cs="Segoe UI"/>
        </w:rPr>
        <w:t>ésimo</w:t>
      </w:r>
      <w:proofErr w:type="spellEnd"/>
      <w:r w:rsidRPr="009C41DF">
        <w:rPr>
          <w:rFonts w:ascii="Segoe UI" w:hAnsi="Segoe UI" w:cs="Segoe UI"/>
        </w:rPr>
        <w:t xml:space="preserve"> marcador en todos los sujetos y visitas. La medida y el valor estimado de este marcador para el i-</w:t>
      </w:r>
      <w:proofErr w:type="spellStart"/>
      <w:r w:rsidRPr="009C41DF">
        <w:rPr>
          <w:rFonts w:ascii="Segoe UI" w:hAnsi="Segoe UI" w:cs="Segoe UI"/>
        </w:rPr>
        <w:t>ésimo</w:t>
      </w:r>
      <w:proofErr w:type="spellEnd"/>
      <w:r w:rsidRPr="009C41DF">
        <w:rPr>
          <w:rFonts w:ascii="Segoe UI" w:hAnsi="Segoe UI" w:cs="Segoe UI"/>
        </w:rPr>
        <w:t xml:space="preserve"> sujeto en la j-</w:t>
      </w:r>
      <w:proofErr w:type="spellStart"/>
      <w:r w:rsidRPr="009C41DF">
        <w:rPr>
          <w:rFonts w:ascii="Segoe UI" w:hAnsi="Segoe UI" w:cs="Segoe UI"/>
        </w:rPr>
        <w:t>ésima</w:t>
      </w:r>
      <w:proofErr w:type="spellEnd"/>
      <w:r w:rsidRPr="009C41DF">
        <w:rPr>
          <w:rFonts w:ascii="Segoe UI" w:hAnsi="Segoe UI" w:cs="Segoe UI"/>
        </w:rPr>
        <w:t xml:space="preserve"> visita se denotan por </w:t>
      </w:r>
      <w:proofErr w:type="spellStart"/>
      <w:proofErr w:type="gramStart"/>
      <w:r w:rsidRPr="009C41DF">
        <w:rPr>
          <w:rStyle w:val="mord"/>
          <w:rFonts w:ascii="KaTeX_Math" w:hAnsi="KaTeX_Math"/>
          <w:i/>
          <w:iCs/>
          <w:sz w:val="29"/>
          <w:szCs w:val="29"/>
          <w:bdr w:val="single" w:sz="2" w:space="0" w:color="E3E3E3" w:frame="1"/>
        </w:rPr>
        <w:t>y</w:t>
      </w:r>
      <w:r w:rsidRPr="009C41DF">
        <w:rPr>
          <w:rStyle w:val="mord"/>
          <w:rFonts w:ascii="KaTeX_Math" w:hAnsi="KaTeX_Math"/>
          <w:i/>
          <w:iCs/>
          <w:sz w:val="20"/>
          <w:szCs w:val="20"/>
          <w:bdr w:val="single" w:sz="2" w:space="0" w:color="E3E3E3" w:frame="1"/>
        </w:rPr>
        <w:t>ij</w:t>
      </w:r>
      <w:r w:rsidRPr="009C41DF">
        <w:rPr>
          <w:rStyle w:val="mpunct"/>
          <w:sz w:val="20"/>
          <w:szCs w:val="20"/>
          <w:bdr w:val="single" w:sz="2" w:space="0" w:color="E3E3E3" w:frame="1"/>
        </w:rPr>
        <w:t>,</w:t>
      </w:r>
      <w:r w:rsidRPr="009C41DF">
        <w:rPr>
          <w:rStyle w:val="mord"/>
          <w:rFonts w:ascii="KaTeX_Math" w:hAnsi="KaTeX_Math"/>
          <w:i/>
          <w:iCs/>
          <w:sz w:val="20"/>
          <w:szCs w:val="20"/>
          <w:bdr w:val="single" w:sz="2" w:space="0" w:color="E3E3E3" w:frame="1"/>
        </w:rPr>
        <w:t>k</w:t>
      </w:r>
      <w:proofErr w:type="spellEnd"/>
      <w:r w:rsidRPr="009C41DF">
        <w:rPr>
          <w:rStyle w:val="vlist-s"/>
          <w:sz w:val="2"/>
          <w:szCs w:val="2"/>
          <w:bdr w:val="single" w:sz="2" w:space="0" w:color="E3E3E3" w:frame="1"/>
        </w:rPr>
        <w:t>​</w:t>
      </w:r>
      <w:proofErr w:type="gramEnd"/>
      <w:r w:rsidRPr="009C41DF">
        <w:rPr>
          <w:rFonts w:ascii="Segoe UI" w:hAnsi="Segoe UI" w:cs="Segoe UI"/>
        </w:rPr>
        <w:t xml:space="preserve"> y </w:t>
      </w:r>
      <w:proofErr w:type="spellStart"/>
      <w:r w:rsidRPr="009C41DF">
        <w:rPr>
          <w:rStyle w:val="mord"/>
          <w:rFonts w:ascii="KaTeX_Math" w:hAnsi="KaTeX_Math"/>
          <w:i/>
          <w:iCs/>
          <w:sz w:val="29"/>
          <w:szCs w:val="29"/>
          <w:bdr w:val="single" w:sz="2" w:space="0" w:color="E3E3E3" w:frame="1"/>
        </w:rPr>
        <w:t>y</w:t>
      </w:r>
      <w:proofErr w:type="spellEnd"/>
      <w:r w:rsidRPr="009C41DF">
        <w:rPr>
          <w:rStyle w:val="mord"/>
          <w:sz w:val="29"/>
          <w:szCs w:val="29"/>
          <w:bdr w:val="single" w:sz="2" w:space="0" w:color="E3E3E3" w:frame="1"/>
        </w:rPr>
        <w:t>^</w:t>
      </w:r>
      <w:r w:rsidRPr="009C41DF">
        <w:rPr>
          <w:rStyle w:val="vlist-s"/>
          <w:sz w:val="2"/>
          <w:szCs w:val="2"/>
          <w:bdr w:val="single" w:sz="2" w:space="0" w:color="E3E3E3" w:frame="1"/>
        </w:rPr>
        <w:t>​</w:t>
      </w:r>
      <w:r w:rsidRPr="009C41DF">
        <w:rPr>
          <w:rStyle w:val="mopen"/>
          <w:sz w:val="29"/>
          <w:szCs w:val="29"/>
          <w:bdr w:val="single" w:sz="2" w:space="0" w:color="E3E3E3" w:frame="1"/>
        </w:rPr>
        <w:t>(</w:t>
      </w:r>
      <w:proofErr w:type="spellStart"/>
      <w:r w:rsidRPr="009C41DF">
        <w:rPr>
          <w:rStyle w:val="mord"/>
          <w:rFonts w:ascii="KaTeX_Math" w:hAnsi="KaTeX_Math"/>
          <w:i/>
          <w:iCs/>
          <w:sz w:val="29"/>
          <w:szCs w:val="29"/>
          <w:bdr w:val="single" w:sz="2" w:space="0" w:color="E3E3E3" w:frame="1"/>
        </w:rPr>
        <w:t>i</w:t>
      </w:r>
      <w:r w:rsidRPr="009C41DF">
        <w:rPr>
          <w:rStyle w:val="mpunct"/>
          <w:sz w:val="29"/>
          <w:szCs w:val="29"/>
          <w:bdr w:val="single" w:sz="2" w:space="0" w:color="E3E3E3" w:frame="1"/>
        </w:rPr>
        <w:t>,</w:t>
      </w:r>
      <w:r w:rsidRPr="009C41DF">
        <w:rPr>
          <w:rStyle w:val="mord"/>
          <w:rFonts w:ascii="KaTeX_Math" w:hAnsi="KaTeX_Math"/>
          <w:i/>
          <w:iCs/>
          <w:sz w:val="29"/>
          <w:szCs w:val="29"/>
          <w:bdr w:val="single" w:sz="2" w:space="0" w:color="E3E3E3" w:frame="1"/>
        </w:rPr>
        <w:t>j</w:t>
      </w:r>
      <w:r w:rsidRPr="009C41DF">
        <w:rPr>
          <w:rStyle w:val="mpunct"/>
          <w:sz w:val="29"/>
          <w:szCs w:val="29"/>
          <w:bdr w:val="single" w:sz="2" w:space="0" w:color="E3E3E3" w:frame="1"/>
        </w:rPr>
        <w:t>,</w:t>
      </w:r>
      <w:r w:rsidRPr="009C41DF">
        <w:rPr>
          <w:rStyle w:val="mord"/>
          <w:rFonts w:ascii="KaTeX_Math" w:hAnsi="KaTeX_Math"/>
          <w:i/>
          <w:iCs/>
          <w:sz w:val="29"/>
          <w:szCs w:val="29"/>
          <w:bdr w:val="single" w:sz="2" w:space="0" w:color="E3E3E3" w:frame="1"/>
        </w:rPr>
        <w:t>k</w:t>
      </w:r>
      <w:proofErr w:type="spellEnd"/>
      <w:r w:rsidRPr="009C41DF">
        <w:rPr>
          <w:rStyle w:val="mclose"/>
          <w:sz w:val="29"/>
          <w:szCs w:val="29"/>
          <w:bdr w:val="single" w:sz="2" w:space="0" w:color="E3E3E3" w:frame="1"/>
        </w:rPr>
        <w:t>)</w:t>
      </w:r>
      <w:r w:rsidRPr="009C41DF">
        <w:rPr>
          <w:rFonts w:ascii="Segoe UI" w:hAnsi="Segoe UI" w:cs="Segoe UI"/>
        </w:rPr>
        <w:t xml:space="preserve"> respectivamente. Para permitir comparaciones entre variables cruzadas, los MAE se normalizan como NMAE [93], como en la Ecuación (13).</w:t>
      </w:r>
    </w:p>
    <w:p w14:paraId="12FC8074" w14:textId="77777777" w:rsidR="001135D7"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b/>
          <w:bCs/>
        </w:rPr>
      </w:pPr>
      <w:r w:rsidRPr="001135D7">
        <w:rPr>
          <w:rFonts w:ascii="Segoe UI" w:hAnsi="Segoe UI" w:cs="Segoe UI"/>
          <w:b/>
          <w:bCs/>
        </w:rPr>
        <w:t>4.2 Clasificación del estado clínico</w:t>
      </w:r>
    </w:p>
    <w:p w14:paraId="04E79F9F" w14:textId="583C0E46"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 xml:space="preserve"> </w:t>
      </w:r>
      <w:r w:rsidRPr="009C41DF">
        <w:rPr>
          <w:rStyle w:val="mord"/>
          <w:rFonts w:ascii="KaTeX_Math" w:hAnsi="KaTeX_Math"/>
          <w:i/>
          <w:iCs/>
          <w:sz w:val="29"/>
          <w:szCs w:val="29"/>
          <w:bdr w:val="single" w:sz="2" w:space="0" w:color="E3E3E3" w:frame="1"/>
        </w:rPr>
        <w:t>s</w:t>
      </w:r>
      <w:r w:rsidRPr="009C41DF">
        <w:rPr>
          <w:rStyle w:val="mord"/>
          <w:rFonts w:ascii="KaTeX_Math" w:hAnsi="KaTeX_Math"/>
          <w:i/>
          <w:iCs/>
          <w:sz w:val="20"/>
          <w:szCs w:val="20"/>
          <w:bdr w:val="single" w:sz="2" w:space="0" w:color="E3E3E3" w:frame="1"/>
        </w:rPr>
        <w:t>ij</w:t>
      </w:r>
      <w:r w:rsidRPr="009C41DF">
        <w:rPr>
          <w:rStyle w:val="vlist-s"/>
          <w:sz w:val="2"/>
          <w:szCs w:val="2"/>
          <w:bdr w:val="single" w:sz="2" w:space="0" w:color="E3E3E3" w:frame="1"/>
        </w:rPr>
        <w:t>​</w:t>
      </w:r>
      <w:r w:rsidRPr="009C41DF">
        <w:rPr>
          <w:rFonts w:ascii="Segoe UI" w:hAnsi="Segoe UI" w:cs="Segoe UI"/>
        </w:rPr>
        <w:t xml:space="preserve"> es la puntuación de progresión de la enfermedad (DPS) para la j-</w:t>
      </w:r>
      <w:proofErr w:type="spellStart"/>
      <w:r w:rsidRPr="009C41DF">
        <w:rPr>
          <w:rFonts w:ascii="Segoe UI" w:hAnsi="Segoe UI" w:cs="Segoe UI"/>
        </w:rPr>
        <w:t>ésima</w:t>
      </w:r>
      <w:proofErr w:type="spellEnd"/>
      <w:r w:rsidRPr="009C41DF">
        <w:rPr>
          <w:rFonts w:ascii="Segoe UI" w:hAnsi="Segoe UI" w:cs="Segoe UI"/>
        </w:rPr>
        <w:t xml:space="preserve"> visita del i-</w:t>
      </w:r>
      <w:proofErr w:type="spellStart"/>
      <w:r w:rsidRPr="009C41DF">
        <w:rPr>
          <w:rFonts w:ascii="Segoe UI" w:hAnsi="Segoe UI" w:cs="Segoe UI"/>
        </w:rPr>
        <w:t>ésimo</w:t>
      </w:r>
      <w:proofErr w:type="spellEnd"/>
      <w:r w:rsidRPr="009C41DF">
        <w:rPr>
          <w:rFonts w:ascii="Segoe UI" w:hAnsi="Segoe UI" w:cs="Segoe UI"/>
        </w:rPr>
        <w:t xml:space="preserve"> sujeto y se obtiene como: </w:t>
      </w:r>
      <w:r w:rsidRPr="009C41DF">
        <w:rPr>
          <w:rStyle w:val="mord"/>
          <w:rFonts w:ascii="KaTeX_Math" w:hAnsi="KaTeX_Math"/>
          <w:i/>
          <w:iCs/>
          <w:sz w:val="29"/>
          <w:szCs w:val="29"/>
          <w:bdr w:val="single" w:sz="2" w:space="0" w:color="E3E3E3" w:frame="1"/>
        </w:rPr>
        <w:t>s</w:t>
      </w:r>
      <w:r w:rsidRPr="009C41DF">
        <w:rPr>
          <w:rStyle w:val="mord"/>
          <w:rFonts w:ascii="KaTeX_Math" w:hAnsi="KaTeX_Math"/>
          <w:i/>
          <w:iCs/>
          <w:sz w:val="20"/>
          <w:szCs w:val="20"/>
          <w:bdr w:val="single" w:sz="2" w:space="0" w:color="E3E3E3" w:frame="1"/>
        </w:rPr>
        <w:t>ij</w:t>
      </w:r>
      <w:r w:rsidRPr="009C41DF">
        <w:rPr>
          <w:rStyle w:val="vlist-s"/>
          <w:sz w:val="2"/>
          <w:szCs w:val="2"/>
          <w:bdr w:val="single" w:sz="2" w:space="0" w:color="E3E3E3" w:frame="1"/>
        </w:rPr>
        <w:t>​</w:t>
      </w:r>
      <w:r w:rsidRPr="009C41DF">
        <w:rPr>
          <w:rStyle w:val="mrel"/>
          <w:sz w:val="29"/>
          <w:szCs w:val="29"/>
          <w:bdr w:val="single" w:sz="2" w:space="0" w:color="E3E3E3" w:frame="1"/>
        </w:rPr>
        <w:t>=</w:t>
      </w:r>
      <w:r w:rsidRPr="009C41DF">
        <w:rPr>
          <w:rStyle w:val="mord"/>
          <w:rFonts w:ascii="KaTeX_Math" w:hAnsi="KaTeX_Math"/>
          <w:i/>
          <w:iCs/>
          <w:sz w:val="29"/>
          <w:szCs w:val="29"/>
          <w:bdr w:val="single" w:sz="2" w:space="0" w:color="E3E3E3" w:frame="1"/>
        </w:rPr>
        <w:t>α</w:t>
      </w:r>
      <w:r w:rsidRPr="009C41DF">
        <w:rPr>
          <w:rStyle w:val="mord"/>
          <w:rFonts w:ascii="KaTeX_Math" w:hAnsi="KaTeX_Math"/>
          <w:i/>
          <w:iCs/>
          <w:sz w:val="20"/>
          <w:szCs w:val="20"/>
          <w:bdr w:val="single" w:sz="2" w:space="0" w:color="E3E3E3" w:frame="1"/>
        </w:rPr>
        <w:t>i</w:t>
      </w:r>
      <w:r w:rsidRPr="009C41DF">
        <w:rPr>
          <w:rStyle w:val="vlist-s"/>
          <w:sz w:val="2"/>
          <w:szCs w:val="2"/>
          <w:bdr w:val="single" w:sz="2" w:space="0" w:color="E3E3E3" w:frame="1"/>
        </w:rPr>
        <w:t>​</w:t>
      </w:r>
      <w:r w:rsidRPr="009C41DF">
        <w:rPr>
          <w:rStyle w:val="mbin"/>
          <w:rFonts w:ascii="Cambria Math" w:hAnsi="Cambria Math" w:cs="Cambria Math"/>
          <w:sz w:val="29"/>
          <w:szCs w:val="29"/>
          <w:bdr w:val="single" w:sz="2" w:space="0" w:color="E3E3E3" w:frame="1"/>
        </w:rPr>
        <w:t>⋅</w:t>
      </w:r>
      <w:proofErr w:type="spellStart"/>
      <w:r w:rsidRPr="009C41DF">
        <w:rPr>
          <w:rStyle w:val="mord"/>
          <w:rFonts w:ascii="KaTeX_Math" w:hAnsi="KaTeX_Math"/>
          <w:i/>
          <w:iCs/>
          <w:sz w:val="29"/>
          <w:szCs w:val="29"/>
          <w:bdr w:val="single" w:sz="2" w:space="0" w:color="E3E3E3" w:frame="1"/>
        </w:rPr>
        <w:t>t</w:t>
      </w:r>
      <w:r w:rsidRPr="009C41DF">
        <w:rPr>
          <w:rStyle w:val="mord"/>
          <w:rFonts w:ascii="KaTeX_Math" w:hAnsi="KaTeX_Math"/>
          <w:i/>
          <w:iCs/>
          <w:sz w:val="20"/>
          <w:szCs w:val="20"/>
          <w:bdr w:val="single" w:sz="2" w:space="0" w:color="E3E3E3" w:frame="1"/>
        </w:rPr>
        <w:t>ij</w:t>
      </w:r>
      <w:proofErr w:type="spellEnd"/>
      <w:r w:rsidRPr="009C41DF">
        <w:rPr>
          <w:rStyle w:val="vlist-s"/>
          <w:sz w:val="2"/>
          <w:szCs w:val="2"/>
          <w:bdr w:val="single" w:sz="2" w:space="0" w:color="E3E3E3" w:frame="1"/>
        </w:rPr>
        <w:t>​</w:t>
      </w:r>
      <w:r w:rsidRPr="009C41DF">
        <w:rPr>
          <w:rStyle w:val="mbin"/>
          <w:sz w:val="29"/>
          <w:szCs w:val="29"/>
          <w:bdr w:val="single" w:sz="2" w:space="0" w:color="E3E3E3" w:frame="1"/>
        </w:rPr>
        <w:t>+</w:t>
      </w:r>
      <w:r w:rsidRPr="009C41DF">
        <w:rPr>
          <w:rStyle w:val="mord"/>
          <w:rFonts w:ascii="KaTeX_Math" w:hAnsi="KaTeX_Math"/>
          <w:i/>
          <w:iCs/>
          <w:sz w:val="29"/>
          <w:szCs w:val="29"/>
          <w:bdr w:val="single" w:sz="2" w:space="0" w:color="E3E3E3" w:frame="1"/>
        </w:rPr>
        <w:t>β</w:t>
      </w:r>
      <w:r w:rsidRPr="009C41DF">
        <w:rPr>
          <w:rStyle w:val="mord"/>
          <w:rFonts w:ascii="KaTeX_Math" w:hAnsi="KaTeX_Math"/>
          <w:i/>
          <w:iCs/>
          <w:sz w:val="20"/>
          <w:szCs w:val="20"/>
          <w:bdr w:val="single" w:sz="2" w:space="0" w:color="E3E3E3" w:frame="1"/>
        </w:rPr>
        <w:t>i</w:t>
      </w:r>
      <w:r w:rsidRPr="009C41DF">
        <w:rPr>
          <w:rStyle w:val="vlist-s"/>
          <w:sz w:val="2"/>
          <w:szCs w:val="2"/>
          <w:bdr w:val="single" w:sz="2" w:space="0" w:color="E3E3E3" w:frame="1"/>
        </w:rPr>
        <w:t>​</w:t>
      </w:r>
      <w:r w:rsidRPr="009C41DF">
        <w:rPr>
          <w:rFonts w:ascii="Segoe UI" w:hAnsi="Segoe UI" w:cs="Segoe UI"/>
        </w:rPr>
        <w:t xml:space="preserve"> donde </w:t>
      </w:r>
      <w:proofErr w:type="spellStart"/>
      <w:r w:rsidRPr="009C41DF">
        <w:rPr>
          <w:rStyle w:val="mord"/>
          <w:rFonts w:ascii="KaTeX_Math" w:hAnsi="KaTeX_Math"/>
          <w:i/>
          <w:iCs/>
          <w:sz w:val="29"/>
          <w:szCs w:val="29"/>
          <w:bdr w:val="single" w:sz="2" w:space="0" w:color="E3E3E3" w:frame="1"/>
        </w:rPr>
        <w:t>t</w:t>
      </w:r>
      <w:r w:rsidRPr="009C41DF">
        <w:rPr>
          <w:rStyle w:val="mord"/>
          <w:rFonts w:ascii="KaTeX_Math" w:hAnsi="KaTeX_Math"/>
          <w:i/>
          <w:iCs/>
          <w:sz w:val="20"/>
          <w:szCs w:val="20"/>
          <w:bdr w:val="single" w:sz="2" w:space="0" w:color="E3E3E3" w:frame="1"/>
        </w:rPr>
        <w:t>ij</w:t>
      </w:r>
      <w:proofErr w:type="spellEnd"/>
      <w:r w:rsidRPr="009C41DF">
        <w:rPr>
          <w:rStyle w:val="vlist-s"/>
          <w:sz w:val="2"/>
          <w:szCs w:val="2"/>
          <w:bdr w:val="single" w:sz="2" w:space="0" w:color="E3E3E3" w:frame="1"/>
        </w:rPr>
        <w:t>​</w:t>
      </w:r>
      <w:r w:rsidRPr="009C41DF">
        <w:rPr>
          <w:rFonts w:ascii="Segoe UI" w:hAnsi="Segoe UI" w:cs="Segoe UI"/>
        </w:rPr>
        <w:t xml:space="preserve"> es la edad del sujeto i en la visita j, y </w:t>
      </w:r>
      <w:r w:rsidRPr="009C41DF">
        <w:rPr>
          <w:rStyle w:val="mord"/>
          <w:rFonts w:ascii="KaTeX_Math" w:hAnsi="KaTeX_Math"/>
          <w:i/>
          <w:iCs/>
          <w:sz w:val="29"/>
          <w:szCs w:val="29"/>
          <w:bdr w:val="single" w:sz="2" w:space="0" w:color="E3E3E3" w:frame="1"/>
        </w:rPr>
        <w:t>α</w:t>
      </w:r>
      <w:r w:rsidRPr="009C41DF">
        <w:rPr>
          <w:rStyle w:val="mord"/>
          <w:rFonts w:ascii="KaTeX_Math" w:hAnsi="KaTeX_Math"/>
          <w:i/>
          <w:iCs/>
          <w:sz w:val="20"/>
          <w:szCs w:val="20"/>
          <w:bdr w:val="single" w:sz="2" w:space="0" w:color="E3E3E3" w:frame="1"/>
        </w:rPr>
        <w:t>i</w:t>
      </w:r>
      <w:r w:rsidRPr="009C41DF">
        <w:rPr>
          <w:rStyle w:val="vlist-s"/>
          <w:sz w:val="2"/>
          <w:szCs w:val="2"/>
          <w:bdr w:val="single" w:sz="2" w:space="0" w:color="E3E3E3" w:frame="1"/>
        </w:rPr>
        <w:t>​</w:t>
      </w:r>
      <w:r w:rsidRPr="009C41DF">
        <w:rPr>
          <w:rFonts w:ascii="Segoe UI" w:hAnsi="Segoe UI" w:cs="Segoe UI"/>
        </w:rPr>
        <w:t xml:space="preserve"> y </w:t>
      </w:r>
      <w:r w:rsidRPr="009C41DF">
        <w:rPr>
          <w:rStyle w:val="mord"/>
          <w:rFonts w:ascii="KaTeX_Math" w:hAnsi="KaTeX_Math"/>
          <w:i/>
          <w:iCs/>
          <w:sz w:val="29"/>
          <w:szCs w:val="29"/>
          <w:bdr w:val="single" w:sz="2" w:space="0" w:color="E3E3E3" w:frame="1"/>
        </w:rPr>
        <w:t>β</w:t>
      </w:r>
      <w:r w:rsidRPr="009C41DF">
        <w:rPr>
          <w:rStyle w:val="mord"/>
          <w:rFonts w:ascii="KaTeX_Math" w:hAnsi="KaTeX_Math"/>
          <w:i/>
          <w:iCs/>
          <w:sz w:val="20"/>
          <w:szCs w:val="20"/>
          <w:bdr w:val="single" w:sz="2" w:space="0" w:color="E3E3E3" w:frame="1"/>
        </w:rPr>
        <w:t>i</w:t>
      </w:r>
      <w:r w:rsidRPr="009C41DF">
        <w:rPr>
          <w:rStyle w:val="vlist-s"/>
          <w:sz w:val="2"/>
          <w:szCs w:val="2"/>
          <w:bdr w:val="single" w:sz="2" w:space="0" w:color="E3E3E3" w:frame="1"/>
        </w:rPr>
        <w:t>​</w:t>
      </w:r>
      <w:r w:rsidRPr="009C41DF">
        <w:rPr>
          <w:rFonts w:ascii="Segoe UI" w:hAnsi="Segoe UI" w:cs="Segoe UI"/>
        </w:rPr>
        <w:t xml:space="preserve"> son la tasa y el inicio de la progresión de la enfermedad del sujeto i, respectivamente.</w:t>
      </w:r>
    </w:p>
    <w:p w14:paraId="44E35135" w14:textId="0548A9D3"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 xml:space="preserve">El estado clínico se clasifica en función de los </w:t>
      </w:r>
      <w:proofErr w:type="spellStart"/>
      <w:r w:rsidRPr="009C41DF">
        <w:rPr>
          <w:rFonts w:ascii="Segoe UI" w:hAnsi="Segoe UI" w:cs="Segoe UI"/>
        </w:rPr>
        <w:t>DPSs</w:t>
      </w:r>
      <w:proofErr w:type="spellEnd"/>
      <w:r w:rsidRPr="009C41DF">
        <w:rPr>
          <w:rFonts w:ascii="Segoe UI" w:hAnsi="Segoe UI" w:cs="Segoe UI"/>
        </w:rPr>
        <w:t xml:space="preserve"> con un clasificador bayesiano que utiliza la estimación de densidad del núcleo (KDE) (</w:t>
      </w:r>
      <w:proofErr w:type="spellStart"/>
      <w:r w:rsidRPr="009C41DF">
        <w:rPr>
          <w:rFonts w:ascii="Segoe UI" w:hAnsi="Segoe UI" w:cs="Segoe UI"/>
        </w:rPr>
        <w:t>Parzen</w:t>
      </w:r>
      <w:proofErr w:type="spellEnd"/>
      <w:r w:rsidRPr="009C41DF">
        <w:rPr>
          <w:rFonts w:ascii="Segoe UI" w:hAnsi="Segoe UI" w:cs="Segoe UI"/>
        </w:rPr>
        <w:t xml:space="preserve">, 1962) como: </w:t>
      </w:r>
      <w:r w:rsidRPr="009C41DF">
        <w:rPr>
          <w:rStyle w:val="mord"/>
          <w:rFonts w:ascii="KaTeX_Math" w:hAnsi="KaTeX_Math"/>
          <w:i/>
          <w:iCs/>
          <w:sz w:val="29"/>
          <w:szCs w:val="29"/>
          <w:bdr w:val="single" w:sz="2" w:space="0" w:color="E3E3E3" w:frame="1"/>
        </w:rPr>
        <w:t>p</w:t>
      </w:r>
      <w:r w:rsidRPr="009C41DF">
        <w:rPr>
          <w:rStyle w:val="mopen"/>
          <w:sz w:val="29"/>
          <w:szCs w:val="29"/>
          <w:bdr w:val="single" w:sz="2" w:space="0" w:color="E3E3E3" w:frame="1"/>
        </w:rPr>
        <w:t>(</w:t>
      </w:r>
      <w:proofErr w:type="spellStart"/>
      <w:r w:rsidRPr="009C41DF">
        <w:rPr>
          <w:rStyle w:val="mord"/>
          <w:rFonts w:ascii="KaTeX_Math" w:hAnsi="KaTeX_Math"/>
          <w:i/>
          <w:iCs/>
          <w:sz w:val="29"/>
          <w:szCs w:val="29"/>
          <w:bdr w:val="single" w:sz="2" w:space="0" w:color="E3E3E3" w:frame="1"/>
        </w:rPr>
        <w:t>s</w:t>
      </w:r>
      <w:r w:rsidRPr="009C41DF">
        <w:rPr>
          <w:rStyle w:val="mord"/>
          <w:rFonts w:ascii="Cambria Math" w:hAnsi="Cambria Math" w:cs="Cambria Math"/>
          <w:sz w:val="29"/>
          <w:szCs w:val="29"/>
          <w:bdr w:val="single" w:sz="2" w:space="0" w:color="E3E3E3" w:frame="1"/>
        </w:rPr>
        <w:t>∣</w:t>
      </w:r>
      <w:proofErr w:type="gramStart"/>
      <w:r w:rsidRPr="009C41DF">
        <w:rPr>
          <w:rStyle w:val="mord"/>
          <w:rFonts w:ascii="KaTeX_Math" w:hAnsi="KaTeX_Math"/>
          <w:i/>
          <w:iCs/>
          <w:sz w:val="29"/>
          <w:szCs w:val="29"/>
          <w:bdr w:val="single" w:sz="2" w:space="0" w:color="E3E3E3" w:frame="1"/>
        </w:rPr>
        <w:t>c</w:t>
      </w:r>
      <w:proofErr w:type="spellEnd"/>
      <w:r w:rsidRPr="009C41DF">
        <w:rPr>
          <w:rStyle w:val="mclose"/>
          <w:sz w:val="29"/>
          <w:szCs w:val="29"/>
          <w:bdr w:val="single" w:sz="2" w:space="0" w:color="E3E3E3" w:frame="1"/>
        </w:rPr>
        <w:t>)</w:t>
      </w:r>
      <w:r w:rsidRPr="009C41DF">
        <w:rPr>
          <w:rStyle w:val="mrel"/>
          <w:sz w:val="29"/>
          <w:szCs w:val="29"/>
          <w:bdr w:val="single" w:sz="2" w:space="0" w:color="E3E3E3" w:frame="1"/>
        </w:rPr>
        <w:t>=</w:t>
      </w:r>
      <w:proofErr w:type="gramEnd"/>
      <w:r w:rsidRPr="009C41DF">
        <w:rPr>
          <w:rStyle w:val="mord"/>
          <w:rFonts w:ascii="KaTeX_Math" w:hAnsi="KaTeX_Math"/>
          <w:i/>
          <w:iCs/>
          <w:sz w:val="20"/>
          <w:szCs w:val="20"/>
          <w:bdr w:val="single" w:sz="2" w:space="0" w:color="E3E3E3" w:frame="1"/>
        </w:rPr>
        <w:t>n</w:t>
      </w:r>
      <w:r w:rsidRPr="009C41DF">
        <w:rPr>
          <w:rStyle w:val="mbin"/>
          <w:rFonts w:ascii="Cambria Math" w:hAnsi="Cambria Math" w:cs="Cambria Math"/>
          <w:sz w:val="20"/>
          <w:szCs w:val="20"/>
          <w:bdr w:val="single" w:sz="2" w:space="0" w:color="E3E3E3" w:frame="1"/>
        </w:rPr>
        <w:t>⋅</w:t>
      </w:r>
      <w:r w:rsidRPr="009C41DF">
        <w:rPr>
          <w:rStyle w:val="mord"/>
          <w:rFonts w:ascii="KaTeX_Math" w:hAnsi="KaTeX_Math"/>
          <w:i/>
          <w:iCs/>
          <w:sz w:val="20"/>
          <w:szCs w:val="20"/>
          <w:bdr w:val="single" w:sz="2" w:space="0" w:color="E3E3E3" w:frame="1"/>
        </w:rPr>
        <w:t>h</w:t>
      </w:r>
      <w:r w:rsidRPr="009C41DF">
        <w:rPr>
          <w:rStyle w:val="mord"/>
          <w:sz w:val="20"/>
          <w:szCs w:val="20"/>
          <w:bdr w:val="single" w:sz="2" w:space="0" w:color="E3E3E3" w:frame="1"/>
        </w:rPr>
        <w:t>1</w:t>
      </w:r>
      <w:r w:rsidRPr="009C41DF">
        <w:rPr>
          <w:rStyle w:val="vlist-s"/>
          <w:sz w:val="2"/>
          <w:szCs w:val="2"/>
          <w:bdr w:val="single" w:sz="2" w:space="0" w:color="E3E3E3" w:frame="1"/>
        </w:rPr>
        <w:t>​</w:t>
      </w:r>
      <w:r w:rsidRPr="009C41DF">
        <w:rPr>
          <w:rStyle w:val="mop"/>
          <w:rFonts w:ascii="KaTeX_Size1" w:hAnsi="KaTeX_Size1"/>
          <w:sz w:val="29"/>
          <w:szCs w:val="29"/>
          <w:bdr w:val="single" w:sz="2" w:space="0" w:color="E3E3E3" w:frame="1"/>
        </w:rPr>
        <w:t>∑</w:t>
      </w:r>
      <w:r w:rsidRPr="009C41DF">
        <w:rPr>
          <w:rStyle w:val="mord"/>
          <w:rFonts w:ascii="KaTeX_Math" w:hAnsi="KaTeX_Math"/>
          <w:i/>
          <w:iCs/>
          <w:sz w:val="20"/>
          <w:szCs w:val="20"/>
          <w:bdr w:val="single" w:sz="2" w:space="0" w:color="E3E3E3" w:frame="1"/>
        </w:rPr>
        <w:t>t</w:t>
      </w:r>
      <w:r w:rsidRPr="009C41DF">
        <w:rPr>
          <w:rStyle w:val="mrel"/>
          <w:sz w:val="20"/>
          <w:szCs w:val="20"/>
          <w:bdr w:val="single" w:sz="2" w:space="0" w:color="E3E3E3" w:frame="1"/>
        </w:rPr>
        <w:t>=</w:t>
      </w:r>
      <w:r w:rsidRPr="009C41DF">
        <w:rPr>
          <w:rStyle w:val="mord"/>
          <w:sz w:val="20"/>
          <w:szCs w:val="20"/>
          <w:bdr w:val="single" w:sz="2" w:space="0" w:color="E3E3E3" w:frame="1"/>
        </w:rPr>
        <w:t>1</w:t>
      </w:r>
      <w:r w:rsidRPr="009C41DF">
        <w:rPr>
          <w:rStyle w:val="mord"/>
          <w:rFonts w:ascii="KaTeX_Math" w:hAnsi="KaTeX_Math"/>
          <w:i/>
          <w:iCs/>
          <w:sz w:val="20"/>
          <w:szCs w:val="20"/>
          <w:bdr w:val="single" w:sz="2" w:space="0" w:color="E3E3E3" w:frame="1"/>
        </w:rPr>
        <w:t>n</w:t>
      </w:r>
      <w:r w:rsidRPr="009C41DF">
        <w:rPr>
          <w:rStyle w:val="vlist-s"/>
          <w:sz w:val="2"/>
          <w:szCs w:val="2"/>
          <w:bdr w:val="single" w:sz="2" w:space="0" w:color="E3E3E3" w:frame="1"/>
        </w:rPr>
        <w:t>​</w:t>
      </w:r>
      <w:r w:rsidRPr="009C41DF">
        <w:rPr>
          <w:rStyle w:val="mord"/>
          <w:rFonts w:ascii="KaTeX_Math" w:hAnsi="KaTeX_Math"/>
          <w:i/>
          <w:iCs/>
          <w:sz w:val="29"/>
          <w:szCs w:val="29"/>
          <w:bdr w:val="single" w:sz="2" w:space="0" w:color="E3E3E3" w:frame="1"/>
        </w:rPr>
        <w:t>K</w:t>
      </w:r>
      <w:r w:rsidRPr="009C41DF">
        <w:rPr>
          <w:rStyle w:val="delimsizing"/>
          <w:rFonts w:ascii="KaTeX_Size1" w:hAnsi="KaTeX_Size1"/>
          <w:sz w:val="29"/>
          <w:szCs w:val="29"/>
          <w:bdr w:val="single" w:sz="2" w:space="0" w:color="E3E3E3" w:frame="1"/>
        </w:rPr>
        <w:t>(</w:t>
      </w:r>
      <w:proofErr w:type="spellStart"/>
      <w:r w:rsidRPr="009C41DF">
        <w:rPr>
          <w:rStyle w:val="mord"/>
          <w:rFonts w:ascii="KaTeX_Math" w:hAnsi="KaTeX_Math"/>
          <w:i/>
          <w:iCs/>
          <w:sz w:val="20"/>
          <w:szCs w:val="20"/>
          <w:bdr w:val="single" w:sz="2" w:space="0" w:color="E3E3E3" w:frame="1"/>
        </w:rPr>
        <w:t>hs</w:t>
      </w:r>
      <w:r w:rsidRPr="009C41DF">
        <w:rPr>
          <w:rStyle w:val="mbin"/>
          <w:sz w:val="20"/>
          <w:szCs w:val="20"/>
          <w:bdr w:val="single" w:sz="2" w:space="0" w:color="E3E3E3" w:frame="1"/>
        </w:rPr>
        <w:t>−</w:t>
      </w:r>
      <w:r w:rsidRPr="009C41DF">
        <w:rPr>
          <w:rStyle w:val="mord"/>
          <w:rFonts w:ascii="KaTeX_Math" w:hAnsi="KaTeX_Math"/>
          <w:i/>
          <w:iCs/>
          <w:sz w:val="20"/>
          <w:szCs w:val="20"/>
          <w:bdr w:val="single" w:sz="2" w:space="0" w:color="E3E3E3" w:frame="1"/>
        </w:rPr>
        <w:t>s</w:t>
      </w:r>
      <w:r w:rsidRPr="009C41DF">
        <w:rPr>
          <w:rStyle w:val="mord"/>
          <w:rFonts w:ascii="KaTeX_Math" w:hAnsi="KaTeX_Math"/>
          <w:i/>
          <w:iCs/>
          <w:sz w:val="14"/>
          <w:szCs w:val="14"/>
          <w:bdr w:val="single" w:sz="2" w:space="0" w:color="E3E3E3" w:frame="1"/>
        </w:rPr>
        <w:t>t</w:t>
      </w:r>
      <w:proofErr w:type="spellEnd"/>
      <w:r w:rsidRPr="009C41DF">
        <w:rPr>
          <w:rStyle w:val="vlist-s"/>
          <w:sz w:val="2"/>
          <w:szCs w:val="2"/>
          <w:bdr w:val="single" w:sz="2" w:space="0" w:color="E3E3E3" w:frame="1"/>
        </w:rPr>
        <w:t>​​</w:t>
      </w:r>
      <w:r w:rsidRPr="009C41DF">
        <w:rPr>
          <w:rStyle w:val="delimsizing"/>
          <w:rFonts w:ascii="KaTeX_Size1" w:hAnsi="KaTeX_Size1"/>
          <w:sz w:val="29"/>
          <w:szCs w:val="29"/>
          <w:bdr w:val="single" w:sz="2" w:space="0" w:color="E3E3E3" w:frame="1"/>
        </w:rPr>
        <w:t>)</w:t>
      </w:r>
      <w:r w:rsidRPr="009C41DF">
        <w:rPr>
          <w:rFonts w:ascii="Segoe UI" w:hAnsi="Segoe UI" w:cs="Segoe UI"/>
        </w:rPr>
        <w:t xml:space="preserve"> donde </w:t>
      </w:r>
      <w:r w:rsidRPr="009C41DF">
        <w:rPr>
          <w:rStyle w:val="mord"/>
          <w:rFonts w:ascii="KaTeX_Math" w:hAnsi="KaTeX_Math"/>
          <w:i/>
          <w:iCs/>
          <w:sz w:val="29"/>
          <w:szCs w:val="29"/>
          <w:bdr w:val="single" w:sz="2" w:space="0" w:color="E3E3E3" w:frame="1"/>
        </w:rPr>
        <w:t>K</w:t>
      </w:r>
      <w:r w:rsidRPr="009C41DF">
        <w:rPr>
          <w:rStyle w:val="mopen"/>
          <w:sz w:val="29"/>
          <w:szCs w:val="29"/>
          <w:bdr w:val="single" w:sz="2" w:space="0" w:color="E3E3E3" w:frame="1"/>
        </w:rPr>
        <w:t>(</w:t>
      </w:r>
      <w:r w:rsidRPr="009C41DF">
        <w:rPr>
          <w:rStyle w:val="mord"/>
          <w:rFonts w:ascii="Cambria Math" w:hAnsi="Cambria Math" w:cs="Cambria Math"/>
          <w:sz w:val="29"/>
          <w:szCs w:val="29"/>
          <w:bdr w:val="single" w:sz="2" w:space="0" w:color="E3E3E3" w:frame="1"/>
        </w:rPr>
        <w:t>⋅</w:t>
      </w:r>
      <w:r w:rsidRPr="009C41DF">
        <w:rPr>
          <w:rStyle w:val="mclose"/>
          <w:sz w:val="29"/>
          <w:szCs w:val="29"/>
          <w:bdr w:val="single" w:sz="2" w:space="0" w:color="E3E3E3" w:frame="1"/>
        </w:rPr>
        <w:t>)</w:t>
      </w:r>
      <w:r w:rsidRPr="009C41DF">
        <w:rPr>
          <w:rFonts w:ascii="Segoe UI" w:hAnsi="Segoe UI" w:cs="Segoe UI"/>
        </w:rPr>
        <w:t xml:space="preserve"> es el núcleo, </w:t>
      </w:r>
      <w:r w:rsidRPr="009C41DF">
        <w:rPr>
          <w:rStyle w:val="katex-mathml"/>
          <w:sz w:val="29"/>
          <w:szCs w:val="29"/>
          <w:bdr w:val="none" w:sz="0" w:space="0" w:color="auto" w:frame="1"/>
        </w:rPr>
        <w:t>ℎ≥0</w:t>
      </w:r>
      <w:r w:rsidRPr="009C41DF">
        <w:rPr>
          <w:rStyle w:val="mord"/>
          <w:rFonts w:ascii="KaTeX_Math" w:hAnsi="KaTeX_Math"/>
          <w:i/>
          <w:iCs/>
          <w:sz w:val="29"/>
          <w:szCs w:val="29"/>
          <w:bdr w:val="single" w:sz="2" w:space="0" w:color="E3E3E3" w:frame="1"/>
        </w:rPr>
        <w:t>h</w:t>
      </w:r>
      <w:r w:rsidRPr="009C41DF">
        <w:rPr>
          <w:rStyle w:val="mrel"/>
          <w:sz w:val="29"/>
          <w:szCs w:val="29"/>
          <w:bdr w:val="single" w:sz="2" w:space="0" w:color="E3E3E3" w:frame="1"/>
        </w:rPr>
        <w:t>≥</w:t>
      </w:r>
      <w:r w:rsidRPr="009C41DF">
        <w:rPr>
          <w:rStyle w:val="mord"/>
          <w:sz w:val="29"/>
          <w:szCs w:val="29"/>
          <w:bdr w:val="single" w:sz="2" w:space="0" w:color="E3E3E3" w:frame="1"/>
        </w:rPr>
        <w:t>0</w:t>
      </w:r>
      <w:r w:rsidRPr="009C41DF">
        <w:rPr>
          <w:rFonts w:ascii="Segoe UI" w:hAnsi="Segoe UI" w:cs="Segoe UI"/>
        </w:rPr>
        <w:t xml:space="preserve"> es un parámetro de suavizado y </w:t>
      </w:r>
      <w:r w:rsidRPr="009C41DF">
        <w:rPr>
          <w:rStyle w:val="mord"/>
          <w:rFonts w:ascii="KaTeX_Math" w:hAnsi="KaTeX_Math"/>
          <w:i/>
          <w:iCs/>
          <w:sz w:val="29"/>
          <w:szCs w:val="29"/>
          <w:bdr w:val="single" w:sz="2" w:space="0" w:color="E3E3E3" w:frame="1"/>
        </w:rPr>
        <w:t>c</w:t>
      </w:r>
      <w:r w:rsidRPr="009C41DF">
        <w:rPr>
          <w:rFonts w:ascii="Segoe UI" w:hAnsi="Segoe UI" w:cs="Segoe UI"/>
        </w:rPr>
        <w:t xml:space="preserve"> denota un grupo clínico. La clase predicha para la observación </w:t>
      </w:r>
      <w:r w:rsidRPr="009C41DF">
        <w:rPr>
          <w:rStyle w:val="mord"/>
          <w:rFonts w:ascii="KaTeX_Math" w:hAnsi="KaTeX_Math"/>
          <w:i/>
          <w:iCs/>
          <w:sz w:val="29"/>
          <w:szCs w:val="29"/>
          <w:bdr w:val="single" w:sz="2" w:space="0" w:color="E3E3E3" w:frame="1"/>
        </w:rPr>
        <w:t>s</w:t>
      </w:r>
      <w:r w:rsidRPr="009C41DF">
        <w:rPr>
          <w:rStyle w:val="mord"/>
          <w:rFonts w:ascii="KaTeX_Math" w:hAnsi="KaTeX_Math"/>
          <w:i/>
          <w:iCs/>
          <w:sz w:val="20"/>
          <w:szCs w:val="20"/>
          <w:bdr w:val="single" w:sz="2" w:space="0" w:color="E3E3E3" w:frame="1"/>
        </w:rPr>
        <w:t>ij</w:t>
      </w:r>
      <w:r w:rsidRPr="009C41DF">
        <w:rPr>
          <w:rStyle w:val="vlist-s"/>
          <w:sz w:val="2"/>
          <w:szCs w:val="2"/>
          <w:bdr w:val="single" w:sz="2" w:space="0" w:color="E3E3E3" w:frame="1"/>
        </w:rPr>
        <w:t>​</w:t>
      </w:r>
      <w:r w:rsidRPr="009C41DF">
        <w:rPr>
          <w:rFonts w:ascii="Segoe UI" w:hAnsi="Segoe UI" w:cs="Segoe UI"/>
        </w:rPr>
        <w:t xml:space="preserve"> es </w:t>
      </w:r>
      <w:proofErr w:type="spellStart"/>
      <w:r w:rsidRPr="009C41DF">
        <w:rPr>
          <w:rStyle w:val="mord"/>
          <w:rFonts w:ascii="KaTeX_Math" w:hAnsi="KaTeX_Math"/>
          <w:i/>
          <w:iCs/>
          <w:sz w:val="29"/>
          <w:szCs w:val="29"/>
          <w:bdr w:val="single" w:sz="2" w:space="0" w:color="E3E3E3" w:frame="1"/>
        </w:rPr>
        <w:t>c</w:t>
      </w:r>
      <w:r w:rsidRPr="009C41DF">
        <w:rPr>
          <w:rStyle w:val="mord"/>
          <w:rFonts w:ascii="KaTeX_Math" w:hAnsi="KaTeX_Math"/>
          <w:i/>
          <w:iCs/>
          <w:sz w:val="20"/>
          <w:szCs w:val="20"/>
          <w:bdr w:val="single" w:sz="2" w:space="0" w:color="E3E3E3" w:frame="1"/>
        </w:rPr>
        <w:t>r</w:t>
      </w:r>
      <w:proofErr w:type="spellEnd"/>
      <w:r w:rsidRPr="009C41DF">
        <w:rPr>
          <w:rStyle w:val="vlist-s"/>
          <w:sz w:val="2"/>
          <w:szCs w:val="2"/>
          <w:bdr w:val="single" w:sz="2" w:space="0" w:color="E3E3E3" w:frame="1"/>
        </w:rPr>
        <w:t>​</w:t>
      </w:r>
      <w:r w:rsidRPr="009C41DF">
        <w:rPr>
          <w:rFonts w:ascii="Segoe UI" w:hAnsi="Segoe UI" w:cs="Segoe UI"/>
        </w:rPr>
        <w:t xml:space="preserve">, que maximiza la probabilidad posterior: </w:t>
      </w:r>
      <w:r w:rsidRPr="009C41DF">
        <w:rPr>
          <w:rStyle w:val="mord"/>
          <w:rFonts w:ascii="KaTeX_Math" w:hAnsi="KaTeX_Math"/>
          <w:i/>
          <w:iCs/>
          <w:sz w:val="29"/>
          <w:szCs w:val="29"/>
          <w:bdr w:val="single" w:sz="2" w:space="0" w:color="E3E3E3" w:frame="1"/>
        </w:rPr>
        <w:t>r</w:t>
      </w:r>
      <w:r w:rsidRPr="009C41DF">
        <w:rPr>
          <w:rStyle w:val="mrel"/>
          <w:sz w:val="29"/>
          <w:szCs w:val="29"/>
          <w:bdr w:val="single" w:sz="2" w:space="0" w:color="E3E3E3" w:frame="1"/>
        </w:rPr>
        <w:t>=</w:t>
      </w:r>
      <w:proofErr w:type="spellStart"/>
      <w:r w:rsidRPr="009C41DF">
        <w:rPr>
          <w:rStyle w:val="mop"/>
          <w:sz w:val="29"/>
          <w:szCs w:val="29"/>
          <w:bdr w:val="single" w:sz="2" w:space="0" w:color="E3E3E3" w:frame="1"/>
        </w:rPr>
        <w:t>argmax</w:t>
      </w:r>
      <w:r w:rsidRPr="009C41DF">
        <w:rPr>
          <w:rStyle w:val="mord"/>
          <w:rFonts w:ascii="KaTeX_Math" w:hAnsi="KaTeX_Math"/>
          <w:i/>
          <w:iCs/>
          <w:sz w:val="20"/>
          <w:szCs w:val="20"/>
          <w:bdr w:val="single" w:sz="2" w:space="0" w:color="E3E3E3" w:frame="1"/>
        </w:rPr>
        <w:t>r</w:t>
      </w:r>
      <w:proofErr w:type="spellEnd"/>
      <w:r w:rsidRPr="009C41DF">
        <w:rPr>
          <w:rStyle w:val="vlist-s"/>
          <w:sz w:val="2"/>
          <w:szCs w:val="2"/>
          <w:bdr w:val="single" w:sz="2" w:space="0" w:color="E3E3E3" w:frame="1"/>
        </w:rPr>
        <w:t>​</w:t>
      </w:r>
      <w:r w:rsidRPr="009C41DF">
        <w:rPr>
          <w:rStyle w:val="mopen"/>
          <w:sz w:val="29"/>
          <w:szCs w:val="29"/>
          <w:bdr w:val="single" w:sz="2" w:space="0" w:color="E3E3E3" w:frame="1"/>
        </w:rPr>
        <w:t>(</w:t>
      </w:r>
      <w:r w:rsidRPr="009C41DF">
        <w:rPr>
          <w:rStyle w:val="mord"/>
          <w:rFonts w:ascii="KaTeX_Math" w:hAnsi="KaTeX_Math"/>
          <w:i/>
          <w:iCs/>
          <w:sz w:val="29"/>
          <w:szCs w:val="29"/>
          <w:bdr w:val="single" w:sz="2" w:space="0" w:color="E3E3E3" w:frame="1"/>
        </w:rPr>
        <w:t>p</w:t>
      </w:r>
      <w:r w:rsidRPr="009C41DF">
        <w:rPr>
          <w:rStyle w:val="mopen"/>
          <w:sz w:val="29"/>
          <w:szCs w:val="29"/>
          <w:bdr w:val="single" w:sz="2" w:space="0" w:color="E3E3E3" w:frame="1"/>
        </w:rPr>
        <w:t>(</w:t>
      </w:r>
      <w:proofErr w:type="spellStart"/>
      <w:r w:rsidRPr="009C41DF">
        <w:rPr>
          <w:rStyle w:val="mord"/>
          <w:rFonts w:ascii="KaTeX_Math" w:hAnsi="KaTeX_Math"/>
          <w:i/>
          <w:iCs/>
          <w:sz w:val="29"/>
          <w:szCs w:val="29"/>
          <w:bdr w:val="single" w:sz="2" w:space="0" w:color="E3E3E3" w:frame="1"/>
        </w:rPr>
        <w:t>c</w:t>
      </w:r>
      <w:r w:rsidRPr="009C41DF">
        <w:rPr>
          <w:rStyle w:val="mord"/>
          <w:rFonts w:ascii="KaTeX_Math" w:hAnsi="KaTeX_Math"/>
          <w:i/>
          <w:iCs/>
          <w:sz w:val="20"/>
          <w:szCs w:val="20"/>
          <w:bdr w:val="single" w:sz="2" w:space="0" w:color="E3E3E3" w:frame="1"/>
        </w:rPr>
        <w:t>r</w:t>
      </w:r>
      <w:proofErr w:type="spellEnd"/>
      <w:r w:rsidRPr="009C41DF">
        <w:rPr>
          <w:rStyle w:val="vlist-s"/>
          <w:sz w:val="2"/>
          <w:szCs w:val="2"/>
          <w:bdr w:val="single" w:sz="2" w:space="0" w:color="E3E3E3" w:frame="1"/>
        </w:rPr>
        <w:t>​</w:t>
      </w:r>
      <w:r w:rsidRPr="009C41DF">
        <w:rPr>
          <w:rStyle w:val="mclose"/>
          <w:sz w:val="29"/>
          <w:szCs w:val="29"/>
          <w:bdr w:val="single" w:sz="2" w:space="0" w:color="E3E3E3" w:frame="1"/>
        </w:rPr>
        <w:t>)</w:t>
      </w:r>
      <w:r w:rsidRPr="009C41DF">
        <w:rPr>
          <w:rStyle w:val="mbin"/>
          <w:rFonts w:ascii="Cambria Math" w:hAnsi="Cambria Math" w:cs="Cambria Math"/>
          <w:sz w:val="29"/>
          <w:szCs w:val="29"/>
          <w:bdr w:val="single" w:sz="2" w:space="0" w:color="E3E3E3" w:frame="1"/>
        </w:rPr>
        <w:t>⋅</w:t>
      </w:r>
      <w:r w:rsidRPr="009C41DF">
        <w:rPr>
          <w:rStyle w:val="mord"/>
          <w:rFonts w:ascii="KaTeX_Math" w:hAnsi="KaTeX_Math"/>
          <w:i/>
          <w:iCs/>
          <w:sz w:val="29"/>
          <w:szCs w:val="29"/>
          <w:bdr w:val="single" w:sz="2" w:space="0" w:color="E3E3E3" w:frame="1"/>
        </w:rPr>
        <w:t>p</w:t>
      </w:r>
      <w:r w:rsidRPr="009C41DF">
        <w:rPr>
          <w:rStyle w:val="mopen"/>
          <w:sz w:val="29"/>
          <w:szCs w:val="29"/>
          <w:bdr w:val="single" w:sz="2" w:space="0" w:color="E3E3E3" w:frame="1"/>
        </w:rPr>
        <w:t>(</w:t>
      </w:r>
      <w:r w:rsidRPr="009C41DF">
        <w:rPr>
          <w:rStyle w:val="mord"/>
          <w:rFonts w:ascii="KaTeX_Math" w:hAnsi="KaTeX_Math"/>
          <w:i/>
          <w:iCs/>
          <w:sz w:val="29"/>
          <w:szCs w:val="29"/>
          <w:bdr w:val="single" w:sz="2" w:space="0" w:color="E3E3E3" w:frame="1"/>
        </w:rPr>
        <w:t>s</w:t>
      </w:r>
      <w:r w:rsidRPr="009C41DF">
        <w:rPr>
          <w:rStyle w:val="mord"/>
          <w:rFonts w:ascii="KaTeX_Math" w:hAnsi="KaTeX_Math"/>
          <w:i/>
          <w:iCs/>
          <w:sz w:val="20"/>
          <w:szCs w:val="20"/>
          <w:bdr w:val="single" w:sz="2" w:space="0" w:color="E3E3E3" w:frame="1"/>
        </w:rPr>
        <w:t>ij</w:t>
      </w:r>
      <w:r w:rsidRPr="009C41DF">
        <w:rPr>
          <w:rStyle w:val="vlist-s"/>
          <w:sz w:val="2"/>
          <w:szCs w:val="2"/>
          <w:bdr w:val="single" w:sz="2" w:space="0" w:color="E3E3E3" w:frame="1"/>
        </w:rPr>
        <w:t>​</w:t>
      </w:r>
      <w:r w:rsidRPr="009C41DF">
        <w:rPr>
          <w:rStyle w:val="mord"/>
          <w:rFonts w:ascii="Cambria Math" w:hAnsi="Cambria Math" w:cs="Cambria Math"/>
          <w:sz w:val="29"/>
          <w:szCs w:val="29"/>
          <w:bdr w:val="single" w:sz="2" w:space="0" w:color="E3E3E3" w:frame="1"/>
        </w:rPr>
        <w:t>∣</w:t>
      </w:r>
      <w:proofErr w:type="spellStart"/>
      <w:r w:rsidRPr="009C41DF">
        <w:rPr>
          <w:rStyle w:val="mord"/>
          <w:rFonts w:ascii="KaTeX_Math" w:hAnsi="KaTeX_Math"/>
          <w:i/>
          <w:iCs/>
          <w:sz w:val="29"/>
          <w:szCs w:val="29"/>
          <w:bdr w:val="single" w:sz="2" w:space="0" w:color="E3E3E3" w:frame="1"/>
        </w:rPr>
        <w:t>c</w:t>
      </w:r>
      <w:r w:rsidRPr="009C41DF">
        <w:rPr>
          <w:rStyle w:val="mord"/>
          <w:rFonts w:ascii="KaTeX_Math" w:hAnsi="KaTeX_Math"/>
          <w:i/>
          <w:iCs/>
          <w:sz w:val="20"/>
          <w:szCs w:val="20"/>
          <w:bdr w:val="single" w:sz="2" w:space="0" w:color="E3E3E3" w:frame="1"/>
        </w:rPr>
        <w:t>r</w:t>
      </w:r>
      <w:proofErr w:type="spellEnd"/>
      <w:r w:rsidRPr="009C41DF">
        <w:rPr>
          <w:rStyle w:val="vlist-s"/>
          <w:sz w:val="2"/>
          <w:szCs w:val="2"/>
          <w:bdr w:val="single" w:sz="2" w:space="0" w:color="E3E3E3" w:frame="1"/>
        </w:rPr>
        <w:t>​</w:t>
      </w:r>
      <w:r w:rsidRPr="009C41DF">
        <w:rPr>
          <w:rStyle w:val="mclose"/>
          <w:sz w:val="29"/>
          <w:szCs w:val="29"/>
          <w:bdr w:val="single" w:sz="2" w:space="0" w:color="E3E3E3" w:frame="1"/>
        </w:rPr>
        <w:t>))</w:t>
      </w:r>
    </w:p>
    <w:p w14:paraId="03CC85F7" w14:textId="77777777" w:rsidR="001135D7"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b/>
          <w:bCs/>
        </w:rPr>
      </w:pPr>
      <w:r w:rsidRPr="001135D7">
        <w:rPr>
          <w:rFonts w:ascii="Segoe UI" w:hAnsi="Segoe UI" w:cs="Segoe UI"/>
          <w:b/>
          <w:bCs/>
        </w:rPr>
        <w:t xml:space="preserve">4.3 Medidas respecto a los marcos temporales de conversión hacia el declive cognitivo </w:t>
      </w:r>
    </w:p>
    <w:p w14:paraId="5FAF2BCE" w14:textId="24664E09"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jc w:val="both"/>
        <w:rPr>
          <w:rFonts w:ascii="Segoe UI" w:hAnsi="Segoe UI" w:cs="Segoe UI"/>
        </w:rPr>
      </w:pPr>
      <w:r w:rsidRPr="009C41DF">
        <w:rPr>
          <w:rFonts w:ascii="Segoe UI" w:hAnsi="Segoe UI" w:cs="Segoe UI"/>
        </w:rPr>
        <w:t xml:space="preserve">Se propusieron medidas de calidad para </w:t>
      </w:r>
      <w:proofErr w:type="spellStart"/>
      <w:r w:rsidRPr="009C41DF">
        <w:rPr>
          <w:rFonts w:ascii="Segoe UI" w:hAnsi="Segoe UI" w:cs="Segoe UI"/>
        </w:rPr>
        <w:t>DPMs</w:t>
      </w:r>
      <w:proofErr w:type="spellEnd"/>
      <w:r w:rsidRPr="009C41DF">
        <w:rPr>
          <w:rFonts w:ascii="Segoe UI" w:hAnsi="Segoe UI" w:cs="Segoe UI"/>
        </w:rPr>
        <w:t xml:space="preserve"> asociados con un evento clínico específico: en este caso, el inicio del declive cognitivo en un paciente. En primer lugar, se calculó la edad estimada en la que el sujeto inicia este declive según un modelo propuesto. Esta fecha se determinó como el tiempo promedio entre la primera visita diagnosticada con MCI y la visita anterior donde al paciente se consideraba que tenía función cognitiva normal. Además, la última visita del paciente en el estudio longitudinal debe confirmar el estado de declive cognitivo o demencia del paciente. Basándose en la fecha propuesta para este evento clínico en el i-paciente, denotada como </w:t>
      </w:r>
      <w:proofErr w:type="spellStart"/>
      <w:r w:rsidRPr="009C41DF">
        <w:rPr>
          <w:rStyle w:val="mord"/>
          <w:rFonts w:ascii="KaTeX_Math" w:hAnsi="KaTeX_Math"/>
          <w:i/>
          <w:iCs/>
          <w:sz w:val="29"/>
          <w:szCs w:val="29"/>
          <w:bdr w:val="single" w:sz="2" w:space="0" w:color="E3E3E3" w:frame="1"/>
        </w:rPr>
        <w:t>Edad</w:t>
      </w:r>
      <w:r w:rsidRPr="009C41DF">
        <w:rPr>
          <w:rStyle w:val="mord"/>
          <w:rFonts w:ascii="KaTeX_Math" w:hAnsi="KaTeX_Math"/>
          <w:i/>
          <w:iCs/>
          <w:sz w:val="20"/>
          <w:szCs w:val="20"/>
          <w:bdr w:val="single" w:sz="2" w:space="0" w:color="E3E3E3" w:frame="1"/>
        </w:rPr>
        <w:t>inicio</w:t>
      </w:r>
      <w:proofErr w:type="spellEnd"/>
      <w:r w:rsidRPr="009C41DF">
        <w:rPr>
          <w:rStyle w:val="vlist-s"/>
          <w:sz w:val="2"/>
          <w:szCs w:val="2"/>
          <w:bdr w:val="single" w:sz="2" w:space="0" w:color="E3E3E3" w:frame="1"/>
        </w:rPr>
        <w:t>​</w:t>
      </w:r>
      <w:r w:rsidRPr="009C41DF">
        <w:rPr>
          <w:rFonts w:ascii="Segoe UI" w:hAnsi="Segoe UI" w:cs="Segoe UI"/>
        </w:rPr>
        <w:t xml:space="preserve">, se sugieren las siguientes medidas. Para los sujetos </w:t>
      </w:r>
      <w:proofErr w:type="spellStart"/>
      <w:r w:rsidRPr="009C41DF">
        <w:rPr>
          <w:rFonts w:ascii="Segoe UI" w:hAnsi="Segoe UI" w:cs="Segoe UI"/>
        </w:rPr>
        <w:t>sCU</w:t>
      </w:r>
      <w:proofErr w:type="spellEnd"/>
      <w:r w:rsidRPr="009C41DF">
        <w:rPr>
          <w:rFonts w:ascii="Segoe UI" w:hAnsi="Segoe UI" w:cs="Segoe UI"/>
        </w:rPr>
        <w:t xml:space="preserve">, la edad en el evento debe ser mayor que la edad del paciente en la última visita: </w:t>
      </w:r>
      <w:r w:rsidRPr="009C41DF">
        <w:rPr>
          <w:rStyle w:val="mord"/>
          <w:rFonts w:ascii="KaTeX_Math" w:hAnsi="KaTeX_Math"/>
          <w:i/>
          <w:iCs/>
          <w:sz w:val="29"/>
          <w:szCs w:val="29"/>
          <w:bdr w:val="single" w:sz="2" w:space="0" w:color="E3E3E3" w:frame="1"/>
        </w:rPr>
        <w:t>SCORE</w:t>
      </w:r>
      <w:r w:rsidRPr="009C41DF">
        <w:rPr>
          <w:rStyle w:val="mord"/>
          <w:sz w:val="29"/>
          <w:szCs w:val="29"/>
          <w:bdr w:val="single" w:sz="2" w:space="0" w:color="E3E3E3" w:frame="1"/>
        </w:rPr>
        <w:t>1</w:t>
      </w:r>
      <w:r w:rsidRPr="009C41DF">
        <w:rPr>
          <w:rStyle w:val="mrel"/>
          <w:sz w:val="29"/>
          <w:szCs w:val="29"/>
          <w:bdr w:val="single" w:sz="2" w:space="0" w:color="E3E3E3" w:frame="1"/>
        </w:rPr>
        <w:t>=</w:t>
      </w:r>
      <w:r w:rsidRPr="009C41DF">
        <w:rPr>
          <w:rStyle w:val="mord"/>
          <w:sz w:val="20"/>
          <w:szCs w:val="20"/>
          <w:bdr w:val="single" w:sz="2" w:space="0" w:color="E3E3E3" w:frame="1"/>
        </w:rPr>
        <w:t>#</w:t>
      </w:r>
      <w:r w:rsidRPr="009C41DF">
        <w:rPr>
          <w:rStyle w:val="mord"/>
          <w:rFonts w:ascii="KaTeX_Math" w:hAnsi="KaTeX_Math"/>
          <w:i/>
          <w:iCs/>
          <w:sz w:val="20"/>
          <w:szCs w:val="20"/>
          <w:bdr w:val="single" w:sz="2" w:space="0" w:color="E3E3E3" w:frame="1"/>
        </w:rPr>
        <w:t>sCU</w:t>
      </w:r>
      <w:r w:rsidRPr="009C41DF">
        <w:rPr>
          <w:rStyle w:val="mord"/>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i</w:t>
      </w:r>
      <w:r w:rsidRPr="009C41DF">
        <w:rPr>
          <w:rStyle w:val="mord"/>
          <w:rFonts w:ascii="Cambria Math" w:hAnsi="Cambria Math" w:cs="Cambria Math"/>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i</w:t>
      </w:r>
      <w:r w:rsidRPr="009C41DF">
        <w:rPr>
          <w:rStyle w:val="mrel"/>
          <w:rFonts w:ascii="Cambria Math" w:hAnsi="Cambria Math" w:cs="Cambria Math"/>
          <w:sz w:val="20"/>
          <w:szCs w:val="20"/>
          <w:bdr w:val="single" w:sz="2" w:space="0" w:color="E3E3E3" w:frame="1"/>
        </w:rPr>
        <w:t>∈</w:t>
      </w:r>
      <w:r w:rsidRPr="009C41DF">
        <w:rPr>
          <w:rStyle w:val="mord"/>
          <w:rFonts w:ascii="KaTeX_Math" w:hAnsi="KaTeX_Math"/>
          <w:i/>
          <w:iCs/>
          <w:sz w:val="20"/>
          <w:szCs w:val="20"/>
          <w:bdr w:val="single" w:sz="2" w:space="0" w:color="E3E3E3" w:frame="1"/>
        </w:rPr>
        <w:t>sCU</w:t>
      </w:r>
      <w:r w:rsidRPr="009C41DF">
        <w:rPr>
          <w:rStyle w:val="mclose"/>
          <w:sz w:val="20"/>
          <w:szCs w:val="20"/>
          <w:bdr w:val="single" w:sz="2" w:space="0" w:color="E3E3E3" w:frame="1"/>
        </w:rPr>
        <w:t>)</w:t>
      </w:r>
      <w:r w:rsidRPr="009C41DF">
        <w:rPr>
          <w:rStyle w:val="mbin"/>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Edad</w:t>
      </w:r>
      <w:r w:rsidRPr="009C41DF">
        <w:rPr>
          <w:rStyle w:val="mord"/>
          <w:rFonts w:ascii="KaTeX_Math" w:hAnsi="KaTeX_Math"/>
          <w:i/>
          <w:iCs/>
          <w:sz w:val="14"/>
          <w:szCs w:val="14"/>
          <w:bdr w:val="single" w:sz="2" w:space="0" w:color="E3E3E3" w:frame="1"/>
        </w:rPr>
        <w:t>iend</w:t>
      </w:r>
      <w:r w:rsidRPr="009C41DF">
        <w:rPr>
          <w:rStyle w:val="vlist-s"/>
          <w:sz w:val="2"/>
          <w:szCs w:val="2"/>
          <w:bdr w:val="single" w:sz="2" w:space="0" w:color="E3E3E3" w:frame="1"/>
        </w:rPr>
        <w:t>​</w:t>
      </w:r>
      <w:r w:rsidRPr="009C41DF">
        <w:rPr>
          <w:rStyle w:val="mrel"/>
          <w:sz w:val="20"/>
          <w:szCs w:val="20"/>
          <w:bdr w:val="single" w:sz="2" w:space="0" w:color="E3E3E3" w:frame="1"/>
        </w:rPr>
        <w:lastRenderedPageBreak/>
        <w:t>&lt;</w:t>
      </w:r>
      <w:proofErr w:type="spellStart"/>
      <w:r w:rsidRPr="009C41DF">
        <w:rPr>
          <w:rStyle w:val="mord"/>
          <w:rFonts w:ascii="KaTeX_Math" w:hAnsi="KaTeX_Math"/>
          <w:i/>
          <w:iCs/>
          <w:sz w:val="20"/>
          <w:szCs w:val="20"/>
          <w:bdr w:val="single" w:sz="2" w:space="0" w:color="E3E3E3" w:frame="1"/>
        </w:rPr>
        <w:t>Edad</w:t>
      </w:r>
      <w:r w:rsidRPr="009C41DF">
        <w:rPr>
          <w:rStyle w:val="mord"/>
          <w:rFonts w:ascii="KaTeX_Math" w:hAnsi="KaTeX_Math"/>
          <w:i/>
          <w:iCs/>
          <w:sz w:val="14"/>
          <w:szCs w:val="14"/>
          <w:bdr w:val="single" w:sz="2" w:space="0" w:color="E3E3E3" w:frame="1"/>
        </w:rPr>
        <w:t>inicio</w:t>
      </w:r>
      <w:proofErr w:type="spellEnd"/>
      <w:r w:rsidRPr="009C41DF">
        <w:rPr>
          <w:rStyle w:val="vlist-s"/>
          <w:sz w:val="2"/>
          <w:szCs w:val="2"/>
          <w:bdr w:val="single" w:sz="2" w:space="0" w:color="E3E3E3" w:frame="1"/>
        </w:rPr>
        <w:t>​</w:t>
      </w:r>
      <w:r w:rsidRPr="009C41DF">
        <w:rPr>
          <w:rStyle w:val="mclose"/>
          <w:sz w:val="20"/>
          <w:szCs w:val="20"/>
          <w:bdr w:val="single" w:sz="2" w:space="0" w:color="E3E3E3" w:frame="1"/>
        </w:rPr>
        <w:t>)}</w:t>
      </w:r>
      <w:r w:rsidRPr="009C41DF">
        <w:rPr>
          <w:rStyle w:val="vlist-s"/>
          <w:sz w:val="2"/>
          <w:szCs w:val="2"/>
          <w:bdr w:val="single" w:sz="2" w:space="0" w:color="E3E3E3" w:frame="1"/>
        </w:rPr>
        <w:t>​</w:t>
      </w:r>
      <w:r w:rsidRPr="009C41DF">
        <w:rPr>
          <w:rFonts w:ascii="Segoe UI" w:hAnsi="Segoe UI" w:cs="Segoe UI"/>
        </w:rPr>
        <w:t xml:space="preserve"> Para los sujetos </w:t>
      </w:r>
      <w:proofErr w:type="spellStart"/>
      <w:r w:rsidRPr="009C41DF">
        <w:rPr>
          <w:rFonts w:ascii="Segoe UI" w:hAnsi="Segoe UI" w:cs="Segoe UI"/>
        </w:rPr>
        <w:t>sMCI</w:t>
      </w:r>
      <w:proofErr w:type="spellEnd"/>
      <w:r w:rsidRPr="009C41DF">
        <w:rPr>
          <w:rFonts w:ascii="Segoe UI" w:hAnsi="Segoe UI" w:cs="Segoe UI"/>
        </w:rPr>
        <w:t xml:space="preserve">, la edad en el evento debe ser la misma que la edad en la línea base: </w:t>
      </w:r>
      <w:r w:rsidRPr="009C41DF">
        <w:rPr>
          <w:rStyle w:val="mord"/>
          <w:rFonts w:ascii="KaTeX_Math" w:hAnsi="KaTeX_Math"/>
          <w:i/>
          <w:iCs/>
          <w:sz w:val="29"/>
          <w:szCs w:val="29"/>
          <w:bdr w:val="single" w:sz="2" w:space="0" w:color="E3E3E3" w:frame="1"/>
        </w:rPr>
        <w:t>SCORE</w:t>
      </w:r>
      <w:r w:rsidRPr="009C41DF">
        <w:rPr>
          <w:rStyle w:val="mord"/>
          <w:sz w:val="29"/>
          <w:szCs w:val="29"/>
          <w:bdr w:val="single" w:sz="2" w:space="0" w:color="E3E3E3" w:frame="1"/>
        </w:rPr>
        <w:t>2</w:t>
      </w:r>
      <w:r w:rsidRPr="009C41DF">
        <w:rPr>
          <w:rStyle w:val="mrel"/>
          <w:sz w:val="29"/>
          <w:szCs w:val="29"/>
          <w:bdr w:val="single" w:sz="2" w:space="0" w:color="E3E3E3" w:frame="1"/>
        </w:rPr>
        <w:t>=</w:t>
      </w:r>
      <w:r w:rsidRPr="009C41DF">
        <w:rPr>
          <w:rStyle w:val="mord"/>
          <w:sz w:val="20"/>
          <w:szCs w:val="20"/>
          <w:bdr w:val="single" w:sz="2" w:space="0" w:color="E3E3E3" w:frame="1"/>
        </w:rPr>
        <w:t>#</w:t>
      </w:r>
      <w:r w:rsidRPr="009C41DF">
        <w:rPr>
          <w:rStyle w:val="mord"/>
          <w:rFonts w:ascii="KaTeX_Math" w:hAnsi="KaTeX_Math"/>
          <w:i/>
          <w:iCs/>
          <w:sz w:val="20"/>
          <w:szCs w:val="20"/>
          <w:bdr w:val="single" w:sz="2" w:space="0" w:color="E3E3E3" w:frame="1"/>
        </w:rPr>
        <w:t>sMCI</w:t>
      </w:r>
      <w:r w:rsidRPr="009C41DF">
        <w:rPr>
          <w:rStyle w:val="mord"/>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i</w:t>
      </w:r>
      <w:r w:rsidRPr="009C41DF">
        <w:rPr>
          <w:rStyle w:val="mord"/>
          <w:rFonts w:ascii="Cambria Math" w:hAnsi="Cambria Math" w:cs="Cambria Math"/>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i</w:t>
      </w:r>
      <w:r w:rsidRPr="009C41DF">
        <w:rPr>
          <w:rStyle w:val="mrel"/>
          <w:rFonts w:ascii="Cambria Math" w:hAnsi="Cambria Math" w:cs="Cambria Math"/>
          <w:sz w:val="20"/>
          <w:szCs w:val="20"/>
          <w:bdr w:val="single" w:sz="2" w:space="0" w:color="E3E3E3" w:frame="1"/>
        </w:rPr>
        <w:t>∈</w:t>
      </w:r>
      <w:r w:rsidRPr="009C41DF">
        <w:rPr>
          <w:rStyle w:val="mord"/>
          <w:rFonts w:ascii="KaTeX_Math" w:hAnsi="KaTeX_Math"/>
          <w:i/>
          <w:iCs/>
          <w:sz w:val="20"/>
          <w:szCs w:val="20"/>
          <w:bdr w:val="single" w:sz="2" w:space="0" w:color="E3E3E3" w:frame="1"/>
        </w:rPr>
        <w:t>sMCI</w:t>
      </w:r>
      <w:r w:rsidRPr="009C41DF">
        <w:rPr>
          <w:rStyle w:val="mclose"/>
          <w:sz w:val="20"/>
          <w:szCs w:val="20"/>
          <w:bdr w:val="single" w:sz="2" w:space="0" w:color="E3E3E3" w:frame="1"/>
        </w:rPr>
        <w:t>)</w:t>
      </w:r>
      <w:r w:rsidRPr="009C41DF">
        <w:rPr>
          <w:rStyle w:val="mbin"/>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Edad</w:t>
      </w:r>
      <w:r w:rsidRPr="009C41DF">
        <w:rPr>
          <w:rStyle w:val="mord"/>
          <w:rFonts w:ascii="KaTeX_Math" w:hAnsi="KaTeX_Math"/>
          <w:i/>
          <w:iCs/>
          <w:sz w:val="14"/>
          <w:szCs w:val="14"/>
          <w:bdr w:val="single" w:sz="2" w:space="0" w:color="E3E3E3" w:frame="1"/>
        </w:rPr>
        <w:t>i</w:t>
      </w:r>
      <w:r w:rsidRPr="009C41DF">
        <w:rPr>
          <w:rStyle w:val="mord"/>
          <w:sz w:val="14"/>
          <w:szCs w:val="14"/>
          <w:bdr w:val="single" w:sz="2" w:space="0" w:color="E3E3E3" w:frame="1"/>
        </w:rPr>
        <w:t>1</w:t>
      </w:r>
      <w:r w:rsidRPr="009C41DF">
        <w:rPr>
          <w:rStyle w:val="vlist-s"/>
          <w:sz w:val="2"/>
          <w:szCs w:val="2"/>
          <w:bdr w:val="single" w:sz="2" w:space="0" w:color="E3E3E3" w:frame="1"/>
        </w:rPr>
        <w:t>​</w:t>
      </w:r>
      <w:r w:rsidRPr="009C41DF">
        <w:rPr>
          <w:rStyle w:val="mrel"/>
          <w:sz w:val="20"/>
          <w:szCs w:val="20"/>
          <w:bdr w:val="single" w:sz="2" w:space="0" w:color="E3E3E3" w:frame="1"/>
        </w:rPr>
        <w:t>&lt;</w:t>
      </w:r>
      <w:proofErr w:type="spellStart"/>
      <w:r w:rsidRPr="009C41DF">
        <w:rPr>
          <w:rStyle w:val="mord"/>
          <w:rFonts w:ascii="KaTeX_Math" w:hAnsi="KaTeX_Math"/>
          <w:i/>
          <w:iCs/>
          <w:sz w:val="20"/>
          <w:szCs w:val="20"/>
          <w:bdr w:val="single" w:sz="2" w:space="0" w:color="E3E3E3" w:frame="1"/>
        </w:rPr>
        <w:t>Edad</w:t>
      </w:r>
      <w:r w:rsidRPr="009C41DF">
        <w:rPr>
          <w:rStyle w:val="mord"/>
          <w:rFonts w:ascii="KaTeX_Math" w:hAnsi="KaTeX_Math"/>
          <w:i/>
          <w:iCs/>
          <w:sz w:val="14"/>
          <w:szCs w:val="14"/>
          <w:bdr w:val="single" w:sz="2" w:space="0" w:color="E3E3E3" w:frame="1"/>
        </w:rPr>
        <w:t>inicio</w:t>
      </w:r>
      <w:proofErr w:type="spellEnd"/>
      <w:r w:rsidRPr="009C41DF">
        <w:rPr>
          <w:rStyle w:val="vlist-s"/>
          <w:sz w:val="2"/>
          <w:szCs w:val="2"/>
          <w:bdr w:val="single" w:sz="2" w:space="0" w:color="E3E3E3" w:frame="1"/>
        </w:rPr>
        <w:t>​</w:t>
      </w:r>
      <w:r w:rsidRPr="009C41DF">
        <w:rPr>
          <w:rStyle w:val="mclose"/>
          <w:sz w:val="20"/>
          <w:szCs w:val="20"/>
          <w:bdr w:val="single" w:sz="2" w:space="0" w:color="E3E3E3" w:frame="1"/>
        </w:rPr>
        <w:t>)}</w:t>
      </w:r>
      <w:r w:rsidRPr="009C41DF">
        <w:rPr>
          <w:rStyle w:val="vlist-s"/>
          <w:sz w:val="2"/>
          <w:szCs w:val="2"/>
          <w:bdr w:val="single" w:sz="2" w:space="0" w:color="E3E3E3" w:frame="1"/>
        </w:rPr>
        <w:t>​</w:t>
      </w:r>
      <w:r w:rsidRPr="009C41DF">
        <w:rPr>
          <w:rFonts w:ascii="Segoe UI" w:hAnsi="Segoe UI" w:cs="Segoe UI"/>
        </w:rPr>
        <w:t xml:space="preserve"> En cuanto a los sujetos que progresan de CU a MCI, medimos: a) el porcentaje de casos de CU preclínica detectados por los </w:t>
      </w:r>
      <w:proofErr w:type="spellStart"/>
      <w:r w:rsidRPr="009C41DF">
        <w:rPr>
          <w:rFonts w:ascii="Segoe UI" w:hAnsi="Segoe UI" w:cs="Segoe UI"/>
        </w:rPr>
        <w:t>DPMs</w:t>
      </w:r>
      <w:proofErr w:type="spellEnd"/>
      <w:r w:rsidRPr="009C41DF">
        <w:rPr>
          <w:rFonts w:ascii="Segoe UI" w:hAnsi="Segoe UI" w:cs="Segoe UI"/>
        </w:rPr>
        <w:t xml:space="preserve">: </w:t>
      </w:r>
      <w:r w:rsidRPr="009C41DF">
        <w:rPr>
          <w:rStyle w:val="mord"/>
          <w:rFonts w:ascii="KaTeX_Math" w:hAnsi="KaTeX_Math"/>
          <w:i/>
          <w:iCs/>
          <w:sz w:val="29"/>
          <w:szCs w:val="29"/>
          <w:bdr w:val="single" w:sz="2" w:space="0" w:color="E3E3E3" w:frame="1"/>
        </w:rPr>
        <w:t>SCORE</w:t>
      </w:r>
      <w:r w:rsidRPr="009C41DF">
        <w:rPr>
          <w:rStyle w:val="mord"/>
          <w:sz w:val="29"/>
          <w:szCs w:val="29"/>
          <w:bdr w:val="single" w:sz="2" w:space="0" w:color="E3E3E3" w:frame="1"/>
        </w:rPr>
        <w:t>3</w:t>
      </w:r>
      <w:r w:rsidRPr="009C41DF">
        <w:rPr>
          <w:rStyle w:val="mrel"/>
          <w:sz w:val="29"/>
          <w:szCs w:val="29"/>
          <w:bdr w:val="single" w:sz="2" w:space="0" w:color="E3E3E3" w:frame="1"/>
        </w:rPr>
        <w:t>=</w:t>
      </w:r>
      <w:r w:rsidRPr="009C41DF">
        <w:rPr>
          <w:rStyle w:val="mord"/>
          <w:sz w:val="20"/>
          <w:szCs w:val="20"/>
          <w:bdr w:val="single" w:sz="2" w:space="0" w:color="E3E3E3" w:frame="1"/>
        </w:rPr>
        <w:t>#</w:t>
      </w:r>
      <w:r w:rsidRPr="009C41DF">
        <w:rPr>
          <w:rStyle w:val="mord"/>
          <w:rFonts w:ascii="KaTeX_Math" w:hAnsi="KaTeX_Math"/>
          <w:i/>
          <w:iCs/>
          <w:sz w:val="20"/>
          <w:szCs w:val="20"/>
          <w:bdr w:val="single" w:sz="2" w:space="0" w:color="E3E3E3" w:frame="1"/>
        </w:rPr>
        <w:t>pCU</w:t>
      </w:r>
      <w:r w:rsidRPr="009C41DF">
        <w:rPr>
          <w:rStyle w:val="mord"/>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i</w:t>
      </w:r>
      <w:r w:rsidRPr="009C41DF">
        <w:rPr>
          <w:rStyle w:val="mord"/>
          <w:rFonts w:ascii="Cambria Math" w:hAnsi="Cambria Math" w:cs="Cambria Math"/>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i</w:t>
      </w:r>
      <w:r w:rsidRPr="009C41DF">
        <w:rPr>
          <w:rStyle w:val="mrel"/>
          <w:rFonts w:ascii="Cambria Math" w:hAnsi="Cambria Math" w:cs="Cambria Math"/>
          <w:sz w:val="20"/>
          <w:szCs w:val="20"/>
          <w:bdr w:val="single" w:sz="2" w:space="0" w:color="E3E3E3" w:frame="1"/>
        </w:rPr>
        <w:t>∈</w:t>
      </w:r>
      <w:r w:rsidRPr="009C41DF">
        <w:rPr>
          <w:rStyle w:val="mord"/>
          <w:rFonts w:ascii="KaTeX_Math" w:hAnsi="KaTeX_Math"/>
          <w:i/>
          <w:iCs/>
          <w:sz w:val="20"/>
          <w:szCs w:val="20"/>
          <w:bdr w:val="single" w:sz="2" w:space="0" w:color="E3E3E3" w:frame="1"/>
        </w:rPr>
        <w:t>pCU</w:t>
      </w:r>
      <w:r w:rsidRPr="009C41DF">
        <w:rPr>
          <w:rStyle w:val="mclose"/>
          <w:sz w:val="20"/>
          <w:szCs w:val="20"/>
          <w:bdr w:val="single" w:sz="2" w:space="0" w:color="E3E3E3" w:frame="1"/>
        </w:rPr>
        <w:t>)</w:t>
      </w:r>
      <w:r w:rsidRPr="009C41DF">
        <w:rPr>
          <w:rStyle w:val="mbin"/>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Edad</w:t>
      </w:r>
      <w:r w:rsidRPr="009C41DF">
        <w:rPr>
          <w:rStyle w:val="mord"/>
          <w:rFonts w:ascii="KaTeX_Math" w:hAnsi="KaTeX_Math"/>
          <w:i/>
          <w:iCs/>
          <w:sz w:val="14"/>
          <w:szCs w:val="14"/>
          <w:bdr w:val="single" w:sz="2" w:space="0" w:color="E3E3E3" w:frame="1"/>
        </w:rPr>
        <w:t>i</w:t>
      </w:r>
      <w:r w:rsidRPr="009C41DF">
        <w:rPr>
          <w:rStyle w:val="mord"/>
          <w:sz w:val="14"/>
          <w:szCs w:val="14"/>
          <w:bdr w:val="single" w:sz="2" w:space="0" w:color="E3E3E3" w:frame="1"/>
        </w:rPr>
        <w:t>1</w:t>
      </w:r>
      <w:r w:rsidRPr="009C41DF">
        <w:rPr>
          <w:rStyle w:val="vlist-s"/>
          <w:sz w:val="2"/>
          <w:szCs w:val="2"/>
          <w:bdr w:val="single" w:sz="2" w:space="0" w:color="E3E3E3" w:frame="1"/>
        </w:rPr>
        <w:t>​</w:t>
      </w:r>
      <w:r w:rsidRPr="009C41DF">
        <w:rPr>
          <w:rStyle w:val="mrel"/>
          <w:sz w:val="20"/>
          <w:szCs w:val="20"/>
          <w:bdr w:val="single" w:sz="2" w:space="0" w:color="E3E3E3" w:frame="1"/>
        </w:rPr>
        <w:t>&lt;</w:t>
      </w:r>
      <w:proofErr w:type="spellStart"/>
      <w:r w:rsidRPr="009C41DF">
        <w:rPr>
          <w:rStyle w:val="mord"/>
          <w:rFonts w:ascii="KaTeX_Math" w:hAnsi="KaTeX_Math"/>
          <w:i/>
          <w:iCs/>
          <w:sz w:val="20"/>
          <w:szCs w:val="20"/>
          <w:bdr w:val="single" w:sz="2" w:space="0" w:color="E3E3E3" w:frame="1"/>
        </w:rPr>
        <w:t>Edad</w:t>
      </w:r>
      <w:r w:rsidRPr="009C41DF">
        <w:rPr>
          <w:rStyle w:val="mord"/>
          <w:rFonts w:ascii="KaTeX_Math" w:hAnsi="KaTeX_Math"/>
          <w:i/>
          <w:iCs/>
          <w:sz w:val="14"/>
          <w:szCs w:val="14"/>
          <w:bdr w:val="single" w:sz="2" w:space="0" w:color="E3E3E3" w:frame="1"/>
        </w:rPr>
        <w:t>inicio</w:t>
      </w:r>
      <w:proofErr w:type="spellEnd"/>
      <w:r w:rsidRPr="009C41DF">
        <w:rPr>
          <w:rStyle w:val="vlist-s"/>
          <w:sz w:val="2"/>
          <w:szCs w:val="2"/>
          <w:bdr w:val="single" w:sz="2" w:space="0" w:color="E3E3E3" w:frame="1"/>
        </w:rPr>
        <w:t>​</w:t>
      </w:r>
      <w:r w:rsidRPr="009C41DF">
        <w:rPr>
          <w:rStyle w:val="mclose"/>
          <w:sz w:val="20"/>
          <w:szCs w:val="20"/>
          <w:bdr w:val="single" w:sz="2" w:space="0" w:color="E3E3E3" w:frame="1"/>
        </w:rPr>
        <w:t>)}</w:t>
      </w:r>
      <w:r w:rsidRPr="009C41DF">
        <w:rPr>
          <w:rStyle w:val="vlist-s"/>
          <w:sz w:val="2"/>
          <w:szCs w:val="2"/>
          <w:bdr w:val="single" w:sz="2" w:space="0" w:color="E3E3E3" w:frame="1"/>
        </w:rPr>
        <w:t>​</w:t>
      </w:r>
      <w:r w:rsidRPr="009C41DF">
        <w:rPr>
          <w:rFonts w:ascii="Segoe UI" w:hAnsi="Segoe UI" w:cs="Segoe UI"/>
        </w:rPr>
        <w:t xml:space="preserve"> </w:t>
      </w:r>
      <w:r w:rsidRPr="009C41DF">
        <w:rPr>
          <w:rStyle w:val="mord"/>
          <w:rFonts w:ascii="KaTeX_Math" w:hAnsi="KaTeX_Math"/>
          <w:i/>
          <w:iCs/>
          <w:sz w:val="29"/>
          <w:szCs w:val="29"/>
          <w:bdr w:val="single" w:sz="2" w:space="0" w:color="E3E3E3" w:frame="1"/>
        </w:rPr>
        <w:t>SCORE</w:t>
      </w:r>
      <w:r w:rsidRPr="009C41DF">
        <w:rPr>
          <w:rStyle w:val="mord"/>
          <w:sz w:val="29"/>
          <w:szCs w:val="29"/>
          <w:bdr w:val="single" w:sz="2" w:space="0" w:color="E3E3E3" w:frame="1"/>
        </w:rPr>
        <w:t>4</w:t>
      </w:r>
      <w:r w:rsidRPr="009C41DF">
        <w:rPr>
          <w:rStyle w:val="mrel"/>
          <w:sz w:val="29"/>
          <w:szCs w:val="29"/>
          <w:bdr w:val="single" w:sz="2" w:space="0" w:color="E3E3E3" w:frame="1"/>
        </w:rPr>
        <w:t>=</w:t>
      </w:r>
      <w:r w:rsidRPr="009C41DF">
        <w:rPr>
          <w:rStyle w:val="mord"/>
          <w:sz w:val="20"/>
          <w:szCs w:val="20"/>
          <w:bdr w:val="single" w:sz="2" w:space="0" w:color="E3E3E3" w:frame="1"/>
        </w:rPr>
        <w:t>#</w:t>
      </w:r>
      <w:r w:rsidRPr="009C41DF">
        <w:rPr>
          <w:rStyle w:val="mord"/>
          <w:rFonts w:ascii="KaTeX_Math" w:hAnsi="KaTeX_Math"/>
          <w:i/>
          <w:iCs/>
          <w:sz w:val="20"/>
          <w:szCs w:val="20"/>
          <w:bdr w:val="single" w:sz="2" w:space="0" w:color="E3E3E3" w:frame="1"/>
        </w:rPr>
        <w:t>pCU</w:t>
      </w:r>
      <w:r w:rsidRPr="009C41DF">
        <w:rPr>
          <w:rStyle w:val="mord"/>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i</w:t>
      </w:r>
      <w:r w:rsidRPr="009C41DF">
        <w:rPr>
          <w:rStyle w:val="mord"/>
          <w:rFonts w:ascii="Cambria Math" w:hAnsi="Cambria Math" w:cs="Cambria Math"/>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i</w:t>
      </w:r>
      <w:r w:rsidRPr="009C41DF">
        <w:rPr>
          <w:rStyle w:val="mrel"/>
          <w:rFonts w:ascii="Cambria Math" w:hAnsi="Cambria Math" w:cs="Cambria Math"/>
          <w:sz w:val="20"/>
          <w:szCs w:val="20"/>
          <w:bdr w:val="single" w:sz="2" w:space="0" w:color="E3E3E3" w:frame="1"/>
        </w:rPr>
        <w:t>∈</w:t>
      </w:r>
      <w:r w:rsidRPr="009C41DF">
        <w:rPr>
          <w:rStyle w:val="mord"/>
          <w:rFonts w:ascii="KaTeX_Math" w:hAnsi="KaTeX_Math"/>
          <w:i/>
          <w:iCs/>
          <w:sz w:val="20"/>
          <w:szCs w:val="20"/>
          <w:bdr w:val="single" w:sz="2" w:space="0" w:color="E3E3E3" w:frame="1"/>
        </w:rPr>
        <w:t>pCU</w:t>
      </w:r>
      <w:r w:rsidRPr="009C41DF">
        <w:rPr>
          <w:rStyle w:val="mclose"/>
          <w:sz w:val="20"/>
          <w:szCs w:val="20"/>
          <w:bdr w:val="single" w:sz="2" w:space="0" w:color="E3E3E3" w:frame="1"/>
        </w:rPr>
        <w:t>)</w:t>
      </w:r>
      <w:r w:rsidRPr="009C41DF">
        <w:rPr>
          <w:rStyle w:val="mbin"/>
          <w:sz w:val="20"/>
          <w:szCs w:val="20"/>
          <w:bdr w:val="single" w:sz="2" w:space="0" w:color="E3E3E3" w:frame="1"/>
        </w:rPr>
        <w:t>∩</w:t>
      </w:r>
      <w:r w:rsidRPr="009C41DF">
        <w:rPr>
          <w:rStyle w:val="mopen"/>
          <w:sz w:val="20"/>
          <w:szCs w:val="20"/>
          <w:bdr w:val="single" w:sz="2" w:space="0" w:color="E3E3E3" w:frame="1"/>
        </w:rPr>
        <w:t>(</w:t>
      </w:r>
      <w:r w:rsidRPr="009C41DF">
        <w:rPr>
          <w:rStyle w:val="mord"/>
          <w:rFonts w:ascii="KaTeX_Math" w:hAnsi="KaTeX_Math"/>
          <w:i/>
          <w:iCs/>
          <w:sz w:val="20"/>
          <w:szCs w:val="20"/>
          <w:bdr w:val="single" w:sz="2" w:space="0" w:color="E3E3E3" w:frame="1"/>
        </w:rPr>
        <w:t>Edad</w:t>
      </w:r>
      <w:r w:rsidRPr="009C41DF">
        <w:rPr>
          <w:rStyle w:val="mord"/>
          <w:rFonts w:ascii="KaTeX_Math" w:hAnsi="KaTeX_Math"/>
          <w:i/>
          <w:iCs/>
          <w:sz w:val="14"/>
          <w:szCs w:val="14"/>
          <w:bdr w:val="single" w:sz="2" w:space="0" w:color="E3E3E3" w:frame="1"/>
        </w:rPr>
        <w:t>iend</w:t>
      </w:r>
      <w:r w:rsidRPr="009C41DF">
        <w:rPr>
          <w:rStyle w:val="vlist-s"/>
          <w:sz w:val="2"/>
          <w:szCs w:val="2"/>
          <w:bdr w:val="single" w:sz="2" w:space="0" w:color="E3E3E3" w:frame="1"/>
        </w:rPr>
        <w:t>​</w:t>
      </w:r>
      <w:r w:rsidRPr="009C41DF">
        <w:rPr>
          <w:rStyle w:val="mrel"/>
          <w:sz w:val="20"/>
          <w:szCs w:val="20"/>
          <w:bdr w:val="single" w:sz="2" w:space="0" w:color="E3E3E3" w:frame="1"/>
        </w:rPr>
        <w:t>≥</w:t>
      </w:r>
      <w:proofErr w:type="spellStart"/>
      <w:r w:rsidRPr="009C41DF">
        <w:rPr>
          <w:rStyle w:val="mord"/>
          <w:rFonts w:ascii="KaTeX_Math" w:hAnsi="KaTeX_Math"/>
          <w:i/>
          <w:iCs/>
          <w:sz w:val="20"/>
          <w:szCs w:val="20"/>
          <w:bdr w:val="single" w:sz="2" w:space="0" w:color="E3E3E3" w:frame="1"/>
        </w:rPr>
        <w:t>Edad</w:t>
      </w:r>
      <w:r w:rsidRPr="009C41DF">
        <w:rPr>
          <w:rStyle w:val="mord"/>
          <w:rFonts w:ascii="KaTeX_Math" w:hAnsi="KaTeX_Math"/>
          <w:i/>
          <w:iCs/>
          <w:sz w:val="14"/>
          <w:szCs w:val="14"/>
          <w:bdr w:val="single" w:sz="2" w:space="0" w:color="E3E3E3" w:frame="1"/>
        </w:rPr>
        <w:t>inicio</w:t>
      </w:r>
      <w:proofErr w:type="spellEnd"/>
      <w:r w:rsidRPr="009C41DF">
        <w:rPr>
          <w:rStyle w:val="vlist-s"/>
          <w:sz w:val="2"/>
          <w:szCs w:val="2"/>
          <w:bdr w:val="single" w:sz="2" w:space="0" w:color="E3E3E3" w:frame="1"/>
        </w:rPr>
        <w:t>​</w:t>
      </w:r>
      <w:r w:rsidRPr="009C41DF">
        <w:rPr>
          <w:rStyle w:val="mclose"/>
          <w:sz w:val="20"/>
          <w:szCs w:val="20"/>
          <w:bdr w:val="single" w:sz="2" w:space="0" w:color="E3E3E3" w:frame="1"/>
        </w:rPr>
        <w:t>)}</w:t>
      </w:r>
      <w:r w:rsidRPr="009C41DF">
        <w:rPr>
          <w:rStyle w:val="vlist-s"/>
          <w:sz w:val="2"/>
          <w:szCs w:val="2"/>
          <w:bdr w:val="single" w:sz="2" w:space="0" w:color="E3E3E3" w:frame="1"/>
        </w:rPr>
        <w:t>​</w:t>
      </w:r>
      <w:r w:rsidRPr="009C41DF">
        <w:rPr>
          <w:rFonts w:ascii="Segoe UI" w:hAnsi="Segoe UI" w:cs="Segoe UI"/>
        </w:rPr>
        <w:t xml:space="preserve"> b) la correlación entre la edad en el evento y su estimación por el modelo, y c) la correlación entre los años restantes para que el individuo alcance el declive cognitivo según el diagnóstico clínico y la estimación del modelo desde la fecha de la visita en la línea base.</w:t>
      </w:r>
    </w:p>
    <w:p w14:paraId="40972D0F" w14:textId="77777777" w:rsidR="001135D7" w:rsidRPr="001135D7"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jc w:val="both"/>
        <w:rPr>
          <w:rFonts w:ascii="Segoe UI" w:hAnsi="Segoe UI" w:cs="Segoe UI"/>
          <w:b/>
          <w:bCs/>
        </w:rPr>
      </w:pPr>
      <w:r w:rsidRPr="001135D7">
        <w:rPr>
          <w:rFonts w:ascii="Segoe UI" w:hAnsi="Segoe UI" w:cs="Segoe UI"/>
          <w:b/>
          <w:bCs/>
        </w:rPr>
        <w:t xml:space="preserve">4.4 Particiones de datos y </w:t>
      </w:r>
      <w:proofErr w:type="spellStart"/>
      <w:r w:rsidRPr="001135D7">
        <w:rPr>
          <w:rFonts w:ascii="Segoe UI" w:hAnsi="Segoe UI" w:cs="Segoe UI"/>
          <w:b/>
          <w:bCs/>
        </w:rPr>
        <w:t>bootstrapping</w:t>
      </w:r>
      <w:proofErr w:type="spellEnd"/>
      <w:r w:rsidRPr="001135D7">
        <w:rPr>
          <w:rFonts w:ascii="Segoe UI" w:hAnsi="Segoe UI" w:cs="Segoe UI"/>
          <w:b/>
          <w:bCs/>
        </w:rPr>
        <w:t xml:space="preserve"> </w:t>
      </w:r>
    </w:p>
    <w:p w14:paraId="5E305799" w14:textId="7BD8A0A1" w:rsidR="009C41DF" w:rsidRPr="009C41DF" w:rsidRDefault="009C41DF" w:rsidP="009C41DF">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jc w:val="both"/>
        <w:rPr>
          <w:rFonts w:ascii="Segoe UI" w:hAnsi="Segoe UI" w:cs="Segoe UI"/>
        </w:rPr>
      </w:pPr>
      <w:r w:rsidRPr="009C41DF">
        <w:rPr>
          <w:rFonts w:ascii="Segoe UI" w:hAnsi="Segoe UI" w:cs="Segoe UI"/>
        </w:rPr>
        <w:t xml:space="preserve">Para evaluar los algoritmos, el conjunto de datos se divide en dos conjuntos no superpuestos para entrenamiento y prueba. Además, se emplea el </w:t>
      </w:r>
      <w:proofErr w:type="spellStart"/>
      <w:r w:rsidRPr="009C41DF">
        <w:rPr>
          <w:rFonts w:ascii="Segoe UI" w:hAnsi="Segoe UI" w:cs="Segoe UI"/>
        </w:rPr>
        <w:t>bootstrapping</w:t>
      </w:r>
      <w:proofErr w:type="spellEnd"/>
      <w:r w:rsidRPr="009C41DF">
        <w:rPr>
          <w:rFonts w:ascii="Segoe UI" w:hAnsi="Segoe UI" w:cs="Segoe UI"/>
        </w:rPr>
        <w:t xml:space="preserve"> en los experimentos para evaluar el rendimiento de los </w:t>
      </w:r>
      <w:proofErr w:type="spellStart"/>
      <w:r w:rsidRPr="009C41DF">
        <w:rPr>
          <w:rFonts w:ascii="Segoe UI" w:hAnsi="Segoe UI" w:cs="Segoe UI"/>
        </w:rPr>
        <w:t>DPMs</w:t>
      </w:r>
      <w:proofErr w:type="spellEnd"/>
      <w:r w:rsidRPr="009C41DF">
        <w:rPr>
          <w:rFonts w:ascii="Segoe UI" w:hAnsi="Segoe UI" w:cs="Segoe UI"/>
        </w:rPr>
        <w:t xml:space="preserve">. Dentro de cada iteración de </w:t>
      </w:r>
      <w:proofErr w:type="spellStart"/>
      <w:r w:rsidRPr="009C41DF">
        <w:rPr>
          <w:rFonts w:ascii="Segoe UI" w:hAnsi="Segoe UI" w:cs="Segoe UI"/>
        </w:rPr>
        <w:t>bootstrap</w:t>
      </w:r>
      <w:proofErr w:type="spellEnd"/>
      <w:r w:rsidRPr="009C41DF">
        <w:rPr>
          <w:rFonts w:ascii="Segoe UI" w:hAnsi="Segoe UI" w:cs="Segoe UI"/>
        </w:rPr>
        <w:t xml:space="preserve">, se muestrea aleatoriamente un subconjunto de los sujetos de entrenamiento con reemplazo, teniendo en cuenta su agrupación clínica, lo que asegura que cada muestra de </w:t>
      </w:r>
      <w:proofErr w:type="spellStart"/>
      <w:r w:rsidRPr="009C41DF">
        <w:rPr>
          <w:rFonts w:ascii="Segoe UI" w:hAnsi="Segoe UI" w:cs="Segoe UI"/>
        </w:rPr>
        <w:t>bootstrap</w:t>
      </w:r>
      <w:proofErr w:type="spellEnd"/>
      <w:r w:rsidRPr="009C41DF">
        <w:rPr>
          <w:rFonts w:ascii="Segoe UI" w:hAnsi="Segoe UI" w:cs="Segoe UI"/>
        </w:rPr>
        <w:t xml:space="preserve"> incluya datos que representen todos los estados de diagnóstico.</w:t>
      </w:r>
    </w:p>
    <w:p w14:paraId="293B6683" w14:textId="77777777" w:rsidR="009C41DF" w:rsidRDefault="009C41DF" w:rsidP="00DE523A">
      <w:pPr>
        <w:jc w:val="both"/>
        <w:rPr>
          <w:rFonts w:ascii="Segoe UI" w:eastAsia="Times New Roman" w:hAnsi="Segoe UI" w:cs="Segoe UI"/>
          <w:b/>
          <w:bCs/>
          <w:sz w:val="60"/>
          <w:szCs w:val="60"/>
          <w:lang w:eastAsia="es-ES"/>
        </w:rPr>
      </w:pPr>
    </w:p>
    <w:p w14:paraId="2CDB695F" w14:textId="77777777" w:rsidR="00173CDD" w:rsidRDefault="00173CDD" w:rsidP="00DE523A">
      <w:pPr>
        <w:jc w:val="both"/>
        <w:rPr>
          <w:rFonts w:ascii="Segoe UI" w:eastAsia="Times New Roman" w:hAnsi="Segoe UI" w:cs="Segoe UI"/>
          <w:b/>
          <w:bCs/>
          <w:sz w:val="60"/>
          <w:szCs w:val="60"/>
          <w:lang w:eastAsia="es-ES"/>
        </w:rPr>
      </w:pPr>
    </w:p>
    <w:p w14:paraId="24C3C79F" w14:textId="77777777" w:rsidR="00173CDD" w:rsidRPr="00173CDD" w:rsidRDefault="00173CDD" w:rsidP="00173CDD">
      <w:pPr>
        <w:pBdr>
          <w:top w:val="single" w:sz="2" w:space="0" w:color="E3E3E3"/>
          <w:left w:val="single" w:sz="2" w:space="0" w:color="E3E3E3"/>
          <w:bottom w:val="single" w:sz="2" w:space="0" w:color="E3E3E3"/>
          <w:right w:val="single" w:sz="2" w:space="0" w:color="E3E3E3"/>
        </w:pBdr>
        <w:shd w:val="clear" w:color="auto" w:fill="212121"/>
        <w:spacing w:after="30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Documento de Principios, Métodos y Métricas</w:t>
      </w:r>
    </w:p>
    <w:p w14:paraId="05CDF442" w14:textId="77777777" w:rsidR="00173CDD" w:rsidRPr="00173CDD" w:rsidRDefault="00173CDD" w:rsidP="00173CDD">
      <w:pPr>
        <w:spacing w:before="720" w:after="720" w:line="240" w:lineRule="auto"/>
        <w:rPr>
          <w:rFonts w:ascii="Segoe UI" w:eastAsia="Times New Roman" w:hAnsi="Segoe UI" w:cs="Segoe UI"/>
          <w:kern w:val="0"/>
          <w:sz w:val="24"/>
          <w:szCs w:val="24"/>
          <w:lang w:eastAsia="es-ES"/>
          <w14:ligatures w14:val="none"/>
        </w:rPr>
      </w:pPr>
      <w:r w:rsidRPr="00173CDD">
        <w:rPr>
          <w:rFonts w:ascii="Times New Roman" w:eastAsia="Times New Roman" w:hAnsi="Times New Roman" w:cs="Times New Roman"/>
          <w:kern w:val="0"/>
          <w:sz w:val="24"/>
          <w:szCs w:val="24"/>
          <w:lang w:eastAsia="es-ES"/>
          <w14:ligatures w14:val="none"/>
        </w:rPr>
        <w:pict w14:anchorId="491D23CF">
          <v:rect id="_x0000_i1025" style="width:0;height:0" o:hralign="center" o:hrstd="t" o:hrnoshade="t" o:hr="t" fillcolor="#ececec" stroked="f"/>
        </w:pict>
      </w:r>
    </w:p>
    <w:p w14:paraId="4920451E" w14:textId="77777777" w:rsidR="00173CDD" w:rsidRPr="00173CDD" w:rsidRDefault="00173CDD" w:rsidP="00173CDD">
      <w:pPr>
        <w:pBdr>
          <w:top w:val="single" w:sz="2" w:space="0" w:color="E3E3E3"/>
          <w:left w:val="single" w:sz="2" w:space="0" w:color="E3E3E3"/>
          <w:bottom w:val="single" w:sz="2" w:space="0" w:color="E3E3E3"/>
          <w:right w:val="single" w:sz="2" w:space="0" w:color="E3E3E3"/>
        </w:pBdr>
        <w:shd w:val="clear" w:color="auto" w:fill="212121"/>
        <w:spacing w:after="30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Principios</w:t>
      </w:r>
    </w:p>
    <w:p w14:paraId="76087220" w14:textId="77777777" w:rsidR="00173CDD" w:rsidRPr="00173CDD" w:rsidRDefault="00173CDD" w:rsidP="00173CDD">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color w:val="ECECEC"/>
          <w:kern w:val="0"/>
          <w:sz w:val="24"/>
          <w:szCs w:val="24"/>
          <w:lang w:eastAsia="es-ES"/>
          <w14:ligatures w14:val="none"/>
        </w:rPr>
        <w:t>El estudio se basa en principios fundamentales de modelado estadístico y aprendizaje automático para comprender la progresión de la enfermedad de Alzheimer (EA) y predecir el estado clínico de los pacientes. Estos principios incluyen:</w:t>
      </w:r>
    </w:p>
    <w:p w14:paraId="3D0F3AD9" w14:textId="77777777" w:rsidR="00173CDD" w:rsidRPr="00173CDD" w:rsidRDefault="00173CDD" w:rsidP="00173CDD">
      <w:pPr>
        <w:numPr>
          <w:ilvl w:val="0"/>
          <w:numId w:val="6"/>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Optimización Eficiente:</w:t>
      </w:r>
      <w:r w:rsidRPr="00173CDD">
        <w:rPr>
          <w:rFonts w:ascii="Segoe UI" w:eastAsia="Times New Roman" w:hAnsi="Segoe UI" w:cs="Segoe UI"/>
          <w:color w:val="ECECEC"/>
          <w:kern w:val="0"/>
          <w:sz w:val="24"/>
          <w:szCs w:val="24"/>
          <w:lang w:eastAsia="es-ES"/>
          <w14:ligatures w14:val="none"/>
        </w:rPr>
        <w:t xml:space="preserve"> Se utiliza un enfoque iterativo de optimización para estimar los parámetros del modelo hasta que converjan, lo que permite una búsqueda efectiva en el espacio de los parámetros.</w:t>
      </w:r>
    </w:p>
    <w:p w14:paraId="0C516F2D" w14:textId="77777777" w:rsidR="00173CDD" w:rsidRPr="00173CDD" w:rsidRDefault="00173CDD" w:rsidP="00173CDD">
      <w:pPr>
        <w:numPr>
          <w:ilvl w:val="0"/>
          <w:numId w:val="6"/>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lastRenderedPageBreak/>
        <w:t>Modelado Robusto:</w:t>
      </w:r>
      <w:r w:rsidRPr="00173CDD">
        <w:rPr>
          <w:rFonts w:ascii="Segoe UI" w:eastAsia="Times New Roman" w:hAnsi="Segoe UI" w:cs="Segoe UI"/>
          <w:color w:val="ECECEC"/>
          <w:kern w:val="0"/>
          <w:sz w:val="24"/>
          <w:szCs w:val="24"/>
          <w:lang w:eastAsia="es-ES"/>
          <w14:ligatures w14:val="none"/>
        </w:rPr>
        <w:t xml:space="preserve"> Se emplea un modelo robusto que se ajusta a los datos de manera efectiva, considerando la variabilidad y la complejidad inherentes en los biomarcadores y la progresión de la EA.</w:t>
      </w:r>
    </w:p>
    <w:p w14:paraId="2B22CABF" w14:textId="77777777" w:rsidR="00173CDD" w:rsidRPr="00173CDD" w:rsidRDefault="00173CDD" w:rsidP="00173CDD">
      <w:pPr>
        <w:numPr>
          <w:ilvl w:val="0"/>
          <w:numId w:val="6"/>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Validación Cruzada:</w:t>
      </w:r>
      <w:r w:rsidRPr="00173CDD">
        <w:rPr>
          <w:rFonts w:ascii="Segoe UI" w:eastAsia="Times New Roman" w:hAnsi="Segoe UI" w:cs="Segoe UI"/>
          <w:color w:val="ECECEC"/>
          <w:kern w:val="0"/>
          <w:sz w:val="24"/>
          <w:szCs w:val="24"/>
          <w:lang w:eastAsia="es-ES"/>
          <w14:ligatures w14:val="none"/>
        </w:rPr>
        <w:t xml:space="preserve"> Se utiliza la validación cruzada y el </w:t>
      </w:r>
      <w:proofErr w:type="spellStart"/>
      <w:r w:rsidRPr="00173CDD">
        <w:rPr>
          <w:rFonts w:ascii="Segoe UI" w:eastAsia="Times New Roman" w:hAnsi="Segoe UI" w:cs="Segoe UI"/>
          <w:color w:val="ECECEC"/>
          <w:kern w:val="0"/>
          <w:sz w:val="24"/>
          <w:szCs w:val="24"/>
          <w:lang w:eastAsia="es-ES"/>
          <w14:ligatures w14:val="none"/>
        </w:rPr>
        <w:t>remuestreo</w:t>
      </w:r>
      <w:proofErr w:type="spellEnd"/>
      <w:r w:rsidRPr="00173CDD">
        <w:rPr>
          <w:rFonts w:ascii="Segoe UI" w:eastAsia="Times New Roman" w:hAnsi="Segoe UI" w:cs="Segoe UI"/>
          <w:color w:val="ECECEC"/>
          <w:kern w:val="0"/>
          <w:sz w:val="24"/>
          <w:szCs w:val="24"/>
          <w:lang w:eastAsia="es-ES"/>
          <w14:ligatures w14:val="none"/>
        </w:rPr>
        <w:t xml:space="preserve"> para evaluar la generalización del modelo y su rendimiento en diferentes conjuntos de datos.</w:t>
      </w:r>
    </w:p>
    <w:p w14:paraId="70C8BA1B" w14:textId="77777777" w:rsidR="00173CDD" w:rsidRPr="00173CDD" w:rsidRDefault="00173CDD" w:rsidP="00173CDD">
      <w:pPr>
        <w:spacing w:before="720" w:after="720" w:line="240" w:lineRule="auto"/>
        <w:rPr>
          <w:rFonts w:ascii="Segoe UI" w:eastAsia="Times New Roman" w:hAnsi="Segoe UI" w:cs="Segoe UI"/>
          <w:kern w:val="0"/>
          <w:sz w:val="24"/>
          <w:szCs w:val="24"/>
          <w:lang w:eastAsia="es-ES"/>
          <w14:ligatures w14:val="none"/>
        </w:rPr>
      </w:pPr>
      <w:r w:rsidRPr="00173CDD">
        <w:rPr>
          <w:rFonts w:ascii="Times New Roman" w:eastAsia="Times New Roman" w:hAnsi="Times New Roman" w:cs="Times New Roman"/>
          <w:kern w:val="0"/>
          <w:sz w:val="24"/>
          <w:szCs w:val="24"/>
          <w:lang w:eastAsia="es-ES"/>
          <w14:ligatures w14:val="none"/>
        </w:rPr>
        <w:pict w14:anchorId="7DF3A6F8">
          <v:rect id="_x0000_i1026" style="width:0;height:0" o:hralign="center" o:hrstd="t" o:hrnoshade="t" o:hr="t" fillcolor="#ececec" stroked="f"/>
        </w:pict>
      </w:r>
    </w:p>
    <w:p w14:paraId="5F988AE7" w14:textId="77777777" w:rsidR="00173CDD" w:rsidRPr="00173CDD" w:rsidRDefault="00173CDD" w:rsidP="00173CDD">
      <w:pPr>
        <w:pBdr>
          <w:top w:val="single" w:sz="2" w:space="0" w:color="E3E3E3"/>
          <w:left w:val="single" w:sz="2" w:space="0" w:color="E3E3E3"/>
          <w:bottom w:val="single" w:sz="2" w:space="0" w:color="E3E3E3"/>
          <w:right w:val="single" w:sz="2" w:space="0" w:color="E3E3E3"/>
        </w:pBdr>
        <w:shd w:val="clear" w:color="auto" w:fill="212121"/>
        <w:spacing w:after="30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Métodos</w:t>
      </w:r>
    </w:p>
    <w:p w14:paraId="7A15ABBD" w14:textId="77777777" w:rsidR="00173CDD" w:rsidRPr="00173CDD" w:rsidRDefault="00173CDD" w:rsidP="00173CDD">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color w:val="ECECEC"/>
          <w:kern w:val="0"/>
          <w:sz w:val="24"/>
          <w:szCs w:val="24"/>
          <w:lang w:eastAsia="es-ES"/>
          <w14:ligatures w14:val="none"/>
        </w:rPr>
        <w:t>El estudio utiliza una serie de métodos para abordar sus objetivos de modelado y predicción:</w:t>
      </w:r>
    </w:p>
    <w:p w14:paraId="2C6A5A1D" w14:textId="77777777" w:rsidR="00173CDD" w:rsidRPr="00173CDD" w:rsidRDefault="00173CDD" w:rsidP="00173CDD">
      <w:pPr>
        <w:numPr>
          <w:ilvl w:val="0"/>
          <w:numId w:val="7"/>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Ajuste del Modelo:</w:t>
      </w:r>
      <w:r w:rsidRPr="00173CDD">
        <w:rPr>
          <w:rFonts w:ascii="Segoe UI" w:eastAsia="Times New Roman" w:hAnsi="Segoe UI" w:cs="Segoe UI"/>
          <w:color w:val="ECECEC"/>
          <w:kern w:val="0"/>
          <w:sz w:val="24"/>
          <w:szCs w:val="24"/>
          <w:lang w:eastAsia="es-ES"/>
          <w14:ligatures w14:val="none"/>
        </w:rPr>
        <w:t xml:space="preserve"> Se aplica un enfoque alternativo de optimización eficiente para estimar los parámetros del modelo, como α, β y θ, iterativamente hasta la convergencia. Esto implica ajustar biomarcadores y mapear la edad para obtener parámetros específicos del sujeto.</w:t>
      </w:r>
    </w:p>
    <w:p w14:paraId="070FC61B" w14:textId="77777777" w:rsidR="00173CDD" w:rsidRPr="00173CDD" w:rsidRDefault="00173CDD" w:rsidP="00173CDD">
      <w:pPr>
        <w:numPr>
          <w:ilvl w:val="0"/>
          <w:numId w:val="7"/>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Predicción del Valor del Biomarcador:</w:t>
      </w:r>
      <w:r w:rsidRPr="00173CDD">
        <w:rPr>
          <w:rFonts w:ascii="Segoe UI" w:eastAsia="Times New Roman" w:hAnsi="Segoe UI" w:cs="Segoe UI"/>
          <w:color w:val="ECECEC"/>
          <w:kern w:val="0"/>
          <w:sz w:val="24"/>
          <w:szCs w:val="24"/>
          <w:lang w:eastAsia="es-ES"/>
          <w14:ligatures w14:val="none"/>
        </w:rPr>
        <w:t xml:space="preserve"> Una vez ajustados los parámetros del modelo, se predicen los valores del biomarcador utilizando una función logística aplicada al ajuste del modelo.</w:t>
      </w:r>
    </w:p>
    <w:p w14:paraId="032FBCCC" w14:textId="77777777" w:rsidR="00173CDD" w:rsidRPr="00173CDD" w:rsidRDefault="00173CDD" w:rsidP="00173CDD">
      <w:pPr>
        <w:numPr>
          <w:ilvl w:val="0"/>
          <w:numId w:val="7"/>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Clasificación del Estado Clínico:</w:t>
      </w:r>
      <w:r w:rsidRPr="00173CDD">
        <w:rPr>
          <w:rFonts w:ascii="Segoe UI" w:eastAsia="Times New Roman" w:hAnsi="Segoe UI" w:cs="Segoe UI"/>
          <w:color w:val="ECECEC"/>
          <w:kern w:val="0"/>
          <w:sz w:val="24"/>
          <w:szCs w:val="24"/>
          <w:lang w:eastAsia="es-ES"/>
          <w14:ligatures w14:val="none"/>
        </w:rPr>
        <w:t xml:space="preserve"> Se emplea la estimación de la densidad del núcleo (KDE) para ajustar las probabilidades de los grupos cognitivamente normales, cognitivamente afectados y de EA, y un clasificador bayesiano para predecir el estado clínico de los sujetos de prueba por visita.</w:t>
      </w:r>
    </w:p>
    <w:p w14:paraId="596AA06B" w14:textId="77777777" w:rsidR="00173CDD" w:rsidRPr="00173CDD" w:rsidRDefault="00173CDD" w:rsidP="00173CDD">
      <w:pPr>
        <w:spacing w:before="720" w:after="720" w:line="240" w:lineRule="auto"/>
        <w:rPr>
          <w:rFonts w:ascii="Segoe UI" w:eastAsia="Times New Roman" w:hAnsi="Segoe UI" w:cs="Segoe UI"/>
          <w:kern w:val="0"/>
          <w:sz w:val="24"/>
          <w:szCs w:val="24"/>
          <w:lang w:eastAsia="es-ES"/>
          <w14:ligatures w14:val="none"/>
        </w:rPr>
      </w:pPr>
      <w:r w:rsidRPr="00173CDD">
        <w:rPr>
          <w:rFonts w:ascii="Times New Roman" w:eastAsia="Times New Roman" w:hAnsi="Times New Roman" w:cs="Times New Roman"/>
          <w:kern w:val="0"/>
          <w:sz w:val="24"/>
          <w:szCs w:val="24"/>
          <w:lang w:eastAsia="es-ES"/>
          <w14:ligatures w14:val="none"/>
        </w:rPr>
        <w:pict w14:anchorId="07597215">
          <v:rect id="_x0000_i1027" style="width:0;height:0" o:hralign="center" o:hrstd="t" o:hrnoshade="t" o:hr="t" fillcolor="#ececec" stroked="f"/>
        </w:pict>
      </w:r>
    </w:p>
    <w:p w14:paraId="6A991F8F" w14:textId="77777777" w:rsidR="00173CDD" w:rsidRPr="00173CDD" w:rsidRDefault="00173CDD" w:rsidP="00173CDD">
      <w:pPr>
        <w:pBdr>
          <w:top w:val="single" w:sz="2" w:space="0" w:color="E3E3E3"/>
          <w:left w:val="single" w:sz="2" w:space="0" w:color="E3E3E3"/>
          <w:bottom w:val="single" w:sz="2" w:space="0" w:color="E3E3E3"/>
          <w:right w:val="single" w:sz="2" w:space="0" w:color="E3E3E3"/>
        </w:pBdr>
        <w:shd w:val="clear" w:color="auto" w:fill="212121"/>
        <w:spacing w:after="30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Marco Teórico de Bayes</w:t>
      </w:r>
    </w:p>
    <w:p w14:paraId="0F5C9701" w14:textId="77777777" w:rsidR="00173CDD" w:rsidRPr="00173CDD" w:rsidRDefault="00173CDD" w:rsidP="00173CDD">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color w:val="ECECEC"/>
          <w:kern w:val="0"/>
          <w:sz w:val="24"/>
          <w:szCs w:val="24"/>
          <w:lang w:eastAsia="es-ES"/>
          <w14:ligatures w14:val="none"/>
        </w:rPr>
        <w:t>El enfoque bayesiano es fundamental en el estudio, ya que proporciona un marco probabilístico para la inferencia estadística y el aprendizaje automático. Algunos conceptos clave incluyen:</w:t>
      </w:r>
    </w:p>
    <w:p w14:paraId="6E19C3F9" w14:textId="77777777" w:rsidR="00173CDD" w:rsidRPr="00173CDD" w:rsidRDefault="00173CDD" w:rsidP="00173CDD">
      <w:pPr>
        <w:numPr>
          <w:ilvl w:val="0"/>
          <w:numId w:val="8"/>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Teorema de Bayes:</w:t>
      </w:r>
      <w:r w:rsidRPr="00173CDD">
        <w:rPr>
          <w:rFonts w:ascii="Segoe UI" w:eastAsia="Times New Roman" w:hAnsi="Segoe UI" w:cs="Segoe UI"/>
          <w:color w:val="ECECEC"/>
          <w:kern w:val="0"/>
          <w:sz w:val="24"/>
          <w:szCs w:val="24"/>
          <w:lang w:eastAsia="es-ES"/>
          <w14:ligatures w14:val="none"/>
        </w:rPr>
        <w:t xml:space="preserve"> Permite actualizar la creencia inicial sobre un evento dado la evidencia observada, utilizando la distribución condicional de la evidencia dada la hipótesis y la distribución previa de la hipótesis.</w:t>
      </w:r>
    </w:p>
    <w:p w14:paraId="6D8013A7" w14:textId="77777777" w:rsidR="00173CDD" w:rsidRPr="00173CDD" w:rsidRDefault="00173CDD" w:rsidP="00173CDD">
      <w:pPr>
        <w:numPr>
          <w:ilvl w:val="0"/>
          <w:numId w:val="8"/>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lastRenderedPageBreak/>
        <w:t>Inferencia Bayesiana:</w:t>
      </w:r>
      <w:r w:rsidRPr="00173CDD">
        <w:rPr>
          <w:rFonts w:ascii="Segoe UI" w:eastAsia="Times New Roman" w:hAnsi="Segoe UI" w:cs="Segoe UI"/>
          <w:color w:val="ECECEC"/>
          <w:kern w:val="0"/>
          <w:sz w:val="24"/>
          <w:szCs w:val="24"/>
          <w:lang w:eastAsia="es-ES"/>
          <w14:ligatures w14:val="none"/>
        </w:rPr>
        <w:t xml:space="preserve"> Consiste en calcular la distribución a posteriori de los parámetros del modelo dados los datos observados y la distribución previa, utilizando el teorema de Bayes.</w:t>
      </w:r>
    </w:p>
    <w:p w14:paraId="657ED298" w14:textId="77777777" w:rsidR="00173CDD" w:rsidRPr="00173CDD" w:rsidRDefault="00173CDD" w:rsidP="00173CDD">
      <w:pPr>
        <w:numPr>
          <w:ilvl w:val="0"/>
          <w:numId w:val="8"/>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Clasificación Bayesiana:</w:t>
      </w:r>
      <w:r w:rsidRPr="00173CDD">
        <w:rPr>
          <w:rFonts w:ascii="Segoe UI" w:eastAsia="Times New Roman" w:hAnsi="Segoe UI" w:cs="Segoe UI"/>
          <w:color w:val="ECECEC"/>
          <w:kern w:val="0"/>
          <w:sz w:val="24"/>
          <w:szCs w:val="24"/>
          <w:lang w:eastAsia="es-ES"/>
          <w14:ligatures w14:val="none"/>
        </w:rPr>
        <w:t xml:space="preserve"> Es un enfoque de clasificación que asigna una etiqueta de clase a una instancia dada maximizando la probabilidad a posteriori de la clase dada la instancia.</w:t>
      </w:r>
    </w:p>
    <w:p w14:paraId="4D6204D5" w14:textId="77777777" w:rsidR="00173CDD" w:rsidRPr="00173CDD" w:rsidRDefault="00173CDD" w:rsidP="00173CDD">
      <w:pPr>
        <w:spacing w:before="720" w:after="720" w:line="240" w:lineRule="auto"/>
        <w:rPr>
          <w:rFonts w:ascii="Segoe UI" w:eastAsia="Times New Roman" w:hAnsi="Segoe UI" w:cs="Segoe UI"/>
          <w:kern w:val="0"/>
          <w:sz w:val="24"/>
          <w:szCs w:val="24"/>
          <w:lang w:eastAsia="es-ES"/>
          <w14:ligatures w14:val="none"/>
        </w:rPr>
      </w:pPr>
      <w:r w:rsidRPr="00173CDD">
        <w:rPr>
          <w:rFonts w:ascii="Times New Roman" w:eastAsia="Times New Roman" w:hAnsi="Times New Roman" w:cs="Times New Roman"/>
          <w:kern w:val="0"/>
          <w:sz w:val="24"/>
          <w:szCs w:val="24"/>
          <w:lang w:eastAsia="es-ES"/>
          <w14:ligatures w14:val="none"/>
        </w:rPr>
        <w:pict w14:anchorId="0D7A3805">
          <v:rect id="_x0000_i1028" style="width:0;height:0" o:hralign="center" o:hrstd="t" o:hrnoshade="t" o:hr="t" fillcolor="#ececec" stroked="f"/>
        </w:pict>
      </w:r>
    </w:p>
    <w:p w14:paraId="446043A2" w14:textId="77777777" w:rsidR="00173CDD" w:rsidRPr="00173CDD" w:rsidRDefault="00173CDD" w:rsidP="00173CDD">
      <w:pPr>
        <w:pBdr>
          <w:top w:val="single" w:sz="2" w:space="0" w:color="E3E3E3"/>
          <w:left w:val="single" w:sz="2" w:space="0" w:color="E3E3E3"/>
          <w:bottom w:val="single" w:sz="2" w:space="0" w:color="E3E3E3"/>
          <w:right w:val="single" w:sz="2" w:space="0" w:color="E3E3E3"/>
        </w:pBdr>
        <w:shd w:val="clear" w:color="auto" w:fill="212121"/>
        <w:spacing w:after="30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Métrica del Área Bajo la Curva ROC (AUC)</w:t>
      </w:r>
    </w:p>
    <w:p w14:paraId="3C0F790A" w14:textId="77777777" w:rsidR="00173CDD" w:rsidRPr="00173CDD" w:rsidRDefault="00173CDD" w:rsidP="00173CDD">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color w:val="ECECEC"/>
          <w:kern w:val="0"/>
          <w:sz w:val="24"/>
          <w:szCs w:val="24"/>
          <w:lang w:eastAsia="es-ES"/>
          <w14:ligatures w14:val="none"/>
        </w:rPr>
        <w:t>El AUC es una métrica comúnmente utilizada para evaluar la capacidad predictiva de un modelo de clasificación. Algunos aspectos importantes incluyen:</w:t>
      </w:r>
    </w:p>
    <w:p w14:paraId="38A350A5" w14:textId="77777777" w:rsidR="00173CDD" w:rsidRPr="00173CDD" w:rsidRDefault="00173CDD" w:rsidP="00173CDD">
      <w:pPr>
        <w:numPr>
          <w:ilvl w:val="0"/>
          <w:numId w:val="9"/>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Interpretación:</w:t>
      </w:r>
      <w:r w:rsidRPr="00173CDD">
        <w:rPr>
          <w:rFonts w:ascii="Segoe UI" w:eastAsia="Times New Roman" w:hAnsi="Segoe UI" w:cs="Segoe UI"/>
          <w:color w:val="ECECEC"/>
          <w:kern w:val="0"/>
          <w:sz w:val="24"/>
          <w:szCs w:val="24"/>
          <w:lang w:eastAsia="es-ES"/>
          <w14:ligatures w14:val="none"/>
        </w:rPr>
        <w:t xml:space="preserve"> El AUC mide la capacidad del modelo para distinguir entre clases, donde un valor de 1 indica un modelo perfecto y un valor de 0.5 indica un rendimiento aleatorio.</w:t>
      </w:r>
    </w:p>
    <w:p w14:paraId="6C59A5E0" w14:textId="77777777" w:rsidR="00173CDD" w:rsidRPr="00173CDD" w:rsidRDefault="00173CDD" w:rsidP="00173CDD">
      <w:pPr>
        <w:numPr>
          <w:ilvl w:val="0"/>
          <w:numId w:val="9"/>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Robustez:</w:t>
      </w:r>
      <w:r w:rsidRPr="00173CDD">
        <w:rPr>
          <w:rFonts w:ascii="Segoe UI" w:eastAsia="Times New Roman" w:hAnsi="Segoe UI" w:cs="Segoe UI"/>
          <w:color w:val="ECECEC"/>
          <w:kern w:val="0"/>
          <w:sz w:val="24"/>
          <w:szCs w:val="24"/>
          <w:lang w:eastAsia="es-ES"/>
          <w14:ligatures w14:val="none"/>
        </w:rPr>
        <w:t xml:space="preserve"> El AUC es robusto ante desequilibrios de clases y es una medida adecuada para evaluar modelos de clasificación en conjuntos de datos desbalanceados.</w:t>
      </w:r>
    </w:p>
    <w:p w14:paraId="463D7DB5" w14:textId="77777777" w:rsidR="00173CDD" w:rsidRPr="00173CDD" w:rsidRDefault="00173CDD" w:rsidP="00173CDD">
      <w:pPr>
        <w:numPr>
          <w:ilvl w:val="0"/>
          <w:numId w:val="9"/>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kern w:val="0"/>
          <w:sz w:val="24"/>
          <w:szCs w:val="24"/>
          <w:lang w:eastAsia="es-ES"/>
          <w14:ligatures w14:val="none"/>
        </w:rPr>
      </w:pPr>
      <w:r w:rsidRPr="00173CDD">
        <w:rPr>
          <w:rFonts w:ascii="Segoe UI" w:eastAsia="Times New Roman" w:hAnsi="Segoe UI" w:cs="Segoe UI"/>
          <w:b/>
          <w:bCs/>
          <w:color w:val="ECECEC"/>
          <w:kern w:val="0"/>
          <w:sz w:val="24"/>
          <w:szCs w:val="24"/>
          <w:bdr w:val="single" w:sz="2" w:space="0" w:color="E3E3E3" w:frame="1"/>
          <w:lang w:eastAsia="es-ES"/>
          <w14:ligatures w14:val="none"/>
        </w:rPr>
        <w:t>Comparación de Modelos:</w:t>
      </w:r>
      <w:r w:rsidRPr="00173CDD">
        <w:rPr>
          <w:rFonts w:ascii="Segoe UI" w:eastAsia="Times New Roman" w:hAnsi="Segoe UI" w:cs="Segoe UI"/>
          <w:color w:val="ECECEC"/>
          <w:kern w:val="0"/>
          <w:sz w:val="24"/>
          <w:szCs w:val="24"/>
          <w:lang w:eastAsia="es-ES"/>
          <w14:ligatures w14:val="none"/>
        </w:rPr>
        <w:t xml:space="preserve"> El AUC permite comparar el rendimiento predictivo de diferentes modelos de clasificación, lo que facilita la selección del mejor modelo para una tarea dada.</w:t>
      </w:r>
    </w:p>
    <w:p w14:paraId="04421CE9" w14:textId="77777777" w:rsidR="00173CDD" w:rsidRPr="009C41DF" w:rsidRDefault="00173CDD" w:rsidP="00DE523A">
      <w:pPr>
        <w:jc w:val="both"/>
        <w:rPr>
          <w:rFonts w:ascii="Segoe UI" w:eastAsia="Times New Roman" w:hAnsi="Segoe UI" w:cs="Segoe UI"/>
          <w:b/>
          <w:bCs/>
          <w:sz w:val="60"/>
          <w:szCs w:val="60"/>
          <w:lang w:eastAsia="es-ES"/>
        </w:rPr>
      </w:pPr>
    </w:p>
    <w:sectPr w:rsidR="00173CDD" w:rsidRPr="009C41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KaTeX_Size2">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00884"/>
    <w:multiLevelType w:val="hybridMultilevel"/>
    <w:tmpl w:val="5FD02A4E"/>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2562C44"/>
    <w:multiLevelType w:val="multilevel"/>
    <w:tmpl w:val="D0BC6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3E6499"/>
    <w:multiLevelType w:val="multilevel"/>
    <w:tmpl w:val="0C80D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39733C"/>
    <w:multiLevelType w:val="multilevel"/>
    <w:tmpl w:val="230CF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CE0E2E"/>
    <w:multiLevelType w:val="multilevel"/>
    <w:tmpl w:val="4F90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EF2644"/>
    <w:multiLevelType w:val="multilevel"/>
    <w:tmpl w:val="6666D7B4"/>
    <w:lvl w:ilvl="0">
      <w:start w:val="1"/>
      <w:numFmt w:val="bullet"/>
      <w:lvlText w:val=""/>
      <w:lvlJc w:val="left"/>
      <w:pPr>
        <w:tabs>
          <w:tab w:val="num" w:pos="8865"/>
        </w:tabs>
        <w:ind w:left="8865" w:hanging="360"/>
      </w:pPr>
      <w:rPr>
        <w:rFonts w:ascii="Symbol" w:hAnsi="Symbol" w:hint="default"/>
        <w:sz w:val="20"/>
      </w:rPr>
    </w:lvl>
    <w:lvl w:ilvl="1" w:tentative="1">
      <w:start w:val="1"/>
      <w:numFmt w:val="bullet"/>
      <w:lvlText w:val=""/>
      <w:lvlJc w:val="left"/>
      <w:pPr>
        <w:tabs>
          <w:tab w:val="num" w:pos="9585"/>
        </w:tabs>
        <w:ind w:left="9585" w:hanging="360"/>
      </w:pPr>
      <w:rPr>
        <w:rFonts w:ascii="Symbol" w:hAnsi="Symbol" w:hint="default"/>
        <w:sz w:val="20"/>
      </w:rPr>
    </w:lvl>
    <w:lvl w:ilvl="2" w:tentative="1">
      <w:start w:val="1"/>
      <w:numFmt w:val="bullet"/>
      <w:lvlText w:val=""/>
      <w:lvlJc w:val="left"/>
      <w:pPr>
        <w:tabs>
          <w:tab w:val="num" w:pos="10305"/>
        </w:tabs>
        <w:ind w:left="10305" w:hanging="360"/>
      </w:pPr>
      <w:rPr>
        <w:rFonts w:ascii="Symbol" w:hAnsi="Symbol" w:hint="default"/>
        <w:sz w:val="20"/>
      </w:rPr>
    </w:lvl>
    <w:lvl w:ilvl="3" w:tentative="1">
      <w:start w:val="1"/>
      <w:numFmt w:val="bullet"/>
      <w:lvlText w:val=""/>
      <w:lvlJc w:val="left"/>
      <w:pPr>
        <w:tabs>
          <w:tab w:val="num" w:pos="11025"/>
        </w:tabs>
        <w:ind w:left="11025" w:hanging="360"/>
      </w:pPr>
      <w:rPr>
        <w:rFonts w:ascii="Symbol" w:hAnsi="Symbol" w:hint="default"/>
        <w:sz w:val="20"/>
      </w:rPr>
    </w:lvl>
    <w:lvl w:ilvl="4" w:tentative="1">
      <w:start w:val="1"/>
      <w:numFmt w:val="bullet"/>
      <w:lvlText w:val=""/>
      <w:lvlJc w:val="left"/>
      <w:pPr>
        <w:tabs>
          <w:tab w:val="num" w:pos="11745"/>
        </w:tabs>
        <w:ind w:left="11745" w:hanging="360"/>
      </w:pPr>
      <w:rPr>
        <w:rFonts w:ascii="Symbol" w:hAnsi="Symbol" w:hint="default"/>
        <w:sz w:val="20"/>
      </w:rPr>
    </w:lvl>
    <w:lvl w:ilvl="5" w:tentative="1">
      <w:start w:val="1"/>
      <w:numFmt w:val="bullet"/>
      <w:lvlText w:val=""/>
      <w:lvlJc w:val="left"/>
      <w:pPr>
        <w:tabs>
          <w:tab w:val="num" w:pos="12465"/>
        </w:tabs>
        <w:ind w:left="12465" w:hanging="360"/>
      </w:pPr>
      <w:rPr>
        <w:rFonts w:ascii="Symbol" w:hAnsi="Symbol" w:hint="default"/>
        <w:sz w:val="20"/>
      </w:rPr>
    </w:lvl>
    <w:lvl w:ilvl="6" w:tentative="1">
      <w:start w:val="1"/>
      <w:numFmt w:val="bullet"/>
      <w:lvlText w:val=""/>
      <w:lvlJc w:val="left"/>
      <w:pPr>
        <w:tabs>
          <w:tab w:val="num" w:pos="13185"/>
        </w:tabs>
        <w:ind w:left="13185" w:hanging="360"/>
      </w:pPr>
      <w:rPr>
        <w:rFonts w:ascii="Symbol" w:hAnsi="Symbol" w:hint="default"/>
        <w:sz w:val="20"/>
      </w:rPr>
    </w:lvl>
    <w:lvl w:ilvl="7" w:tentative="1">
      <w:start w:val="1"/>
      <w:numFmt w:val="bullet"/>
      <w:lvlText w:val=""/>
      <w:lvlJc w:val="left"/>
      <w:pPr>
        <w:tabs>
          <w:tab w:val="num" w:pos="13905"/>
        </w:tabs>
        <w:ind w:left="13905" w:hanging="360"/>
      </w:pPr>
      <w:rPr>
        <w:rFonts w:ascii="Symbol" w:hAnsi="Symbol" w:hint="default"/>
        <w:sz w:val="20"/>
      </w:rPr>
    </w:lvl>
    <w:lvl w:ilvl="8" w:tentative="1">
      <w:start w:val="1"/>
      <w:numFmt w:val="bullet"/>
      <w:lvlText w:val=""/>
      <w:lvlJc w:val="left"/>
      <w:pPr>
        <w:tabs>
          <w:tab w:val="num" w:pos="14625"/>
        </w:tabs>
        <w:ind w:left="14625" w:hanging="360"/>
      </w:pPr>
      <w:rPr>
        <w:rFonts w:ascii="Symbol" w:hAnsi="Symbol" w:hint="default"/>
        <w:sz w:val="20"/>
      </w:rPr>
    </w:lvl>
  </w:abstractNum>
  <w:abstractNum w:abstractNumId="6" w15:restartNumberingAfterBreak="0">
    <w:nsid w:val="663722EA"/>
    <w:multiLevelType w:val="multilevel"/>
    <w:tmpl w:val="4D3A1904"/>
    <w:lvl w:ilvl="0">
      <w:start w:val="4"/>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3E4459"/>
    <w:multiLevelType w:val="multilevel"/>
    <w:tmpl w:val="9E3A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7244AB"/>
    <w:multiLevelType w:val="multilevel"/>
    <w:tmpl w:val="173821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3773359">
    <w:abstractNumId w:val="8"/>
  </w:num>
  <w:num w:numId="2" w16cid:durableId="1462960791">
    <w:abstractNumId w:val="5"/>
  </w:num>
  <w:num w:numId="3" w16cid:durableId="1380325117">
    <w:abstractNumId w:val="7"/>
  </w:num>
  <w:num w:numId="4" w16cid:durableId="829564048">
    <w:abstractNumId w:val="6"/>
  </w:num>
  <w:num w:numId="5" w16cid:durableId="2027514447">
    <w:abstractNumId w:val="0"/>
  </w:num>
  <w:num w:numId="6" w16cid:durableId="887298621">
    <w:abstractNumId w:val="2"/>
  </w:num>
  <w:num w:numId="7" w16cid:durableId="2053990352">
    <w:abstractNumId w:val="3"/>
  </w:num>
  <w:num w:numId="8" w16cid:durableId="410154974">
    <w:abstractNumId w:val="4"/>
  </w:num>
  <w:num w:numId="9" w16cid:durableId="25303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D6A51"/>
    <w:rsid w:val="000050A8"/>
    <w:rsid w:val="0007781C"/>
    <w:rsid w:val="000D609C"/>
    <w:rsid w:val="000E67F8"/>
    <w:rsid w:val="001135D7"/>
    <w:rsid w:val="00154EB0"/>
    <w:rsid w:val="00173CDD"/>
    <w:rsid w:val="002C6A99"/>
    <w:rsid w:val="00323138"/>
    <w:rsid w:val="00335952"/>
    <w:rsid w:val="003D6C79"/>
    <w:rsid w:val="00406138"/>
    <w:rsid w:val="004071D1"/>
    <w:rsid w:val="004C4660"/>
    <w:rsid w:val="00524DBB"/>
    <w:rsid w:val="005D7302"/>
    <w:rsid w:val="00725BF9"/>
    <w:rsid w:val="007836C5"/>
    <w:rsid w:val="00867729"/>
    <w:rsid w:val="0090727E"/>
    <w:rsid w:val="009676B7"/>
    <w:rsid w:val="00990AC4"/>
    <w:rsid w:val="009C41DF"/>
    <w:rsid w:val="00B0695B"/>
    <w:rsid w:val="00BB6E57"/>
    <w:rsid w:val="00BE6EF4"/>
    <w:rsid w:val="00D26154"/>
    <w:rsid w:val="00D70CAB"/>
    <w:rsid w:val="00DE523A"/>
    <w:rsid w:val="00E254FA"/>
    <w:rsid w:val="00E529CB"/>
    <w:rsid w:val="00F45CB7"/>
    <w:rsid w:val="00F714C6"/>
    <w:rsid w:val="00FD6A51"/>
    <w:rsid w:val="00FE08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1939"/>
  <w15:docId w15:val="{773D3E64-C792-4F3C-AF88-9810A7EC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FD6A5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D6A5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FD6A51"/>
    <w:rPr>
      <w:b/>
      <w:bCs/>
    </w:rPr>
  </w:style>
  <w:style w:type="character" w:customStyle="1" w:styleId="Ttulo3Car">
    <w:name w:val="Título 3 Car"/>
    <w:basedOn w:val="Fuentedeprrafopredeter"/>
    <w:link w:val="Ttulo3"/>
    <w:uiPriority w:val="9"/>
    <w:rsid w:val="00FD6A51"/>
    <w:rPr>
      <w:rFonts w:ascii="Times New Roman" w:eastAsia="Times New Roman" w:hAnsi="Times New Roman" w:cs="Times New Roman"/>
      <w:b/>
      <w:bCs/>
      <w:kern w:val="0"/>
      <w:sz w:val="27"/>
      <w:szCs w:val="27"/>
      <w:lang w:eastAsia="es-ES"/>
      <w14:ligatures w14:val="none"/>
    </w:rPr>
  </w:style>
  <w:style w:type="character" w:customStyle="1" w:styleId="katex-mathml">
    <w:name w:val="katex-mathml"/>
    <w:basedOn w:val="Fuentedeprrafopredeter"/>
    <w:rsid w:val="00FD6A51"/>
  </w:style>
  <w:style w:type="character" w:customStyle="1" w:styleId="mord">
    <w:name w:val="mord"/>
    <w:basedOn w:val="Fuentedeprrafopredeter"/>
    <w:rsid w:val="00FD6A51"/>
  </w:style>
  <w:style w:type="character" w:customStyle="1" w:styleId="mpunct">
    <w:name w:val="mpunct"/>
    <w:basedOn w:val="Fuentedeprrafopredeter"/>
    <w:rsid w:val="00FD6A51"/>
  </w:style>
  <w:style w:type="character" w:customStyle="1" w:styleId="vlist-s">
    <w:name w:val="vlist-s"/>
    <w:basedOn w:val="Fuentedeprrafopredeter"/>
    <w:rsid w:val="00FD6A51"/>
  </w:style>
  <w:style w:type="character" w:customStyle="1" w:styleId="mrel">
    <w:name w:val="mrel"/>
    <w:basedOn w:val="Fuentedeprrafopredeter"/>
    <w:rsid w:val="00FD6A51"/>
  </w:style>
  <w:style w:type="character" w:customStyle="1" w:styleId="mopen">
    <w:name w:val="mopen"/>
    <w:basedOn w:val="Fuentedeprrafopredeter"/>
    <w:rsid w:val="00FD6A51"/>
  </w:style>
  <w:style w:type="character" w:customStyle="1" w:styleId="mclose">
    <w:name w:val="mclose"/>
    <w:basedOn w:val="Fuentedeprrafopredeter"/>
    <w:rsid w:val="00FD6A51"/>
  </w:style>
  <w:style w:type="character" w:customStyle="1" w:styleId="mbin">
    <w:name w:val="mbin"/>
    <w:basedOn w:val="Fuentedeprrafopredeter"/>
    <w:rsid w:val="00FD6A51"/>
  </w:style>
  <w:style w:type="character" w:customStyle="1" w:styleId="mop">
    <w:name w:val="mop"/>
    <w:basedOn w:val="Fuentedeprrafopredeter"/>
    <w:rsid w:val="00FD6A51"/>
  </w:style>
  <w:style w:type="character" w:customStyle="1" w:styleId="delimsizing">
    <w:name w:val="delimsizing"/>
    <w:basedOn w:val="Fuentedeprrafopredeter"/>
    <w:rsid w:val="00FD6A51"/>
  </w:style>
  <w:style w:type="paragraph" w:styleId="Prrafodelista">
    <w:name w:val="List Paragraph"/>
    <w:basedOn w:val="Normal"/>
    <w:uiPriority w:val="34"/>
    <w:qFormat/>
    <w:rsid w:val="00BB6E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734904">
      <w:bodyDiv w:val="1"/>
      <w:marLeft w:val="0"/>
      <w:marRight w:val="0"/>
      <w:marTop w:val="0"/>
      <w:marBottom w:val="0"/>
      <w:divBdr>
        <w:top w:val="none" w:sz="0" w:space="0" w:color="auto"/>
        <w:left w:val="none" w:sz="0" w:space="0" w:color="auto"/>
        <w:bottom w:val="none" w:sz="0" w:space="0" w:color="auto"/>
        <w:right w:val="none" w:sz="0" w:space="0" w:color="auto"/>
      </w:divBdr>
    </w:div>
    <w:div w:id="669723960">
      <w:bodyDiv w:val="1"/>
      <w:marLeft w:val="0"/>
      <w:marRight w:val="0"/>
      <w:marTop w:val="0"/>
      <w:marBottom w:val="0"/>
      <w:divBdr>
        <w:top w:val="none" w:sz="0" w:space="0" w:color="auto"/>
        <w:left w:val="none" w:sz="0" w:space="0" w:color="auto"/>
        <w:bottom w:val="none" w:sz="0" w:space="0" w:color="auto"/>
        <w:right w:val="none" w:sz="0" w:space="0" w:color="auto"/>
      </w:divBdr>
    </w:div>
    <w:div w:id="892039711">
      <w:bodyDiv w:val="1"/>
      <w:marLeft w:val="0"/>
      <w:marRight w:val="0"/>
      <w:marTop w:val="0"/>
      <w:marBottom w:val="0"/>
      <w:divBdr>
        <w:top w:val="none" w:sz="0" w:space="0" w:color="auto"/>
        <w:left w:val="none" w:sz="0" w:space="0" w:color="auto"/>
        <w:bottom w:val="none" w:sz="0" w:space="0" w:color="auto"/>
        <w:right w:val="none" w:sz="0" w:space="0" w:color="auto"/>
      </w:divBdr>
    </w:div>
    <w:div w:id="1063214516">
      <w:bodyDiv w:val="1"/>
      <w:marLeft w:val="0"/>
      <w:marRight w:val="0"/>
      <w:marTop w:val="0"/>
      <w:marBottom w:val="0"/>
      <w:divBdr>
        <w:top w:val="none" w:sz="0" w:space="0" w:color="auto"/>
        <w:left w:val="none" w:sz="0" w:space="0" w:color="auto"/>
        <w:bottom w:val="none" w:sz="0" w:space="0" w:color="auto"/>
        <w:right w:val="none" w:sz="0" w:space="0" w:color="auto"/>
      </w:divBdr>
    </w:div>
    <w:div w:id="1294477831">
      <w:bodyDiv w:val="1"/>
      <w:marLeft w:val="0"/>
      <w:marRight w:val="0"/>
      <w:marTop w:val="0"/>
      <w:marBottom w:val="0"/>
      <w:divBdr>
        <w:top w:val="none" w:sz="0" w:space="0" w:color="auto"/>
        <w:left w:val="none" w:sz="0" w:space="0" w:color="auto"/>
        <w:bottom w:val="none" w:sz="0" w:space="0" w:color="auto"/>
        <w:right w:val="none" w:sz="0" w:space="0" w:color="auto"/>
      </w:divBdr>
    </w:div>
    <w:div w:id="1297636217">
      <w:bodyDiv w:val="1"/>
      <w:marLeft w:val="0"/>
      <w:marRight w:val="0"/>
      <w:marTop w:val="0"/>
      <w:marBottom w:val="0"/>
      <w:divBdr>
        <w:top w:val="none" w:sz="0" w:space="0" w:color="auto"/>
        <w:left w:val="none" w:sz="0" w:space="0" w:color="auto"/>
        <w:bottom w:val="none" w:sz="0" w:space="0" w:color="auto"/>
        <w:right w:val="none" w:sz="0" w:space="0" w:color="auto"/>
      </w:divBdr>
    </w:div>
    <w:div w:id="1385907050">
      <w:bodyDiv w:val="1"/>
      <w:marLeft w:val="0"/>
      <w:marRight w:val="0"/>
      <w:marTop w:val="0"/>
      <w:marBottom w:val="0"/>
      <w:divBdr>
        <w:top w:val="none" w:sz="0" w:space="0" w:color="auto"/>
        <w:left w:val="none" w:sz="0" w:space="0" w:color="auto"/>
        <w:bottom w:val="none" w:sz="0" w:space="0" w:color="auto"/>
        <w:right w:val="none" w:sz="0" w:space="0" w:color="auto"/>
      </w:divBdr>
    </w:div>
    <w:div w:id="1549996435">
      <w:bodyDiv w:val="1"/>
      <w:marLeft w:val="0"/>
      <w:marRight w:val="0"/>
      <w:marTop w:val="0"/>
      <w:marBottom w:val="0"/>
      <w:divBdr>
        <w:top w:val="none" w:sz="0" w:space="0" w:color="auto"/>
        <w:left w:val="none" w:sz="0" w:space="0" w:color="auto"/>
        <w:bottom w:val="none" w:sz="0" w:space="0" w:color="auto"/>
        <w:right w:val="none" w:sz="0" w:space="0" w:color="auto"/>
      </w:divBdr>
    </w:div>
    <w:div w:id="1747606163">
      <w:bodyDiv w:val="1"/>
      <w:marLeft w:val="0"/>
      <w:marRight w:val="0"/>
      <w:marTop w:val="0"/>
      <w:marBottom w:val="0"/>
      <w:divBdr>
        <w:top w:val="none" w:sz="0" w:space="0" w:color="auto"/>
        <w:left w:val="none" w:sz="0" w:space="0" w:color="auto"/>
        <w:bottom w:val="none" w:sz="0" w:space="0" w:color="auto"/>
        <w:right w:val="none" w:sz="0" w:space="0" w:color="auto"/>
      </w:divBdr>
    </w:div>
    <w:div w:id="1993561156">
      <w:bodyDiv w:val="1"/>
      <w:marLeft w:val="0"/>
      <w:marRight w:val="0"/>
      <w:marTop w:val="0"/>
      <w:marBottom w:val="0"/>
      <w:divBdr>
        <w:top w:val="none" w:sz="0" w:space="0" w:color="auto"/>
        <w:left w:val="none" w:sz="0" w:space="0" w:color="auto"/>
        <w:bottom w:val="none" w:sz="0" w:space="0" w:color="auto"/>
        <w:right w:val="none" w:sz="0" w:space="0" w:color="auto"/>
      </w:divBdr>
    </w:div>
    <w:div w:id="2101178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3635</TotalTime>
  <Pages>23</Pages>
  <Words>7991</Words>
  <Characters>43953</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raquel.roca.pereira@alumnos.upm.es</dc:creator>
  <cp:keywords/>
  <dc:description/>
  <cp:lastModifiedBy>RAQUEL ROCA PEREIRA</cp:lastModifiedBy>
  <cp:revision>7</cp:revision>
  <dcterms:created xsi:type="dcterms:W3CDTF">2024-02-15T11:10:00Z</dcterms:created>
  <dcterms:modified xsi:type="dcterms:W3CDTF">2024-03-19T23:01:00Z</dcterms:modified>
</cp:coreProperties>
</file>